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薛宇航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15249227767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2170530242@QQ.COM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Q：供水站运行;市政道路及基础设施的维护保养</w:t>
            </w:r>
          </w:p>
          <w:p>
            <w:r>
              <w:t>E：供水站运行;市政道路及基础设施的维护保养</w:t>
            </w:r>
          </w:p>
          <w:p>
            <w:r>
              <w:t>O：供水站运行;市政道路及基础设施的维护保养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Q：27.02.00;28.03.01</w:t>
            </w:r>
          </w:p>
          <w:p>
            <w:r>
              <w:t>E：27.02.00;28.03.01</w:t>
            </w:r>
          </w:p>
          <w:p>
            <w:r>
              <w:t>O：27.02.00;28.03.01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2020年12月18日 上午至2020年12月18日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O:27.02.00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17391899295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/E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>
            <w:bookmarkStart w:id="14" w:name="_GoBack"/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161925</wp:posOffset>
                  </wp:positionV>
                  <wp:extent cx="1818005" cy="1691640"/>
                  <wp:effectExtent l="0" t="0" r="10795" b="0"/>
                  <wp:wrapNone/>
                  <wp:docPr id="3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</w:p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99060</wp:posOffset>
                  </wp:positionV>
                  <wp:extent cx="723900" cy="459105"/>
                  <wp:effectExtent l="0" t="0" r="7620" b="1333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.12.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午餐休息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8:00-8:30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首次会议（审核组与组织主要领导及主要部门负责人会面，介绍</w:t>
            </w:r>
            <w:r>
              <w:rPr>
                <w:rFonts w:hint="eastAsia" w:ascii="宋体" w:hAnsi="宋体" w:cs="宋体-方正超大字符集"/>
                <w:bCs/>
                <w:sz w:val="21"/>
                <w:szCs w:val="21"/>
              </w:rPr>
              <w:t>目的、方式及要求）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8:30-10:00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受审核组织概况（管理体系组织结构、产品覆盖范围、过程和运作场所等情况）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管理体系文件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体系关键绩效或重要的因素、风险和机遇、过程、目标和运作的识别情况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相关法律法规及其它要求的遵守情况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:00-14:30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内部审核策划和实施情况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14:30-15:00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管理评审实施情况</w:t>
            </w: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15:00-16:00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各部门现场观察</w:t>
            </w: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审核组内部沟通</w:t>
            </w: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末次沟通会（沟通审核发现，出具问题清单并明确整改要求；确认二阶段审核时间及所需资源配置）</w:t>
            </w: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</w:tbl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2024F"/>
    <w:rsid w:val="4F347E19"/>
    <w:rsid w:val="65097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2020-12-19T03:38:19Z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