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昊业电力器材有限公司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jc w:val="left"/>
        <w:rPr>
          <w:rFonts w:hint="eastAsia" w:ascii="宋体" w:hAnsi="宋体"/>
          <w:b/>
          <w:color w:val="000000" w:themeColor="text1"/>
          <w:spacing w:val="-10"/>
          <w:sz w:val="20"/>
          <w:szCs w:val="20"/>
        </w:rPr>
      </w:pPr>
    </w:p>
    <w:p>
      <w:pPr>
        <w:pStyle w:val="10"/>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昊业电力器材有限公司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7" w:name="注册地址"/>
            <w:r>
              <w:rPr>
                <w:rFonts w:ascii="宋体" w:hAnsi="宋体"/>
                <w:b/>
                <w:color w:val="000000" w:themeColor="text1"/>
                <w:sz w:val="20"/>
                <w:szCs w:val="20"/>
              </w:rPr>
              <w:t>河北省任丘市麻家坞镇刘家泊村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062550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生产地址"/>
            <w:r>
              <w:t>任丘市创新大厦A座1601</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062550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纪荷叶</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18831786333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何浩丹</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何浩丹</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纪荷叶</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线路铁附件、标识牌、电力金具、钢绞线的销售及相关的环境管理活动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hint="eastAsia" w:ascii="宋体" w:hAnsi="宋体" w:eastAsia="宋体"/>
                <w:b/>
                <w:color w:val="000000" w:themeColor="text1"/>
                <w:spacing w:val="-20"/>
                <w:sz w:val="20"/>
                <w:szCs w:val="20"/>
                <w:lang w:eastAsia="zh-CN"/>
              </w:rPr>
            </w:pPr>
            <w:r>
              <w:rPr>
                <w:rFonts w:hint="eastAsia" w:ascii="宋体" w:hAnsi="宋体"/>
                <w:b/>
                <w:color w:val="000000" w:themeColor="text1"/>
                <w:spacing w:val="-20"/>
                <w:sz w:val="20"/>
                <w:szCs w:val="20"/>
                <w:lang w:eastAsia="zh-CN"/>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管理层</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color w:val="000000" w:themeColor="text1"/>
                <w:spacing w:val="-20"/>
                <w:kern w:val="2"/>
                <w:sz w:val="20"/>
                <w:szCs w:val="20"/>
                <w:u w:val="single"/>
                <w:lang w:val="en-US" w:eastAsia="zh-CN" w:bidi="ar-SA"/>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供销部</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color w:val="000000" w:themeColor="text1"/>
                <w:spacing w:val="-20"/>
                <w:kern w:val="2"/>
                <w:sz w:val="20"/>
                <w:szCs w:val="20"/>
                <w:u w:val="single"/>
                <w:lang w:val="en-US" w:eastAsia="zh-CN" w:bidi="ar-SA"/>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办公室</w:t>
            </w:r>
          </w:p>
        </w:tc>
        <w:tc>
          <w:tcPr>
            <w:tcW w:w="680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color w:val="000000" w:themeColor="text1"/>
                <w:spacing w:val="-20"/>
                <w:kern w:val="2"/>
                <w:sz w:val="20"/>
                <w:szCs w:val="20"/>
                <w:u w:val="single"/>
                <w:lang w:val="en-US" w:eastAsia="zh-CN" w:bidi="ar-SA"/>
              </w:rPr>
            </w:pPr>
            <w:r>
              <w:rPr>
                <w:rFonts w:hint="eastAsia"/>
                <w:sz w:val="21"/>
                <w:szCs w:val="21"/>
                <w:lang w:val="en-US" w:eastAsia="zh-CN"/>
              </w:rPr>
              <w:t>5.3/7.2/7.3/7.4/7.5/8.2/9.2/6.1.2/6.1.3/6.2/8.1/9.1.2/10.2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线路铁附件、标识牌、电力金具、钢绞线的销售</w:t>
            </w:r>
          </w:p>
        </w:tc>
        <w:tc>
          <w:tcPr>
            <w:tcW w:w="251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Cs w:val="21"/>
                <w:lang w:val="en-US" w:eastAsia="zh-CN"/>
              </w:rPr>
              <w:t>销售</w:t>
            </w:r>
          </w:p>
        </w:tc>
        <w:tc>
          <w:tcPr>
            <w:tcW w:w="18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FF0000"/>
                <w:sz w:val="20"/>
                <w:szCs w:val="20"/>
              </w:rPr>
            </w:pPr>
            <w:r>
              <w:rPr>
                <w:rFonts w:hint="eastAsia" w:ascii="宋体" w:hAnsi="宋体"/>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FF0000"/>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bookmarkStart w:id="20" w:name="OLE_LINK1"/>
      <w:r>
        <w:rPr>
          <w:rFonts w:hint="eastAsia" w:ascii="宋体" w:hAnsi="宋体"/>
          <w:szCs w:val="21"/>
          <w:lang w:val="en-US" w:eastAsia="zh-CN"/>
        </w:rPr>
        <w:t>1</w:t>
      </w:r>
      <w:r>
        <w:rPr>
          <w:rFonts w:hint="eastAsia" w:ascii="宋体" w:hAnsi="宋体"/>
          <w:szCs w:val="21"/>
        </w:rPr>
        <w:t>日</w:t>
      </w:r>
      <w:bookmarkEnd w:id="20"/>
      <w:r>
        <w:rPr>
          <w:rFonts w:hint="eastAsia" w:ascii="宋体" w:hAnsi="宋体"/>
          <w:szCs w:val="21"/>
        </w:rPr>
        <w:t>至</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hint="eastAsia"/>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rPr>
                <w:rFonts w:hint="eastAsia"/>
                <w:b/>
                <w:color w:val="000000" w:themeColor="text1"/>
                <w:sz w:val="20"/>
                <w:szCs w:val="20"/>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lang w:val="en-US" w:eastAsia="zh-CN"/>
              </w:rPr>
            </w:pPr>
            <w:r>
              <w:rPr>
                <w:rFonts w:hint="eastAsia"/>
                <w:lang w:val="en-US" w:eastAsia="zh-CN"/>
              </w:rPr>
              <w:t xml:space="preserve">1. </w:t>
            </w:r>
            <w:r>
              <w:rPr>
                <w:rFonts w:hint="eastAsia" w:cs="宋体"/>
              </w:rPr>
              <w:t>管理方针：</w:t>
            </w:r>
            <w:r>
              <w:rPr>
                <w:rFonts w:hint="eastAsia" w:cs="宋体"/>
                <w:lang w:eastAsia="zh-CN"/>
              </w:rPr>
              <w:t>科学管理，遵守法规，预防污染，持续改进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spacing w:line="240" w:lineRule="exact"/>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eastAsia="zh-CN"/>
              </w:rPr>
              <w:t>培训</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w:t>
            </w:r>
            <w:r>
              <w:rPr>
                <w:rFonts w:hint="eastAsia" w:cs="宋体"/>
                <w:lang w:val="en-US" w:eastAsia="zh-CN"/>
              </w:rPr>
              <w:t>处置</w:t>
            </w:r>
            <w:r>
              <w:rPr>
                <w:rFonts w:hint="eastAsia" w:cs="宋体"/>
                <w:lang w:eastAsia="zh-CN"/>
              </w:rPr>
              <w:t>；杜绝火灾事故发生</w:t>
            </w:r>
            <w:r>
              <w:rPr>
                <w:rFonts w:hint="eastAsia" w:ascii="Times New Roman" w:hAnsi="Times New Roman" w:cs="宋体"/>
              </w:rPr>
              <w:t>。</w:t>
            </w:r>
          </w:p>
          <w:p>
            <w:pPr>
              <w:spacing w:line="240" w:lineRule="exact"/>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2</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w:t>
            </w:r>
            <w:r>
              <w:rPr>
                <w:rFonts w:hint="eastAsia" w:cs="宋体"/>
                <w:lang w:val="en-US" w:eastAsia="zh-CN"/>
              </w:rPr>
              <w:t>处置</w:t>
            </w:r>
            <w:r>
              <w:rPr>
                <w:rFonts w:hint="eastAsia" w:cs="宋体"/>
                <w:lang w:eastAsia="zh-CN"/>
              </w:rPr>
              <w:t>；杜绝火灾事故发生</w:t>
            </w:r>
            <w:r>
              <w:rPr>
                <w:rFonts w:hint="eastAsia" w:ascii="Times New Roman" w:hAnsi="Times New Roman" w:cs="宋体"/>
              </w:rPr>
              <w:t>。</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2</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t>任丘市创新大厦A座1601</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200平米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sz w:val="21"/>
                <w:szCs w:val="21"/>
              </w:rPr>
              <w:t>公司对法律法规及其他要求进行了获取，包括质量法、合同法、环境保护法、劳动法、消防法、环境空气质量标准、固体废弃物环境防治法、仓库防火安全管理规则、GB3095-2012《环境空气质量标准》、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eastAsia="宋体"/>
                <w:sz w:val="21"/>
                <w:szCs w:val="21"/>
                <w:u w:val="none"/>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numPr>
                <w:ilvl w:val="0"/>
                <w:numId w:val="4"/>
              </w:numPr>
              <w:kinsoku/>
              <w:wordWrap/>
              <w:overflowPunct/>
              <w:topLinePunct w:val="0"/>
              <w:autoSpaceDE/>
              <w:autoSpaceDN/>
              <w:bidi w:val="0"/>
              <w:adjustRightInd/>
              <w:snapToGrid/>
              <w:spacing w:line="380" w:lineRule="exact"/>
              <w:textAlignment w:val="auto"/>
              <w:rPr>
                <w:rFonts w:hint="eastAsia" w:eastAsia="宋体"/>
                <w:lang w:eastAsia="zh-CN"/>
              </w:rPr>
            </w:pPr>
            <w:r>
              <w:rPr>
                <w:rFonts w:hint="eastAsia" w:cs="宋体"/>
              </w:rPr>
              <w:t>管理方针：</w:t>
            </w:r>
            <w:r>
              <w:rPr>
                <w:rFonts w:hint="eastAsia" w:cs="宋体"/>
                <w:lang w:eastAsia="zh-CN"/>
              </w:rPr>
              <w:t>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spacing w:line="300" w:lineRule="exact"/>
              <w:ind w:left="1"/>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szCs w:val="21"/>
              </w:rPr>
            </w:pPr>
            <w:r>
              <w:rPr>
                <w:rFonts w:hint="eastAsia" w:ascii="楷体_GB2312" w:eastAsia="楷体_GB2312"/>
                <w:b/>
                <w:color w:val="000000" w:themeColor="text1"/>
                <w:sz w:val="20"/>
                <w:szCs w:val="20"/>
              </w:rPr>
              <w:t>外部信息的接收、成文并答复的情况（E、S填写）：</w:t>
            </w:r>
            <w:r>
              <w:rPr>
                <w:rFonts w:hint="eastAsia" w:ascii="宋体" w:hAnsi="宋体"/>
                <w:szCs w:val="21"/>
              </w:rPr>
              <w:t>与上级主管部门的沟通，目前沟通都较为顺畅。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szCs w:val="21"/>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办公室未</w:t>
            </w:r>
            <w:r>
              <w:rPr>
                <w:rFonts w:hint="eastAsia"/>
                <w:sz w:val="21"/>
                <w:szCs w:val="21"/>
              </w:rPr>
              <w:t>配置灭火器等消防设施</w:t>
            </w:r>
            <w:r>
              <w:rPr>
                <w:rFonts w:hint="eastAsia"/>
                <w:sz w:val="21"/>
                <w:szCs w:val="21"/>
                <w:lang w:eastAsia="zh-CN"/>
              </w:rPr>
              <w:t>，</w:t>
            </w:r>
            <w:r>
              <w:rPr>
                <w:rFonts w:hint="eastAsia"/>
                <w:sz w:val="21"/>
                <w:szCs w:val="21"/>
                <w:lang w:val="en-US" w:eastAsia="zh-CN"/>
              </w:rPr>
              <w:t>已开具不符合报告，要求限期整改</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auto"/>
                <w:szCs w:val="21"/>
              </w:rPr>
            </w:pPr>
            <w:r>
              <w:rPr>
                <w:rFonts w:hint="eastAsia"/>
                <w:b/>
                <w:color w:val="auto"/>
                <w:szCs w:val="21"/>
              </w:rPr>
              <w:t>(四)监视测量方面</w:t>
            </w:r>
          </w:p>
        </w:tc>
        <w:tc>
          <w:tcPr>
            <w:tcW w:w="9198" w:type="dxa"/>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5" w:firstLineChars="50"/>
              <w:rPr>
                <w:b/>
                <w:color w:val="auto"/>
                <w:sz w:val="20"/>
                <w:szCs w:val="20"/>
              </w:rPr>
            </w:pPr>
            <w:r>
              <w:rPr>
                <w:rFonts w:hint="eastAsia"/>
                <w:color w:val="auto"/>
                <w:sz w:val="21"/>
                <w:szCs w:val="21"/>
              </w:rPr>
              <w:t>提供了文件化可分解的目标、指标，经查问分解到各部门，经查阅建立的管理目标符合标准要求，在方针的框架下展开，每</w:t>
            </w:r>
            <w:r>
              <w:rPr>
                <w:rFonts w:hint="eastAsia"/>
                <w:color w:val="auto"/>
                <w:sz w:val="21"/>
                <w:szCs w:val="21"/>
                <w:lang w:val="en-US" w:eastAsia="zh-CN"/>
              </w:rPr>
              <w:t>季度</w:t>
            </w:r>
            <w:r>
              <w:rPr>
                <w:rFonts w:hint="eastAsia"/>
                <w:color w:val="auto"/>
                <w:sz w:val="21"/>
                <w:szCs w:val="21"/>
              </w:rPr>
              <w:t>考核一次，查看20</w:t>
            </w:r>
            <w:r>
              <w:rPr>
                <w:rFonts w:hint="eastAsia"/>
                <w:color w:val="auto"/>
                <w:sz w:val="21"/>
                <w:szCs w:val="21"/>
                <w:lang w:val="en-US" w:eastAsia="zh-CN"/>
              </w:rPr>
              <w:t>20</w:t>
            </w:r>
            <w:r>
              <w:rPr>
                <w:rFonts w:hint="eastAsia"/>
                <w:color w:val="auto"/>
                <w:sz w:val="21"/>
                <w:szCs w:val="21"/>
              </w:rPr>
              <w:t>年考核结果，经查目标完成。并制定了管理方案，经查已完成，符合要求</w:t>
            </w: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numPr>
                <w:ilvl w:val="0"/>
                <w:numId w:val="5"/>
              </w:numPr>
              <w:spacing w:line="240" w:lineRule="exact"/>
              <w:ind w:left="100" w:hanging="100" w:hangingChars="50"/>
              <w:rPr>
                <w:rFonts w:hint="eastAsia"/>
                <w:b/>
                <w:color w:val="auto"/>
                <w:sz w:val="20"/>
                <w:szCs w:val="20"/>
              </w:rPr>
            </w:pPr>
            <w:r>
              <w:rPr>
                <w:rFonts w:hint="eastAsia"/>
                <w:b/>
                <w:color w:val="auto"/>
                <w:sz w:val="20"/>
                <w:szCs w:val="20"/>
              </w:rPr>
              <w:t>顾客满意</w:t>
            </w:r>
          </w:p>
          <w:p>
            <w:pPr>
              <w:numPr>
                <w:numId w:val="0"/>
              </w:numPr>
              <w:spacing w:line="240" w:lineRule="exact"/>
              <w:rPr>
                <w:rFonts w:hint="default"/>
                <w:color w:val="auto"/>
                <w:sz w:val="21"/>
                <w:szCs w:val="21"/>
                <w:lang w:val="en-US" w:eastAsia="zh-CN"/>
              </w:rPr>
            </w:pPr>
            <w:r>
              <w:rPr>
                <w:rFonts w:hint="eastAsia"/>
                <w:b/>
                <w:color w:val="auto"/>
                <w:sz w:val="20"/>
                <w:szCs w:val="20"/>
                <w:lang w:val="en-US" w:eastAsia="zh-CN"/>
              </w:rPr>
              <w:t xml:space="preserve">  </w:t>
            </w:r>
            <w:r>
              <w:rPr>
                <w:rFonts w:hint="eastAsia"/>
                <w:color w:val="auto"/>
                <w:sz w:val="21"/>
                <w:szCs w:val="21"/>
                <w:lang w:val="en-US" w:eastAsia="zh-CN"/>
              </w:rPr>
              <w:t>不涉及</w:t>
            </w:r>
          </w:p>
          <w:p>
            <w:pPr>
              <w:numPr>
                <w:numId w:val="0"/>
              </w:numPr>
              <w:spacing w:line="240" w:lineRule="exact"/>
              <w:ind w:leftChars="-50"/>
              <w:rPr>
                <w:rFonts w:hint="eastAsia"/>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20年11月10日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11</w:t>
            </w:r>
            <w:r>
              <w:rPr>
                <w:rFonts w:hint="eastAsia" w:cs="宋体"/>
              </w:rPr>
              <w:t>月</w:t>
            </w:r>
            <w:r>
              <w:rPr>
                <w:rFonts w:hint="eastAsia"/>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eastAsia="zh-CN"/>
              </w:rPr>
            </w:pPr>
            <w:r>
              <w:rPr>
                <w:rFonts w:hint="eastAsia"/>
                <w:sz w:val="21"/>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eastAsia="zh-CN"/>
              </w:rPr>
            </w:pPr>
            <w:r>
              <w:rPr>
                <w:rFonts w:hint="eastAsia"/>
                <w:sz w:val="21"/>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eastAsia="zh-CN"/>
              </w:rPr>
            </w:pP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sz w:val="21"/>
                <w:szCs w:val="21"/>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7"/>
              </w:numPr>
              <w:spacing w:line="240" w:lineRule="exact"/>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rPr>
                <w:rFonts w:hint="eastAsia" w:eastAsia="宋体"/>
                <w:b/>
                <w:color w:val="000000" w:themeColor="text1"/>
                <w:sz w:val="20"/>
                <w:szCs w:val="20"/>
                <w:lang w:eastAsia="zh-CN"/>
              </w:rPr>
            </w:pP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b/>
          <w:color w:val="000000" w:themeColor="text1"/>
          <w:lang w:val="en-US" w:eastAsia="zh-CN"/>
        </w:rPr>
        <w:t xml:space="preserve"> 供销</w:t>
      </w:r>
      <w:r>
        <w:rPr>
          <w:rFonts w:hint="eastAsia"/>
          <w:b/>
          <w:color w:val="000000" w:themeColor="text1"/>
        </w:rPr>
        <w:t>部门</w:t>
      </w:r>
      <w:r>
        <w:rPr>
          <w:rFonts w:hint="eastAsia"/>
          <w:b/>
          <w:color w:val="000000" w:themeColor="text1"/>
          <w:lang w:val="en-US" w:eastAsia="zh-CN"/>
        </w:rPr>
        <w:t>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昊业电力器材有限公司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lang w:val="en-US" w:eastAsia="zh-CN"/>
              </w:rPr>
            </w:pPr>
            <w:r>
              <w:rPr>
                <w:rFonts w:hint="eastAsia"/>
                <w:b/>
                <w:color w:val="000000" w:themeColor="text1"/>
                <w:spacing w:val="-10"/>
                <w:szCs w:val="21"/>
              </w:rPr>
              <w:sym w:font="Wingdings 2" w:char="0052"/>
            </w:r>
            <w:r>
              <w:rPr>
                <w:rFonts w:hint="eastAsia"/>
                <w:b/>
                <w:color w:val="000000" w:themeColor="text1"/>
              </w:rPr>
              <w:t>审核范围适宜，与申请范围一致</w:t>
            </w:r>
            <w:r>
              <w:rPr>
                <w:rFonts w:hint="eastAsia"/>
                <w:b/>
                <w:color w:val="000000" w:themeColor="text1"/>
                <w:lang w:val="en-US" w:eastAsia="zh-CN"/>
              </w:rPr>
              <w:t xml:space="preserve"> </w:t>
            </w:r>
          </w:p>
          <w:p>
            <w:pPr>
              <w:rPr>
                <w:rFonts w:hint="eastAsia" w:eastAsia="宋体"/>
                <w:b/>
                <w:color w:val="000000" w:themeColor="text1"/>
                <w:lang w:val="en-US" w:eastAsia="zh-CN"/>
              </w:rPr>
            </w:pPr>
            <w:r>
              <w:rPr>
                <w:rFonts w:hint="eastAsia" w:ascii="宋体" w:hAnsi="宋体"/>
                <w:szCs w:val="21"/>
              </w:rPr>
              <w:t>线路铁附件、标识牌、电力金具、钢绞线的销售</w:t>
            </w:r>
            <w:r>
              <w:rPr>
                <w:rFonts w:hint="eastAsia" w:ascii="宋体" w:hAnsi="宋体"/>
                <w:szCs w:val="21"/>
                <w:lang w:eastAsia="zh-CN"/>
              </w:rPr>
              <w:t>及相关环境管理活动。</w:t>
            </w:r>
          </w:p>
          <w:p>
            <w:pPr>
              <w:rPr>
                <w:rFonts w:hint="eastAsia"/>
                <w:b/>
                <w:color w:val="000000" w:themeColor="text1"/>
                <w:lang w:val="en-US" w:eastAsia="zh-CN"/>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r>
        <w:rPr>
          <w:rFonts w:hint="eastAsia" w:eastAsia="宋体"/>
          <w:b/>
          <w:color w:val="000000" w:themeColor="text1"/>
          <w:sz w:val="26"/>
          <w:szCs w:val="26"/>
          <w:lang w:eastAsia="zh-CN"/>
        </w:rPr>
        <w:drawing>
          <wp:inline distT="0" distB="0" distL="114300" distR="114300">
            <wp:extent cx="1076325" cy="219075"/>
            <wp:effectExtent l="0" t="0" r="9525" b="9525"/>
            <wp:docPr id="4" name="图片 4"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6a5c841a37020f1737749b4fa126c"/>
                    <pic:cNvPicPr>
                      <a:picLocks noChangeAspect="1"/>
                    </pic:cNvPicPr>
                  </pic:nvPicPr>
                  <pic:blipFill>
                    <a:blip r:embed="rId6"/>
                    <a:stretch>
                      <a:fillRect/>
                    </a:stretch>
                  </pic:blipFill>
                  <pic:spPr>
                    <a:xfrm>
                      <a:off x="0" y="0"/>
                      <a:ext cx="1076325" cy="219075"/>
                    </a:xfrm>
                    <a:prstGeom prst="rect">
                      <a:avLst/>
                    </a:prstGeom>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sz w:val="22"/>
          <w:szCs w:val="22"/>
          <w:lang w:eastAsia="zh-CN"/>
        </w:rPr>
      </w:pPr>
      <w:r>
        <w:rPr>
          <w:rFonts w:hint="eastAsia"/>
          <w:b/>
          <w:color w:val="000000" w:themeColor="text1"/>
          <w:sz w:val="26"/>
          <w:szCs w:val="26"/>
        </w:rPr>
        <w:t>审核组组员（签名）：</w:t>
      </w:r>
      <w:r>
        <w:rPr>
          <w:rFonts w:hint="eastAsia" w:eastAsia="宋体"/>
          <w:sz w:val="22"/>
          <w:szCs w:val="22"/>
          <w:lang w:eastAsia="zh-CN"/>
        </w:rPr>
        <w:drawing>
          <wp:inline distT="0" distB="0" distL="114300" distR="114300">
            <wp:extent cx="657225" cy="314325"/>
            <wp:effectExtent l="0" t="0" r="9525" b="9525"/>
            <wp:docPr id="8" name="图片 8" descr="da4a7edeca0cb808b54a6493f44b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a4a7edeca0cb808b54a6493f44b385"/>
                    <pic:cNvPicPr>
                      <a:picLocks noChangeAspect="1"/>
                    </pic:cNvPicPr>
                  </pic:nvPicPr>
                  <pic:blipFill>
                    <a:blip r:embed="rId7"/>
                    <a:stretch>
                      <a:fillRect/>
                    </a:stretch>
                  </pic:blipFill>
                  <pic:spPr>
                    <a:xfrm>
                      <a:off x="0" y="0"/>
                      <a:ext cx="657225" cy="314325"/>
                    </a:xfrm>
                    <a:prstGeom prst="rect">
                      <a:avLst/>
                    </a:prstGeom>
                  </pic:spPr>
                </pic:pic>
              </a:graphicData>
            </a:graphic>
          </wp:inline>
        </w:drawing>
      </w:r>
    </w:p>
    <w:p>
      <w:pPr>
        <w:snapToGrid w:val="0"/>
        <w:spacing w:after="156" w:afterLines="50" w:line="360" w:lineRule="auto"/>
        <w:ind w:left="151" w:leftChars="72" w:firstLine="2798" w:firstLineChars="1272"/>
        <w:rPr>
          <w:b/>
          <w:color w:val="000000" w:themeColor="text1"/>
          <w:sz w:val="16"/>
          <w:szCs w:val="16"/>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835660</wp:posOffset>
            </wp:positionH>
            <wp:positionV relativeFrom="paragraph">
              <wp:posOffset>8379460</wp:posOffset>
            </wp:positionV>
            <wp:extent cx="215900" cy="104140"/>
            <wp:effectExtent l="0" t="0" r="12700" b="1016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8"/>
                    <a:stretch>
                      <a:fillRect/>
                    </a:stretch>
                  </pic:blipFill>
                  <pic:spPr>
                    <a:xfrm>
                      <a:off x="0" y="0"/>
                      <a:ext cx="215900" cy="104140"/>
                    </a:xfrm>
                    <a:prstGeom prst="rect">
                      <a:avLst/>
                    </a:prstGeom>
                  </pic:spPr>
                </pic:pic>
              </a:graphicData>
            </a:graphic>
          </wp:anchor>
        </w:drawing>
      </w:r>
      <w:r>
        <w:rPr>
          <w:rFonts w:hint="eastAsia"/>
          <w:b/>
          <w:color w:val="000000" w:themeColor="text1"/>
        </w:rPr>
        <w:t>日期</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rPr>
        <w:drawing>
          <wp:inline distT="0" distB="0" distL="114300" distR="114300">
            <wp:extent cx="1075690" cy="218440"/>
            <wp:effectExtent l="0" t="0" r="10160" b="10160"/>
            <wp:docPr id="3" name="图片 3"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6a5c841a37020f1737749b4fa126c"/>
                    <pic:cNvPicPr>
                      <a:picLocks noChangeAspect="1"/>
                    </pic:cNvPicPr>
                  </pic:nvPicPr>
                  <pic:blipFill>
                    <a:blip r:embed="rId6"/>
                    <a:stretch>
                      <a:fillRect/>
                    </a:stretch>
                  </pic:blipFill>
                  <pic:spPr>
                    <a:xfrm>
                      <a:off x="0" y="0"/>
                      <a:ext cx="1075690" cy="218440"/>
                    </a:xfrm>
                    <a:prstGeom prst="rect">
                      <a:avLst/>
                    </a:prstGeom>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29</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 xml:space="preserve">  1份</w:t>
      </w:r>
      <w:bookmarkStart w:id="22" w:name="_GoBack"/>
      <w:bookmarkEnd w:id="22"/>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A9BBD"/>
    <w:multiLevelType w:val="singleLevel"/>
    <w:tmpl w:val="98FA9BBD"/>
    <w:lvl w:ilvl="0" w:tentative="0">
      <w:start w:val="2"/>
      <w:numFmt w:val="decimal"/>
      <w:suff w:val="nothing"/>
      <w:lvlText w:val="%1、"/>
      <w:lvlJc w:val="left"/>
    </w:lvl>
  </w:abstractNum>
  <w:abstractNum w:abstractNumId="1">
    <w:nsid w:val="CFA19A51"/>
    <w:multiLevelType w:val="singleLevel"/>
    <w:tmpl w:val="CFA19A51"/>
    <w:lvl w:ilvl="0" w:tentative="0">
      <w:start w:val="5"/>
      <w:numFmt w:val="decimal"/>
      <w:suff w:val="space"/>
      <w:lvlText w:val="%1."/>
      <w:lvlJc w:val="left"/>
    </w:lvl>
  </w:abstractNum>
  <w:abstractNum w:abstractNumId="2">
    <w:nsid w:val="11EEEEF9"/>
    <w:multiLevelType w:val="singleLevel"/>
    <w:tmpl w:val="11EEEEF9"/>
    <w:lvl w:ilvl="0" w:tentative="0">
      <w:start w:val="1"/>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91249B"/>
    <w:multiLevelType w:val="singleLevel"/>
    <w:tmpl w:val="4E91249B"/>
    <w:lvl w:ilvl="0" w:tentative="0">
      <w:start w:val="2"/>
      <w:numFmt w:val="decimal"/>
      <w:lvlText w:val="%1."/>
      <w:lvlJc w:val="left"/>
      <w:pPr>
        <w:tabs>
          <w:tab w:val="left" w:pos="312"/>
        </w:tabs>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7F565D29"/>
    <w:multiLevelType w:val="singleLevel"/>
    <w:tmpl w:val="7F565D29"/>
    <w:lvl w:ilvl="0" w:tentative="0">
      <w:start w:val="4"/>
      <w:numFmt w:val="decimal"/>
      <w:lvlText w:val="%1."/>
      <w:lvlJc w:val="left"/>
      <w:pPr>
        <w:tabs>
          <w:tab w:val="left" w:pos="312"/>
        </w:tabs>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FC7C91"/>
    <w:rsid w:val="2EA01A4C"/>
    <w:rsid w:val="33B44180"/>
    <w:rsid w:val="41925F01"/>
    <w:rsid w:val="4DAC70A2"/>
    <w:rsid w:val="50D54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2020-12-29T06:17:04Z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