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lang w:val="en-US" w:eastAsia="zh-CN"/>
        </w:rPr>
        <w:t>大庆市华禹石油机械制造</w:t>
      </w:r>
      <w:r>
        <w:rPr>
          <w:rFonts w:hint="eastAsia" w:ascii="宋体" w:hAnsi="宋体"/>
          <w:sz w:val="32"/>
          <w:u w:val="single"/>
        </w:rPr>
        <w:t>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rPr>
        <w:t>00</w:t>
      </w:r>
      <w:r>
        <w:rPr>
          <w:rFonts w:hint="eastAsia" w:ascii="宋体" w:hAnsi="宋体"/>
          <w:sz w:val="32"/>
          <w:lang w:val="en-US" w:eastAsia="zh-CN"/>
        </w:rPr>
        <w:t>81</w:t>
      </w:r>
      <w:r>
        <w:rPr>
          <w:rFonts w:hint="eastAsia" w:ascii="宋体" w:hAnsi="宋体"/>
          <w:sz w:val="32"/>
        </w:rPr>
        <w:t>-2019-2020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2020</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w:t>
      </w:r>
      <w:r>
        <w:rPr>
          <w:rFonts w:hint="eastAsia" w:ascii="Times New Roman" w:hAnsi="Times New Roman" w:eastAsia="宋体" w:cs="Times New Roman"/>
          <w:bCs/>
          <w:kern w:val="0"/>
          <w:sz w:val="18"/>
          <w:szCs w:val="18"/>
          <w:u w:val="single"/>
          <w:lang w:val="en-US" w:eastAsia="zh-CN"/>
        </w:rPr>
        <w:t>81</w:t>
      </w:r>
      <w:r>
        <w:rPr>
          <w:rFonts w:ascii="Times New Roman" w:hAnsi="Times New Roman" w:eastAsia="宋体" w:cs="Times New Roman"/>
          <w:bCs/>
          <w:kern w:val="0"/>
          <w:sz w:val="18"/>
          <w:szCs w:val="18"/>
          <w:u w:val="single"/>
        </w:rPr>
        <w:t>-2019-2020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hint="eastAsia" w:cs="宋体" w:asciiTheme="minorEastAsia" w:hAnsiTheme="minorEastAsia"/>
                <w:kern w:val="0"/>
                <w:szCs w:val="21"/>
                <w:lang w:val="en-US" w:eastAsia="zh-CN"/>
              </w:rPr>
              <w:t>大庆市华禹石油机械制造</w:t>
            </w:r>
            <w:r>
              <w:rPr>
                <w:rFonts w:cs="宋体" w:asciiTheme="minorEastAsia" w:hAnsiTheme="minorEastAsia"/>
                <w:kern w:val="0"/>
                <w:szCs w:val="21"/>
              </w:rPr>
              <w:t>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邱景辉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ISC-2016-0085</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2021-12-27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审核开始日"/>
            <w:r>
              <w:rPr>
                <w:rFonts w:cs="宋体" w:asciiTheme="minorEastAsia" w:hAnsiTheme="minorEastAsia"/>
                <w:kern w:val="0"/>
                <w:szCs w:val="21"/>
              </w:rPr>
              <w:t>2020年12月1</w:t>
            </w:r>
            <w:r>
              <w:rPr>
                <w:rFonts w:hint="eastAsia" w:cs="宋体" w:asciiTheme="minorEastAsia" w:hAnsiTheme="minorEastAsia"/>
                <w:kern w:val="0"/>
                <w:szCs w:val="21"/>
                <w:lang w:val="en-US" w:eastAsia="zh-CN"/>
              </w:rPr>
              <w:t>8</w:t>
            </w:r>
            <w:r>
              <w:rPr>
                <w:rFonts w:cs="宋体" w:asciiTheme="minorEastAsia" w:hAnsiTheme="minorEastAsia"/>
                <w:kern w:val="0"/>
                <w:szCs w:val="21"/>
              </w:rPr>
              <w:t>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both"/>
              <w:rPr>
                <w:rFonts w:hint="eastAsia" w:cs="Times New Roman" w:asciiTheme="minorEastAsia" w:hAnsiTheme="minorEastAsia"/>
                <w:szCs w:val="21"/>
                <w:lang w:val="en-US" w:eastAsia="zh-CN"/>
              </w:rPr>
            </w:pP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rPr>
                <w:rFonts w:hint="eastAsia" w:ascii="宋体" w:hAnsi="宋体"/>
                <w:bCs/>
                <w:szCs w:val="21"/>
              </w:rPr>
            </w:pPr>
            <w:r>
              <w:rPr>
                <w:rFonts w:hint="eastAsia" w:ascii="新宋体" w:hAnsi="新宋体" w:eastAsia="新宋体"/>
                <w:szCs w:val="21"/>
                <w:lang w:val="en-US" w:eastAsia="zh-CN"/>
              </w:rPr>
              <w:t>管理层/质检部/综合部/研发部</w:t>
            </w:r>
          </w:p>
          <w:p>
            <w:pPr>
              <w:rPr>
                <w:rFonts w:hint="eastAsia" w:ascii="宋体" w:hAnsi="宋体"/>
                <w:bCs/>
                <w:szCs w:val="21"/>
              </w:rPr>
            </w:pPr>
            <w:r>
              <w:rPr>
                <w:rFonts w:hint="eastAsia" w:ascii="宋体" w:hAnsi="宋体"/>
                <w:bCs/>
                <w:szCs w:val="21"/>
              </w:rPr>
              <w:t>生产部(生产车间)</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bCs/>
                <w:szCs w:val="21"/>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ind w:firstLine="210" w:firstLineChars="100"/>
        <w:rPr>
          <w:rFonts w:hint="eastAsia"/>
          <w:bCs/>
          <w:sz w:val="24"/>
          <w:szCs w:val="24"/>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r>
        <w:rPr>
          <w:rFonts w:hint="eastAsia"/>
          <w:bCs/>
          <w:sz w:val="24"/>
          <w:szCs w:val="24"/>
        </w:rPr>
        <w:t xml:space="preserve"> </w:t>
      </w:r>
    </w:p>
    <w:p>
      <w:pPr>
        <w:widowControl/>
        <w:spacing w:line="360" w:lineRule="auto"/>
        <w:ind w:firstLine="240" w:firstLineChars="100"/>
        <w:rPr>
          <w:rFonts w:cs="宋体" w:asciiTheme="minorEastAsia" w:hAnsiTheme="minorEastAsia"/>
          <w:bCs/>
          <w:kern w:val="0"/>
          <w:sz w:val="24"/>
          <w:szCs w:val="24"/>
        </w:rPr>
      </w:pP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为有效评价公司测量管理体系认证后一年以来运行情况，在</w:t>
      </w:r>
      <w:r>
        <w:rPr>
          <w:rFonts w:hint="eastAsia" w:ascii="宋体" w:hAnsi="宋体"/>
          <w:sz w:val="24"/>
          <w:szCs w:val="24"/>
          <w:lang w:eastAsia="zh-CN"/>
        </w:rPr>
        <w:t>大庆市华禹石油机械制造</w:t>
      </w:r>
      <w:r>
        <w:rPr>
          <w:rFonts w:hint="eastAsia" w:ascii="宋体" w:hAnsi="宋体"/>
          <w:sz w:val="24"/>
          <w:szCs w:val="24"/>
        </w:rPr>
        <w:t>有限</w:t>
      </w:r>
      <w:r>
        <w:rPr>
          <w:rFonts w:hint="eastAsia" w:ascii="宋体" w:hAnsi="宋体"/>
          <w:sz w:val="24"/>
          <w:szCs w:val="24"/>
          <w:lang w:val="en-US" w:eastAsia="zh-CN"/>
        </w:rPr>
        <w:t>公司现场</w:t>
      </w:r>
      <w:r>
        <w:rPr>
          <w:rFonts w:hint="eastAsia" w:ascii="宋体" w:hAnsi="宋体"/>
          <w:sz w:val="24"/>
          <w:szCs w:val="24"/>
        </w:rPr>
        <w:t>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9"/>
          <w:rFonts w:hint="eastAsia" w:ascii="宋体" w:eastAsia="宋体"/>
          <w:sz w:val="24"/>
          <w:szCs w:val="24"/>
        </w:rPr>
        <w:t>及测量设备量值溯源完成情况</w:t>
      </w:r>
      <w:r>
        <w:rPr>
          <w:rStyle w:val="9"/>
          <w:rFonts w:hint="eastAsia" w:ascii="宋体" w:eastAsia="宋体"/>
          <w:sz w:val="24"/>
          <w:szCs w:val="24"/>
          <w:lang w:eastAsia="zh-CN"/>
        </w:rPr>
        <w:t>等</w:t>
      </w:r>
      <w:r>
        <w:rPr>
          <w:rStyle w:val="9"/>
          <w:rFonts w:hint="eastAsia" w:ascii="宋体" w:eastAsia="宋体"/>
          <w:sz w:val="24"/>
          <w:szCs w:val="24"/>
        </w:rPr>
        <w:t>。</w:t>
      </w:r>
      <w:r>
        <w:rPr>
          <w:rStyle w:val="9"/>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完善了资源的配备，企业制定的</w:t>
      </w:r>
      <w:r>
        <w:rPr>
          <w:rFonts w:hint="eastAsia" w:ascii="宋体" w:hAnsi="宋体"/>
          <w:bCs/>
          <w:sz w:val="24"/>
          <w:szCs w:val="24"/>
        </w:rPr>
        <w:t>质量目标</w:t>
      </w:r>
      <w:r>
        <w:rPr>
          <w:rFonts w:hint="eastAsia" w:ascii="宋体" w:hAnsi="宋体"/>
          <w:bCs/>
          <w:sz w:val="24"/>
          <w:szCs w:val="24"/>
          <w:lang w:eastAsia="zh-CN"/>
        </w:rPr>
        <w:t>能</w:t>
      </w:r>
      <w:r>
        <w:rPr>
          <w:rFonts w:hint="eastAsia" w:ascii="宋体" w:hAnsi="宋体"/>
          <w:bCs/>
          <w:sz w:val="24"/>
          <w:szCs w:val="24"/>
        </w:rPr>
        <w:t>按规定的内容和时间进行考核，</w:t>
      </w:r>
      <w:r>
        <w:rPr>
          <w:rFonts w:hint="eastAsia" w:ascii="宋体" w:hAnsi="宋体"/>
          <w:bCs/>
          <w:sz w:val="24"/>
          <w:szCs w:val="24"/>
          <w:lang w:val="en-US" w:eastAsia="zh-CN"/>
        </w:rPr>
        <w:t>2020</w:t>
      </w:r>
      <w:r>
        <w:rPr>
          <w:rFonts w:hint="eastAsia" w:ascii="宋体" w:hAnsi="宋体"/>
          <w:bCs/>
          <w:sz w:val="24"/>
          <w:szCs w:val="24"/>
        </w:rPr>
        <w:t>年度质量目标完成情况较好；</w:t>
      </w:r>
      <w:r>
        <w:rPr>
          <w:rFonts w:hint="eastAsia" w:ascii="宋体" w:hAnsi="宋体"/>
          <w:bCs/>
          <w:sz w:val="24"/>
          <w:szCs w:val="24"/>
          <w:lang w:eastAsia="zh-CN"/>
        </w:rPr>
        <w:t>大庆市华禹石油机械制造</w:t>
      </w:r>
      <w:r>
        <w:rPr>
          <w:rFonts w:hint="eastAsia" w:ascii="宋体" w:hAnsi="宋体"/>
          <w:bCs/>
          <w:sz w:val="24"/>
          <w:szCs w:val="24"/>
        </w:rPr>
        <w:t>有限</w:t>
      </w:r>
      <w:r>
        <w:rPr>
          <w:rFonts w:hint="eastAsia" w:ascii="宋体" w:hAnsi="宋体"/>
          <w:bCs/>
          <w:sz w:val="24"/>
          <w:szCs w:val="24"/>
          <w:lang w:val="en-US" w:eastAsia="zh-CN"/>
        </w:rPr>
        <w:t>公司</w:t>
      </w:r>
      <w:r>
        <w:rPr>
          <w:rFonts w:hint="eastAsia" w:ascii="宋体" w:hAnsi="宋体"/>
          <w:bCs/>
          <w:sz w:val="24"/>
          <w:szCs w:val="24"/>
        </w:rPr>
        <w:t>测量</w:t>
      </w:r>
      <w:r>
        <w:rPr>
          <w:rFonts w:hint="eastAsia" w:ascii="宋体" w:hAnsi="宋体"/>
          <w:sz w:val="24"/>
          <w:szCs w:val="24"/>
        </w:rPr>
        <w:t>管理体系的符合性、有效性及持续改进，符合GB/T 19022-2003标准要求，</w:t>
      </w:r>
      <w:r>
        <w:rPr>
          <w:rFonts w:hint="eastAsia" w:ascii="Calibri" w:hAnsi="Calibri"/>
          <w:sz w:val="24"/>
          <w:szCs w:val="24"/>
        </w:rPr>
        <w:t>公司</w:t>
      </w:r>
      <w:r>
        <w:rPr>
          <w:rFonts w:hint="eastAsia" w:ascii="宋体" w:hAnsi="宋体"/>
          <w:sz w:val="24"/>
          <w:szCs w:val="24"/>
        </w:rPr>
        <w:t>测量管理体系正常有序运行，较好地满足了公司生产、销售和持续发展的需要。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9"/>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11</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5</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9"/>
          <w:rFonts w:hint="eastAsia" w:ascii="宋体" w:eastAsia="宋体"/>
          <w:sz w:val="24"/>
          <w:szCs w:val="24"/>
        </w:rPr>
        <w:t>按GB/T 19022-2003标准的要素要求，审核共涉及了</w:t>
      </w:r>
      <w:r>
        <w:rPr>
          <w:rStyle w:val="9"/>
          <w:rFonts w:hint="eastAsia" w:ascii="宋体" w:eastAsia="宋体"/>
          <w:sz w:val="24"/>
          <w:szCs w:val="24"/>
          <w:lang w:val="en-US" w:eastAsia="zh-CN"/>
        </w:rPr>
        <w:t>5</w:t>
      </w:r>
      <w:r>
        <w:rPr>
          <w:rStyle w:val="9"/>
          <w:rFonts w:hint="eastAsia" w:ascii="宋体" w:eastAsia="宋体"/>
          <w:sz w:val="24"/>
          <w:szCs w:val="24"/>
        </w:rPr>
        <w:t>个职能部门和</w:t>
      </w:r>
      <w:r>
        <w:rPr>
          <w:rStyle w:val="9"/>
          <w:rFonts w:hint="eastAsia" w:ascii="宋体" w:eastAsia="宋体"/>
          <w:sz w:val="24"/>
          <w:szCs w:val="24"/>
          <w:lang w:val="en-US" w:eastAsia="zh-CN"/>
        </w:rPr>
        <w:t>1</w:t>
      </w:r>
      <w:r>
        <w:rPr>
          <w:rStyle w:val="9"/>
          <w:rFonts w:hint="eastAsia" w:ascii="宋体" w:eastAsia="宋体"/>
          <w:sz w:val="24"/>
          <w:szCs w:val="24"/>
        </w:rPr>
        <w:t>个生产作业单位。</w:t>
      </w:r>
      <w:r>
        <w:rPr>
          <w:rFonts w:hint="eastAsia"/>
          <w:sz w:val="24"/>
          <w:szCs w:val="24"/>
        </w:rPr>
        <w:t>审核共开具</w:t>
      </w:r>
      <w:r>
        <w:rPr>
          <w:rStyle w:val="9"/>
          <w:rFonts w:hint="eastAsia" w:ascii="宋体" w:eastAsia="宋体"/>
          <w:sz w:val="24"/>
          <w:szCs w:val="24"/>
        </w:rPr>
        <w:t xml:space="preserve">次要不符合项 </w:t>
      </w:r>
      <w:r>
        <w:rPr>
          <w:rStyle w:val="9"/>
          <w:rFonts w:hint="eastAsia" w:ascii="宋体" w:eastAsia="宋体"/>
          <w:sz w:val="24"/>
          <w:szCs w:val="24"/>
          <w:lang w:val="en-US" w:eastAsia="zh-CN"/>
        </w:rPr>
        <w:t>1</w:t>
      </w:r>
      <w:r>
        <w:rPr>
          <w:rStyle w:val="9"/>
          <w:rFonts w:hint="eastAsia" w:ascii="宋体" w:eastAsia="宋体"/>
          <w:sz w:val="24"/>
          <w:szCs w:val="24"/>
        </w:rPr>
        <w:t>项,对内审发现的问题，制定了有效的纠正措施</w:t>
      </w:r>
      <w:r>
        <w:rPr>
          <w:rStyle w:val="9"/>
          <w:rFonts w:hint="eastAsia" w:ascii="宋体" w:eastAsia="宋体"/>
          <w:sz w:val="24"/>
          <w:szCs w:val="24"/>
          <w:lang w:eastAsia="zh-CN"/>
        </w:rPr>
        <w:t>并</w:t>
      </w:r>
      <w:r>
        <w:rPr>
          <w:rStyle w:val="9"/>
          <w:rFonts w:hint="eastAsia" w:ascii="宋体" w:eastAsia="宋体"/>
          <w:sz w:val="24"/>
          <w:szCs w:val="24"/>
        </w:rPr>
        <w:t>及时整改</w:t>
      </w:r>
      <w:r>
        <w:rPr>
          <w:rStyle w:val="9"/>
          <w:rFonts w:hint="eastAsia" w:ascii="宋体" w:eastAsia="宋体"/>
          <w:sz w:val="24"/>
          <w:szCs w:val="24"/>
          <w:lang w:val="en-US" w:eastAsia="zh-CN"/>
        </w:rPr>
        <w:t>.</w:t>
      </w:r>
    </w:p>
    <w:p>
      <w:pPr>
        <w:widowControl/>
        <w:spacing w:line="360" w:lineRule="auto"/>
        <w:ind w:firstLine="480"/>
        <w:rPr>
          <w:rFonts w:ascii="宋体" w:hAnsi="宋体"/>
          <w:sz w:val="24"/>
          <w:szCs w:val="24"/>
        </w:rPr>
      </w:pPr>
      <w:r>
        <w:rPr>
          <w:rStyle w:val="9"/>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11</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28</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公司总经理</w:t>
      </w:r>
      <w:r>
        <w:rPr>
          <w:rFonts w:hint="eastAsia" w:ascii="宋体" w:hAnsi="宋体" w:cs="黑体"/>
          <w:sz w:val="24"/>
          <w:szCs w:val="24"/>
          <w:lang w:val="en-US" w:eastAsia="zh-CN"/>
        </w:rPr>
        <w:t>席小东</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numPr>
          <w:ilvl w:val="0"/>
          <w:numId w:val="0"/>
        </w:numPr>
        <w:snapToGrid w:val="0"/>
        <w:spacing w:line="360" w:lineRule="auto"/>
        <w:ind w:leftChars="0"/>
        <w:rPr>
          <w:rFonts w:hint="eastAsia" w:ascii="宋体" w:hAnsi="宋体" w:cs="黑体"/>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w:t>
      </w:r>
      <w:r>
        <w:rPr>
          <w:rFonts w:hint="eastAsia" w:ascii="宋体" w:hAnsi="宋体" w:cs="黑体"/>
          <w:sz w:val="24"/>
          <w:szCs w:val="24"/>
          <w:lang w:val="en-US" w:eastAsia="zh-CN"/>
        </w:rPr>
        <w:t>括：</w:t>
      </w:r>
    </w:p>
    <w:p>
      <w:pPr>
        <w:numPr>
          <w:ilvl w:val="0"/>
          <w:numId w:val="0"/>
        </w:numPr>
        <w:snapToGrid w:val="0"/>
        <w:spacing w:line="360" w:lineRule="auto"/>
        <w:ind w:leftChars="0"/>
        <w:rPr>
          <w:rFonts w:ascii="宋体" w:hAnsi="宋体" w:cs="黑体"/>
          <w:sz w:val="24"/>
          <w:szCs w:val="24"/>
        </w:rPr>
      </w:pPr>
      <w:r>
        <w:rPr>
          <w:rFonts w:ascii="宋体" w:hAnsi="宋体" w:cs="黑体"/>
          <w:sz w:val="24"/>
          <w:szCs w:val="24"/>
        </w:rPr>
        <w:t xml:space="preserve">4.1 </w:t>
      </w:r>
      <w:r>
        <w:rPr>
          <w:rFonts w:hint="eastAsia" w:ascii="宋体" w:hAnsi="宋体" w:cs="黑体"/>
          <w:sz w:val="24"/>
          <w:szCs w:val="24"/>
        </w:rPr>
        <w:t>该企业主要是</w:t>
      </w:r>
      <w:r>
        <w:rPr>
          <w:rFonts w:hint="eastAsia" w:ascii="宋体" w:hAnsi="宋体" w:cs="黑体"/>
          <w:sz w:val="24"/>
          <w:szCs w:val="24"/>
          <w:lang w:eastAsia="zh-CN"/>
        </w:rPr>
        <w:t>：</w:t>
      </w:r>
      <w:bookmarkStart w:id="8" w:name="审核范围"/>
      <w:r>
        <w:rPr>
          <w:rFonts w:ascii="宋体" w:hAnsi="宋体" w:cs="黑体"/>
          <w:sz w:val="24"/>
          <w:szCs w:val="24"/>
        </w:rPr>
        <w:t>石油钻采专用设备及配件、试采工具、井下工具、井口装置和采油、防爆电器（防爆电加热器、隔爆型三相永磁同步电动机、防爆电热板）、石油专用仪器仪表、篷布、常压锅炉及配件、水处理设备、电机、油化剂、石油专用除垢装置、一般机械配件加工；螺杆泵驱动装置、潜油直取、碳纤维连续抽油杆、限闸阀、节流阀、止回阀、球阀（限井口装置和采油树用）、电力设备配件（隔离开关断路器配件）、电动机、UPS电源、高低压开关柜、软化水设备、变压器的生产和服务。抽油机及配件、模块化加热装置、除垢装置、抽油杆综合保护器、抽油机传动系统智能调整装置、机床及配件、油管及接箍的生产</w:t>
      </w:r>
      <w:r>
        <w:rPr>
          <w:rFonts w:hint="eastAsia" w:ascii="宋体" w:hAnsi="宋体" w:cs="黑体"/>
          <w:sz w:val="24"/>
          <w:szCs w:val="24"/>
          <w:lang w:val="en-US" w:eastAsia="zh-CN"/>
        </w:rPr>
        <w:t>等</w:t>
      </w:r>
      <w:bookmarkEnd w:id="8"/>
      <w:r>
        <w:rPr>
          <w:rFonts w:hint="eastAsia" w:ascii="宋体" w:hAnsi="宋体" w:cs="黑体"/>
          <w:sz w:val="24"/>
          <w:szCs w:val="24"/>
          <w:lang w:val="en-US" w:eastAsia="zh-CN"/>
        </w:rPr>
        <w:t>，共识别抽油杆保护器旋套轴外径尺寸测量等5个重要测量过程，未增加</w:t>
      </w:r>
      <w:r>
        <w:rPr>
          <w:rFonts w:hint="eastAsia" w:ascii="宋体" w:hAnsi="宋体" w:cs="黑体"/>
          <w:sz w:val="24"/>
          <w:szCs w:val="24"/>
          <w:lang w:eastAsia="zh-CN"/>
        </w:rPr>
        <w:t>新的测量过程；</w:t>
      </w:r>
      <w:r>
        <w:rPr>
          <w:rFonts w:hint="eastAsia" w:ascii="宋体" w:hAnsi="宋体" w:cs="黑体"/>
          <w:sz w:val="24"/>
          <w:szCs w:val="24"/>
        </w:rPr>
        <w:t>“</w:t>
      </w:r>
      <w:r>
        <w:rPr>
          <w:rFonts w:hint="eastAsia" w:ascii="宋体" w:hAnsi="宋体" w:cs="黑体"/>
          <w:sz w:val="24"/>
          <w:szCs w:val="24"/>
          <w:lang w:val="en-US" w:eastAsia="zh-CN"/>
        </w:rPr>
        <w:t>抽油杆保护器旋套轴外径尺寸测量</w:t>
      </w:r>
      <w:r>
        <w:rPr>
          <w:rFonts w:hint="eastAsia" w:ascii="宋体" w:hAnsi="宋体" w:cs="黑体"/>
          <w:sz w:val="24"/>
          <w:szCs w:val="24"/>
        </w:rPr>
        <w:t>”为</w:t>
      </w:r>
      <w:r>
        <w:rPr>
          <w:rFonts w:hint="eastAsia" w:ascii="宋体" w:hAnsi="宋体" w:cs="黑体"/>
          <w:sz w:val="24"/>
          <w:szCs w:val="24"/>
          <w:lang w:eastAsia="zh-CN"/>
        </w:rPr>
        <w:t>高度</w:t>
      </w:r>
      <w:r>
        <w:rPr>
          <w:rFonts w:hint="eastAsia" w:ascii="宋体" w:hAnsi="宋体" w:cs="黑体"/>
          <w:sz w:val="24"/>
          <w:szCs w:val="24"/>
        </w:rPr>
        <w:t>测量过程。企业分别对测量过程的测量要素，从重要性、技术要求、配备测量设备名称、测量范围、允许误差（测量不确定度）、环境条件、操作人员资质、测量频次、监视方法等方面，予以有效控制和识别。</w:t>
      </w:r>
    </w:p>
    <w:p>
      <w:pPr>
        <w:snapToGrid w:val="0"/>
        <w:spacing w:line="360" w:lineRule="auto"/>
        <w:rPr>
          <w:rFonts w:hint="eastAsia" w:ascii="宋体" w:hAnsi="宋体" w:cs="黑体"/>
          <w:sz w:val="24"/>
          <w:szCs w:val="24"/>
        </w:rPr>
      </w:pPr>
      <w:r>
        <w:rPr>
          <w:rFonts w:ascii="宋体" w:hAnsi="宋体" w:cs="黑体"/>
          <w:sz w:val="24"/>
          <w:szCs w:val="24"/>
        </w:rPr>
        <w:t>4.2</w:t>
      </w:r>
      <w:r>
        <w:rPr>
          <w:rFonts w:hint="eastAsia" w:ascii="宋体" w:hAnsi="宋体" w:cs="黑体"/>
          <w:sz w:val="24"/>
          <w:szCs w:val="24"/>
        </w:rPr>
        <w:t>检查了企业的测量设备《计量确认</w:t>
      </w:r>
      <w:r>
        <w:rPr>
          <w:rFonts w:hint="eastAsia" w:ascii="宋体" w:hAnsi="宋体" w:cs="黑体"/>
          <w:sz w:val="24"/>
          <w:szCs w:val="24"/>
          <w:lang w:val="en-US" w:eastAsia="zh-CN"/>
        </w:rPr>
        <w:t>周期表</w:t>
      </w:r>
      <w:r>
        <w:rPr>
          <w:rFonts w:hint="eastAsia" w:ascii="宋体" w:hAnsi="宋体" w:cs="黑体"/>
          <w:sz w:val="24"/>
          <w:szCs w:val="24"/>
        </w:rPr>
        <w:t>》，对</w:t>
      </w:r>
      <w:r>
        <w:rPr>
          <w:rFonts w:hint="eastAsia" w:ascii="宋体" w:hAnsi="宋体" w:cs="黑体"/>
          <w:sz w:val="24"/>
          <w:szCs w:val="24"/>
          <w:lang w:val="en-US" w:eastAsia="zh-CN"/>
        </w:rPr>
        <w:t>18</w:t>
      </w:r>
      <w:r>
        <w:rPr>
          <w:rFonts w:hint="eastAsia" w:ascii="宋体" w:hAnsi="宋体" w:cs="黑体"/>
          <w:sz w:val="24"/>
          <w:szCs w:val="24"/>
        </w:rPr>
        <w:t>台件测量设备器具进行了计量确认和验证。全部在有效期内，验证结果均为合格。关键测量过程：“</w:t>
      </w:r>
      <w:r>
        <w:rPr>
          <w:rFonts w:hint="eastAsia" w:ascii="宋体" w:hAnsi="宋体" w:cs="黑体"/>
          <w:sz w:val="24"/>
          <w:szCs w:val="24"/>
          <w:lang w:val="en-US" w:eastAsia="zh-CN"/>
        </w:rPr>
        <w:t>抽油杆保护器旋套轴外径尺寸测量</w:t>
      </w:r>
      <w:r>
        <w:rPr>
          <w:rFonts w:hint="eastAsia" w:ascii="宋体" w:hAnsi="宋体" w:cs="黑体"/>
          <w:sz w:val="24"/>
          <w:szCs w:val="24"/>
        </w:rPr>
        <w:t>”，计量性能测试、监视记录、监视控制图，均已按测量过程控制规范，进行了有效性监视和记录统计。</w:t>
      </w:r>
    </w:p>
    <w:p>
      <w:pPr>
        <w:snapToGrid w:val="0"/>
        <w:spacing w:line="360" w:lineRule="auto"/>
        <w:rPr>
          <w:rFonts w:ascii="宋体" w:hAnsi="宋体" w:cs="黑体"/>
          <w:sz w:val="24"/>
          <w:szCs w:val="24"/>
        </w:rPr>
      </w:pPr>
      <w:r>
        <w:rPr>
          <w:rFonts w:ascii="宋体" w:hAnsi="宋体" w:cs="黑体"/>
          <w:sz w:val="24"/>
          <w:szCs w:val="24"/>
        </w:rPr>
        <w:t xml:space="preserve">4.3. </w:t>
      </w:r>
      <w:r>
        <w:rPr>
          <w:rFonts w:hint="eastAsia" w:ascii="宋体" w:hAnsi="宋体" w:cs="黑体"/>
          <w:sz w:val="24"/>
          <w:szCs w:val="24"/>
        </w:rPr>
        <w:t>企业</w:t>
      </w:r>
      <w:r>
        <w:rPr>
          <w:rFonts w:hint="eastAsia" w:ascii="宋体" w:hAnsi="宋体" w:cs="黑体"/>
          <w:sz w:val="24"/>
          <w:szCs w:val="24"/>
          <w:lang w:eastAsia="zh-CN"/>
        </w:rPr>
        <w:t>未新</w:t>
      </w:r>
      <w:r>
        <w:rPr>
          <w:rFonts w:hint="eastAsia" w:ascii="宋体" w:hAnsi="宋体" w:cs="黑体"/>
          <w:sz w:val="24"/>
          <w:szCs w:val="24"/>
        </w:rPr>
        <w:t>增加测量过程，查看了</w:t>
      </w:r>
      <w:r>
        <w:rPr>
          <w:rFonts w:hint="eastAsia" w:ascii="宋体" w:hAnsi="宋体" w:cs="黑体"/>
          <w:sz w:val="24"/>
          <w:szCs w:val="24"/>
          <w:lang w:eastAsia="zh-CN"/>
        </w:rPr>
        <w:t>原</w:t>
      </w:r>
      <w:r>
        <w:rPr>
          <w:rFonts w:hint="eastAsia" w:ascii="宋体" w:hAnsi="宋体" w:cs="黑体"/>
          <w:sz w:val="24"/>
          <w:szCs w:val="24"/>
        </w:rPr>
        <w:t>关键测量过程，计量要求导出方法基本正确；测量设备的配备满足计量要求，测量设备经过校准，测量设备验证方法正确。</w:t>
      </w:r>
    </w:p>
    <w:p>
      <w:pPr>
        <w:snapToGrid w:val="0"/>
        <w:spacing w:line="360" w:lineRule="auto"/>
        <w:rPr>
          <w:rFonts w:ascii="宋体" w:hAnsi="宋体" w:cs="黑体"/>
          <w:sz w:val="24"/>
          <w:szCs w:val="24"/>
        </w:rPr>
      </w:pPr>
      <w:r>
        <w:rPr>
          <w:rFonts w:ascii="宋体" w:hAnsi="宋体" w:cs="黑体"/>
          <w:sz w:val="24"/>
          <w:szCs w:val="24"/>
        </w:rPr>
        <w:t>4.4</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抽油杆保护器旋套轴外径尺寸测量</w:t>
      </w:r>
      <w:r>
        <w:rPr>
          <w:rFonts w:hint="eastAsia" w:ascii="宋体" w:hAnsi="宋体" w:cs="黑体"/>
          <w:sz w:val="24"/>
          <w:szCs w:val="24"/>
        </w:rPr>
        <w:t>过程不确定度评定》，方法和结果正确；</w:t>
      </w:r>
    </w:p>
    <w:p>
      <w:pPr>
        <w:snapToGrid w:val="0"/>
        <w:spacing w:line="360" w:lineRule="auto"/>
        <w:rPr>
          <w:rFonts w:hint="eastAsia" w:ascii="宋体" w:hAnsi="宋体" w:cs="黑体"/>
          <w:sz w:val="24"/>
          <w:szCs w:val="24"/>
        </w:rPr>
      </w:pPr>
      <w:r>
        <w:rPr>
          <w:rFonts w:ascii="宋体" w:hAnsi="宋体" w:cs="黑体"/>
          <w:sz w:val="24"/>
          <w:szCs w:val="24"/>
        </w:rPr>
        <w:t>4.5</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抽油杆保护器旋套轴外径尺寸测量</w:t>
      </w:r>
      <w:r>
        <w:rPr>
          <w:rFonts w:hint="eastAsia" w:ascii="宋体" w:hAnsi="宋体" w:cs="黑体"/>
          <w:sz w:val="24"/>
          <w:szCs w:val="24"/>
        </w:rPr>
        <w:t>过程计量要求导出和计量验证记录表》信息内容完整、正确。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4.6</w:t>
      </w:r>
      <w:r>
        <w:rPr>
          <w:rFonts w:hint="eastAsia" w:ascii="宋体" w:hAnsi="宋体" w:cs="黑体"/>
          <w:sz w:val="24"/>
          <w:szCs w:val="24"/>
        </w:rPr>
        <w:t>《</w:t>
      </w:r>
      <w:r>
        <w:rPr>
          <w:rFonts w:hint="eastAsia" w:ascii="宋体" w:hAnsi="宋体" w:cs="黑体"/>
          <w:sz w:val="24"/>
          <w:szCs w:val="24"/>
          <w:lang w:val="en-US" w:eastAsia="zh-CN"/>
        </w:rPr>
        <w:t>抽油杆保护器旋套轴外径尺寸测量</w:t>
      </w:r>
      <w:r>
        <w:rPr>
          <w:rFonts w:hint="eastAsia" w:ascii="宋体" w:hAnsi="宋体" w:cs="黑体"/>
          <w:sz w:val="24"/>
          <w:szCs w:val="24"/>
        </w:rPr>
        <w:t>过程有效性确认记录》验证方法正确。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4.7</w:t>
      </w:r>
      <w:r>
        <w:rPr>
          <w:rFonts w:hint="eastAsia" w:ascii="宋体" w:hAnsi="宋体" w:cs="黑体"/>
          <w:sz w:val="24"/>
          <w:szCs w:val="24"/>
        </w:rPr>
        <w:t>《</w:t>
      </w:r>
      <w:r>
        <w:rPr>
          <w:rFonts w:hint="eastAsia" w:ascii="宋体" w:hAnsi="宋体" w:cs="黑体"/>
          <w:sz w:val="24"/>
          <w:szCs w:val="24"/>
          <w:lang w:val="en-US" w:eastAsia="zh-CN"/>
        </w:rPr>
        <w:t>抽油杆保护器旋套轴外径尺寸</w:t>
      </w:r>
      <w:r>
        <w:rPr>
          <w:rFonts w:hint="eastAsia" w:ascii="宋体" w:hAnsi="宋体" w:cs="黑体"/>
          <w:sz w:val="24"/>
          <w:szCs w:val="24"/>
        </w:rPr>
        <w:t>测量过程的控制</w:t>
      </w:r>
      <w:r>
        <w:rPr>
          <w:rFonts w:hint="eastAsia" w:ascii="宋体" w:hAnsi="宋体" w:cs="黑体"/>
          <w:sz w:val="24"/>
          <w:szCs w:val="24"/>
          <w:lang w:eastAsia="zh-CN"/>
        </w:rPr>
        <w:t>检查表</w:t>
      </w:r>
      <w:r>
        <w:rPr>
          <w:rFonts w:hint="eastAsia" w:ascii="宋体" w:hAnsi="宋体" w:cs="黑体"/>
          <w:sz w:val="24"/>
          <w:szCs w:val="24"/>
        </w:rPr>
        <w:t>》信息内容完整、正确。</w:t>
      </w:r>
    </w:p>
    <w:p>
      <w:pPr>
        <w:snapToGrid w:val="0"/>
        <w:spacing w:line="360" w:lineRule="auto"/>
        <w:rPr>
          <w:rFonts w:ascii="宋体" w:hAnsi="宋体" w:cs="黑体"/>
          <w:sz w:val="24"/>
          <w:szCs w:val="24"/>
        </w:rPr>
      </w:pPr>
      <w:r>
        <w:rPr>
          <w:rFonts w:hint="eastAsia" w:ascii="宋体" w:hAnsi="宋体" w:cs="黑体"/>
          <w:sz w:val="24"/>
          <w:szCs w:val="24"/>
          <w:lang w:val="en-US" w:eastAsia="zh-CN"/>
        </w:rPr>
        <w:t>4.8</w:t>
      </w:r>
      <w:r>
        <w:rPr>
          <w:rFonts w:hint="eastAsia" w:ascii="宋体" w:hAnsi="宋体" w:cs="黑体"/>
          <w:sz w:val="24"/>
          <w:szCs w:val="24"/>
        </w:rPr>
        <w:t>《</w:t>
      </w:r>
      <w:r>
        <w:rPr>
          <w:rFonts w:hint="eastAsia" w:ascii="宋体" w:hAnsi="宋体" w:cs="黑体"/>
          <w:sz w:val="24"/>
          <w:szCs w:val="24"/>
          <w:lang w:val="en-US" w:eastAsia="zh-CN"/>
        </w:rPr>
        <w:t>抽油杆保护器旋套轴外径尺寸</w:t>
      </w:r>
      <w:r>
        <w:rPr>
          <w:rFonts w:hint="eastAsia" w:ascii="宋体" w:hAnsi="宋体" w:cs="黑体"/>
          <w:sz w:val="24"/>
          <w:szCs w:val="24"/>
        </w:rPr>
        <w:t>测量过程监视方法、监视</w:t>
      </w:r>
      <w:r>
        <w:rPr>
          <w:rFonts w:hint="eastAsia" w:ascii="宋体" w:hAnsi="宋体" w:cs="黑体"/>
          <w:sz w:val="24"/>
          <w:szCs w:val="24"/>
          <w:lang w:eastAsia="zh-CN"/>
        </w:rPr>
        <w:t>及控制图</w:t>
      </w:r>
      <w:r>
        <w:rPr>
          <w:rFonts w:hint="eastAsia" w:ascii="宋体" w:hAnsi="宋体" w:cs="黑体"/>
          <w:sz w:val="24"/>
          <w:szCs w:val="24"/>
        </w:rPr>
        <w:t>》方法正确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snapToGrid w:val="0"/>
        <w:spacing w:line="360" w:lineRule="auto"/>
        <w:rPr>
          <w:rFonts w:cs="宋体" w:asciiTheme="minorEastAsia" w:hAnsiTheme="minorEastAsia"/>
          <w:kern w:val="0"/>
          <w:szCs w:val="21"/>
        </w:rPr>
      </w:pPr>
      <w:r>
        <w:rPr>
          <w:rFonts w:hint="eastAsia" w:ascii="宋体" w:hAnsi="宋体" w:cs="黑体"/>
          <w:sz w:val="24"/>
          <w:szCs w:val="24"/>
        </w:rPr>
        <w:t>经验证</w:t>
      </w:r>
      <w:r>
        <w:rPr>
          <w:rFonts w:hint="eastAsia" w:ascii="宋体" w:hAnsi="宋体" w:cs="黑体"/>
          <w:sz w:val="24"/>
          <w:szCs w:val="24"/>
          <w:lang w:eastAsia="zh-CN"/>
        </w:rPr>
        <w:t>，</w:t>
      </w:r>
      <w:r>
        <w:rPr>
          <w:rFonts w:hint="eastAsia" w:ascii="宋体" w:hAnsi="宋体" w:cs="黑体"/>
          <w:sz w:val="24"/>
          <w:szCs w:val="24"/>
        </w:rPr>
        <w:t>企业对</w:t>
      </w:r>
      <w:r>
        <w:rPr>
          <w:rFonts w:hint="eastAsia" w:ascii="宋体" w:hAnsi="宋体" w:cs="黑体"/>
          <w:sz w:val="24"/>
          <w:szCs w:val="24"/>
          <w:lang w:val="en-US" w:eastAsia="zh-CN"/>
        </w:rPr>
        <w:t>上年度监督审核</w:t>
      </w:r>
      <w:r>
        <w:rPr>
          <w:rFonts w:hint="eastAsia" w:ascii="宋体" w:hAnsi="宋体" w:cs="黑体"/>
          <w:sz w:val="24"/>
          <w:szCs w:val="24"/>
        </w:rPr>
        <w:t>过程中</w:t>
      </w:r>
      <w:r>
        <w:rPr>
          <w:rFonts w:hint="eastAsia" w:ascii="宋体" w:hAnsi="宋体" w:cs="黑体"/>
          <w:sz w:val="24"/>
          <w:szCs w:val="24"/>
          <w:lang w:eastAsia="zh-CN"/>
        </w:rPr>
        <w:t>。</w:t>
      </w:r>
      <w:r>
        <w:rPr>
          <w:rFonts w:hint="eastAsia" w:ascii="宋体" w:hAnsi="宋体" w:cs="黑体"/>
          <w:sz w:val="24"/>
          <w:szCs w:val="24"/>
        </w:rPr>
        <w:t>发现的不符合项</w:t>
      </w:r>
      <w:r>
        <w:rPr>
          <w:rFonts w:hint="eastAsia" w:ascii="宋体" w:hAnsi="宋体" w:cs="黑体"/>
          <w:sz w:val="24"/>
          <w:szCs w:val="24"/>
          <w:lang w:eastAsia="zh-CN"/>
        </w:rPr>
        <w:t>。</w:t>
      </w:r>
      <w:r>
        <w:rPr>
          <w:rFonts w:hint="eastAsia" w:ascii="宋体" w:hAnsi="宋体" w:cs="黑体"/>
          <w:sz w:val="24"/>
          <w:szCs w:val="24"/>
          <w:lang w:val="en-US" w:eastAsia="zh-CN"/>
        </w:rPr>
        <w:t>在审核时已完成整改。符合要求，同意关闭一个部符合项。符合要求。</w:t>
      </w: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asciiTheme="minorEastAsia" w:hAnsiTheme="minorEastAsia"/>
          <w:bCs/>
          <w:szCs w:val="21"/>
        </w:rPr>
      </w:pPr>
      <w:r>
        <w:rPr>
          <w:rFonts w:hint="eastAsia" w:ascii="宋体" w:hAnsi="宋体"/>
          <w:sz w:val="24"/>
          <w:szCs w:val="24"/>
        </w:rPr>
        <w:t>公司目前尚未接到客户在产品质量、物料交接、能源、安全、现场管理等方面的投诉和纠纷。</w:t>
      </w: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hint="eastAsia" w:ascii="宋体" w:hAnsi="宋体"/>
          <w:sz w:val="24"/>
          <w:szCs w:val="24"/>
          <w:highlight w:val="none"/>
          <w:lang w:val="en-US" w:eastAsia="zh-CN"/>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对企业组织任何变更的审核:企业营业执照因增项于2020年12月1日换证。企业测量管理体系认证范围无变化，组织机构及其他无变化，符合要求。</w:t>
      </w:r>
    </w:p>
    <w:p>
      <w:pPr>
        <w:numPr>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bCs/>
          <w:sz w:val="24"/>
          <w:szCs w:val="24"/>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p>
    <w:p>
      <w:pPr>
        <w:widowControl/>
        <w:numPr>
          <w:numId w:val="0"/>
        </w:numPr>
        <w:spacing w:line="360" w:lineRule="auto"/>
        <w:ind w:leftChars="0"/>
        <w:jc w:val="left"/>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lang w:val="en-US" w:eastAsia="zh-CN"/>
        </w:rPr>
        <w:t>10.</w:t>
      </w:r>
      <w:r>
        <w:rPr>
          <w:rFonts w:hint="eastAsia" w:ascii="宋体" w:hAnsi="宋体"/>
          <w:sz w:val="24"/>
          <w:szCs w:val="24"/>
          <w:highlight w:val="none"/>
          <w:shd w:val="clear" w:color="auto" w:fill="auto"/>
        </w:rPr>
        <w:t>本次审核出具不符合项</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widowControl/>
        <w:numPr>
          <w:numId w:val="0"/>
        </w:numPr>
        <w:spacing w:line="360" w:lineRule="auto"/>
        <w:ind w:leftChars="0" w:firstLine="1050" w:firstLineChars="500"/>
        <w:jc w:val="left"/>
        <w:rPr>
          <w:rFonts w:hint="eastAsia" w:ascii="宋体" w:hAnsi="宋体"/>
          <w:sz w:val="24"/>
          <w:szCs w:val="24"/>
          <w:highlight w:val="none"/>
          <w:shd w:val="clear" w:color="auto" w:fill="auto"/>
        </w:rPr>
      </w:pPr>
      <w:r>
        <w:rPr>
          <w:rFonts w:hint="eastAsia" w:ascii="宋体" w:hAnsi="宋体" w:cs="宋体"/>
          <w:kern w:val="0"/>
          <w:szCs w:val="21"/>
          <w:lang w:val="en-US" w:eastAsia="zh-CN"/>
        </w:rPr>
        <w:t>在生产车间发现正在使用的游标卡尺，编号为-007型号、检定校准日期为2020年4月6日没有纳入测量设备台账中管理不符合</w:t>
      </w:r>
      <w:r>
        <w:rPr>
          <w:rFonts w:hint="eastAsia" w:ascii="宋体" w:hAnsi="宋体"/>
          <w:color w:val="auto"/>
          <w:szCs w:val="21"/>
          <w:lang w:val="en-US" w:eastAsia="zh-CN"/>
        </w:rPr>
        <w:t>GB/T19022-2003标准中6.3.1测量设备条款“</w:t>
      </w:r>
      <w:r>
        <w:rPr>
          <w:rFonts w:hint="eastAsia" w:ascii="宋体" w:hAnsi="宋体" w:eastAsia="宋体" w:cs="宋体"/>
          <w:color w:val="000000"/>
          <w:kern w:val="0"/>
          <w:sz w:val="19"/>
          <w:szCs w:val="19"/>
          <w:lang w:val="en-US" w:eastAsia="zh-CN" w:bidi="ar"/>
        </w:rPr>
        <w:t>用于监视和记录影响量 的测量管理体系内</w:t>
      </w:r>
      <w:r>
        <w:rPr>
          <w:rFonts w:hint="eastAsia" w:ascii="宋体" w:hAnsi="宋体"/>
          <w:color w:val="auto"/>
          <w:szCs w:val="21"/>
          <w:lang w:val="en-US" w:eastAsia="zh-CN"/>
        </w:rPr>
        <w:t>”</w:t>
      </w:r>
      <w:r>
        <w:rPr>
          <w:rFonts w:hint="eastAsia" w:ascii="宋体" w:hAnsi="宋体" w:cs="宋体"/>
          <w:kern w:val="0"/>
          <w:szCs w:val="21"/>
        </w:rPr>
        <w:t>的规定要求</w:t>
      </w:r>
      <w:r>
        <w:rPr>
          <w:rFonts w:hint="eastAsia" w:ascii="宋体" w:hAnsi="宋体"/>
          <w:color w:val="auto"/>
          <w:szCs w:val="21"/>
          <w:lang w:val="en-US" w:eastAsia="zh-CN"/>
        </w:rPr>
        <w:t>。</w:t>
      </w: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9"/>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hint="eastAsia" w:ascii="宋体" w:hAnsi="宋体" w:cs="宋体"/>
          <w:kern w:val="0"/>
          <w:szCs w:val="21"/>
          <w:u w:val="none"/>
          <w:lang w:val="en-US" w:eastAsia="zh-CN"/>
        </w:rPr>
        <w:t xml:space="preserve"> </w:t>
      </w:r>
      <w:r>
        <w:rPr>
          <w:rFonts w:hint="eastAsia" w:ascii="宋体" w:hAnsi="宋体" w:cs="宋体"/>
          <w:kern w:val="0"/>
          <w:szCs w:val="21"/>
          <w:u w:val="single"/>
          <w:lang w:val="en-US" w:eastAsia="zh-CN"/>
        </w:rPr>
        <w:t xml:space="preserve"> 6.3.1</w:t>
      </w:r>
      <w:r>
        <w:rPr>
          <w:rFonts w:hint="eastAsia" w:ascii="宋体" w:hAnsi="宋体" w:cs="宋体"/>
          <w:kern w:val="0"/>
          <w:szCs w:val="21"/>
          <w:u w:val="single"/>
        </w:rPr>
        <w:t>条款</w:t>
      </w:r>
      <w:r>
        <w:rPr>
          <w:rFonts w:hint="eastAsia" w:ascii="宋体" w:hAnsi="宋体" w:cs="宋体"/>
          <w:kern w:val="0"/>
          <w:szCs w:val="21"/>
          <w:u w:val="single"/>
          <w:lang w:val="en-US" w:eastAsia="zh-CN"/>
        </w:rPr>
        <w:t xml:space="preserve"> </w:t>
      </w:r>
      <w:r>
        <w:rPr>
          <w:rFonts w:hint="eastAsia" w:ascii="宋体" w:hAnsi="宋体"/>
          <w:color w:val="auto"/>
          <w:szCs w:val="21"/>
          <w:u w:val="single"/>
          <w:lang w:val="en-US" w:eastAsia="zh-CN"/>
        </w:rPr>
        <w:t>测量设备</w:t>
      </w:r>
    </w:p>
    <w:p>
      <w:pPr>
        <w:numPr>
          <w:ilvl w:val="0"/>
          <w:numId w:val="0"/>
        </w:numPr>
        <w:snapToGrid w:val="0"/>
        <w:spacing w:line="400" w:lineRule="exact"/>
        <w:ind w:right="-512" w:rightChars="-244"/>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Style w:val="10"/>
          <w:rFonts w:hint="eastAsia" w:ascii="宋体" w:hAnsi="宋体" w:eastAsia="宋体"/>
          <w:color w:val="002060"/>
          <w:sz w:val="24"/>
          <w:szCs w:val="24"/>
        </w:rPr>
        <w:t>通过</w:t>
      </w:r>
      <w:r>
        <w:rPr>
          <w:rStyle w:val="10"/>
          <w:rFonts w:hint="eastAsia" w:ascii="宋体" w:hAnsi="宋体" w:eastAsia="宋体"/>
          <w:sz w:val="24"/>
          <w:szCs w:val="24"/>
        </w:rPr>
        <w:t>20</w:t>
      </w:r>
      <w:r>
        <w:rPr>
          <w:rStyle w:val="10"/>
          <w:rFonts w:hint="eastAsia" w:ascii="宋体" w:hAnsi="宋体" w:eastAsia="宋体"/>
          <w:sz w:val="24"/>
          <w:szCs w:val="24"/>
          <w:lang w:val="en-US" w:eastAsia="zh-CN"/>
        </w:rPr>
        <w:t>20</w:t>
      </w:r>
      <w:r>
        <w:rPr>
          <w:rStyle w:val="10"/>
          <w:rFonts w:ascii="宋体" w:hAnsi="宋体" w:eastAsia="宋体"/>
          <w:sz w:val="24"/>
          <w:szCs w:val="24"/>
        </w:rPr>
        <w:t>年</w:t>
      </w:r>
      <w:r>
        <w:rPr>
          <w:rStyle w:val="10"/>
          <w:rFonts w:hint="eastAsia" w:ascii="宋体" w:hAnsi="宋体" w:eastAsia="宋体"/>
          <w:sz w:val="24"/>
          <w:szCs w:val="24"/>
          <w:lang w:val="en-US" w:eastAsia="zh-CN"/>
        </w:rPr>
        <w:t>12</w:t>
      </w:r>
      <w:r>
        <w:rPr>
          <w:rStyle w:val="10"/>
          <w:rFonts w:ascii="宋体" w:hAnsi="宋体" w:eastAsia="宋体"/>
          <w:sz w:val="24"/>
          <w:szCs w:val="24"/>
        </w:rPr>
        <w:t>月</w:t>
      </w:r>
      <w:r>
        <w:rPr>
          <w:rStyle w:val="10"/>
          <w:rFonts w:hint="eastAsia" w:ascii="宋体" w:hAnsi="宋体" w:eastAsia="宋体"/>
          <w:sz w:val="24"/>
          <w:szCs w:val="24"/>
          <w:lang w:val="en-US" w:eastAsia="zh-CN"/>
        </w:rPr>
        <w:t>18</w:t>
      </w:r>
      <w:r>
        <w:rPr>
          <w:rStyle w:val="10"/>
          <w:rFonts w:ascii="宋体" w:hAnsi="宋体" w:eastAsia="宋体"/>
          <w:sz w:val="24"/>
          <w:szCs w:val="24"/>
        </w:rPr>
        <w:t>日</w:t>
      </w:r>
      <w:r>
        <w:rPr>
          <w:rStyle w:val="10"/>
          <w:rFonts w:hint="eastAsia" w:ascii="宋体" w:hAnsi="宋体" w:eastAsia="宋体"/>
          <w:sz w:val="24"/>
          <w:szCs w:val="24"/>
        </w:rPr>
        <w:t>，</w:t>
      </w:r>
      <w:r>
        <w:rPr>
          <w:rStyle w:val="10"/>
          <w:rFonts w:ascii="宋体" w:hAnsi="宋体" w:eastAsia="宋体"/>
          <w:sz w:val="24"/>
          <w:szCs w:val="24"/>
        </w:rPr>
        <w:t>对测量管理</w:t>
      </w:r>
      <w:r>
        <w:rPr>
          <w:rStyle w:val="10"/>
          <w:rFonts w:hint="eastAsia" w:ascii="宋体" w:hAnsi="宋体" w:eastAsia="宋体"/>
          <w:sz w:val="24"/>
          <w:szCs w:val="24"/>
          <w:lang w:val="en-US" w:eastAsia="zh-CN"/>
        </w:rPr>
        <w:t>体系进行现场</w:t>
      </w:r>
      <w:r>
        <w:rPr>
          <w:rStyle w:val="10"/>
          <w:rFonts w:hint="eastAsia" w:ascii="宋体" w:hAnsi="宋体" w:eastAsia="宋体"/>
          <w:sz w:val="24"/>
          <w:szCs w:val="24"/>
        </w:rPr>
        <w:t>监督</w:t>
      </w:r>
      <w:r>
        <w:rPr>
          <w:rStyle w:val="10"/>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宋体" w:hAnsi="宋体"/>
          <w:sz w:val="24"/>
          <w:szCs w:val="24"/>
          <w:lang w:eastAsia="zh-CN"/>
        </w:rPr>
        <w:t>大庆市华禹石油机械制造</w:t>
      </w:r>
      <w:r>
        <w:rPr>
          <w:rFonts w:hint="eastAsia" w:ascii="宋体" w:hAnsi="宋体"/>
          <w:sz w:val="24"/>
          <w:szCs w:val="24"/>
        </w:rPr>
        <w:t>有限</w:t>
      </w:r>
      <w:r>
        <w:rPr>
          <w:rFonts w:hint="eastAsia" w:ascii="宋体" w:hAnsi="宋体"/>
          <w:sz w:val="24"/>
          <w:szCs w:val="24"/>
          <w:lang w:val="en-US" w:eastAsia="zh-CN"/>
        </w:rPr>
        <w:t>公司</w:t>
      </w:r>
      <w:r>
        <w:rPr>
          <w:rFonts w:hint="eastAsia" w:ascii="宋体" w:hAnsi="宋体"/>
          <w:sz w:val="24"/>
          <w:szCs w:val="24"/>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w:t>
      </w:r>
      <w:r>
        <w:rPr>
          <w:rFonts w:hint="eastAsia" w:ascii="宋体" w:hAnsi="宋体" w:eastAsia="宋体" w:cs="Times New Roman"/>
          <w:sz w:val="24"/>
          <w:szCs w:val="24"/>
          <w:highlight w:val="none"/>
          <w:lang w:val="en-US" w:eastAsia="zh-CN"/>
        </w:rPr>
        <w:t>测量要求。</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用能单位的能源计量器具准确度等级：</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w:t>
      </w:r>
      <w:r>
        <w:rPr>
          <w:rFonts w:hint="eastAsia" w:ascii="宋体" w:hAnsi="宋体" w:eastAsia="宋体" w:cs="Times New Roman"/>
          <w:sz w:val="24"/>
          <w:szCs w:val="24"/>
          <w:highlight w:val="none"/>
          <w:lang w:val="en-US" w:eastAsia="zh-CN"/>
        </w:rPr>
        <w:t>，满足GB17167标准4.3.8表4的要求 电能表均由当地供电部门统一管理，水表由当地供水部门统一管理，对每月用电用水情况有统计。能源数据每月抄表，满足要求。</w:t>
      </w:r>
    </w:p>
    <w:p>
      <w:pPr>
        <w:snapToGrid w:val="0"/>
        <w:spacing w:line="400" w:lineRule="exact"/>
        <w:ind w:right="-512" w:rightChars="-244" w:firstLine="1200" w:firstLineChars="500"/>
        <w:rPr>
          <w:rFonts w:hint="eastAsia" w:ascii="宋体" w:hAnsi="宋体"/>
          <w:sz w:val="24"/>
          <w:szCs w:val="24"/>
        </w:rPr>
      </w:pPr>
      <w:r>
        <w:rPr>
          <w:rFonts w:hint="eastAsia" w:ascii="宋体" w:hAnsi="宋体" w:eastAsia="宋体" w:cs="Times New Roman"/>
          <w:sz w:val="24"/>
          <w:szCs w:val="24"/>
          <w:highlight w:val="none"/>
          <w:lang w:val="en-US" w:eastAsia="zh-CN"/>
        </w:rPr>
        <w:t>综上所述，审核组认为大庆市华禹石油机械制造有限公司测量管理体系，符合</w:t>
      </w:r>
      <w:r>
        <w:rPr>
          <w:rFonts w:hint="eastAsia" w:ascii="宋体" w:hAnsi="宋体"/>
          <w:sz w:val="24"/>
          <w:szCs w:val="24"/>
        </w:rPr>
        <w:t>GB/T 19022-2003标准要求，对体系运行具有持续的有效性、符合性予以肯定。建议报请国标联合认证有限公司批准通过监督审核。</w:t>
      </w:r>
    </w:p>
    <w:p>
      <w:pPr>
        <w:snapToGrid w:val="0"/>
        <w:spacing w:line="400" w:lineRule="exact"/>
        <w:ind w:right="-512" w:rightChars="-244" w:firstLine="1200" w:firstLineChars="50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w:t>
      </w:r>
      <w:r>
        <w:rPr>
          <w:rFonts w:hint="eastAsia" w:ascii="宋体" w:hAnsi="宋体" w:eastAsia="宋体" w:cs="Times New Roman"/>
          <w:sz w:val="24"/>
          <w:szCs w:val="24"/>
          <w:highlight w:val="none"/>
        </w:rPr>
        <w:t>测量设备</w:t>
      </w:r>
      <w:r>
        <w:rPr>
          <w:rFonts w:hint="eastAsia" w:ascii="宋体" w:hAnsi="宋体" w:eastAsia="宋体" w:cs="Times New Roman"/>
          <w:sz w:val="24"/>
          <w:szCs w:val="24"/>
          <w:highlight w:val="none"/>
          <w:lang w:val="en-US" w:eastAsia="zh-CN"/>
        </w:rPr>
        <w:t>台账中存在的问题</w:t>
      </w:r>
      <w:r>
        <w:rPr>
          <w:rFonts w:hint="eastAsia" w:ascii="宋体" w:hAnsi="宋体" w:eastAsia="宋体" w:cs="Times New Roman"/>
          <w:sz w:val="24"/>
          <w:szCs w:val="24"/>
          <w:highlight w:val="none"/>
        </w:rPr>
        <w:t>进一步</w:t>
      </w:r>
      <w:r>
        <w:rPr>
          <w:rFonts w:hint="eastAsia" w:ascii="宋体" w:hAnsi="宋体" w:eastAsia="宋体" w:cs="Times New Roman"/>
          <w:sz w:val="24"/>
          <w:szCs w:val="24"/>
          <w:highlight w:val="none"/>
          <w:lang w:val="en-US" w:eastAsia="zh-CN"/>
        </w:rPr>
        <w:t>完善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各个部门之间协调配合，帐物相符，现场测量设备标识统一管理清晰完整，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rPr>
          <w:rFonts w:cs="宋体" w:asciiTheme="minorEastAsia" w:hAnsiTheme="minorEastAsia"/>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hint="default" w:ascii="宋体" w:hAnsi="宋体" w:cs="宋体" w:eastAsiaTheme="minorEastAsia"/>
          <w:kern w:val="0"/>
          <w:szCs w:val="28"/>
          <w:lang w:val="en-US" w:eastAsia="zh-CN"/>
        </w:rPr>
      </w:pPr>
      <w:r>
        <w:rPr>
          <w:rFonts w:ascii="宋体" w:hAnsi="宋体" w:eastAsia="宋体" w:cs="宋体"/>
          <w:kern w:val="0"/>
          <w:szCs w:val="28"/>
        </w:rPr>
        <w:t>审核员 （签字）：</w:t>
      </w:r>
      <w:r>
        <w:rPr>
          <w:rFonts w:hint="eastAsia"/>
        </w:rPr>
        <w:drawing>
          <wp:inline distT="0" distB="0" distL="114300" distR="114300">
            <wp:extent cx="793115" cy="374015"/>
            <wp:effectExtent l="0" t="0" r="6985" b="6985"/>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793115" cy="374015"/>
                    </a:xfrm>
                    <a:prstGeom prst="rect">
                      <a:avLst/>
                    </a:prstGeom>
                    <a:noFill/>
                    <a:ln>
                      <a:noFill/>
                    </a:ln>
                  </pic:spPr>
                </pic:pic>
              </a:graphicData>
            </a:graphic>
          </wp:inline>
        </w:drawing>
      </w:r>
      <w:r>
        <w:rPr>
          <w:rFonts w:hint="eastAsia"/>
          <w:lang w:val="en-US" w:eastAsia="zh-CN"/>
        </w:rPr>
        <w:t>2020.12.18</w:t>
      </w:r>
      <w:bookmarkStart w:id="10" w:name="_GoBack"/>
      <w:bookmarkEnd w:id="10"/>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8019B3"/>
    <w:rsid w:val="07B4245E"/>
    <w:rsid w:val="0FFB2974"/>
    <w:rsid w:val="27DD3B94"/>
    <w:rsid w:val="524B27FF"/>
    <w:rsid w:val="5B7E5473"/>
    <w:rsid w:val="6B330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2020-12-18T06:34:47Z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