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-1106805</wp:posOffset>
            </wp:positionV>
            <wp:extent cx="7226935" cy="10219055"/>
            <wp:effectExtent l="0" t="0" r="12065" b="4445"/>
            <wp:wrapNone/>
            <wp:docPr id="2" name="图片 2" descr="扫描全能王 2020-12-16 23.11.3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3.11.31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935" cy="1021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0167-2019-2020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岐山县恒通机械制造厂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质量部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王鲜梅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对该厂提供检测校准服务的外部供方：岐山县质量技术监督检测检验所、江苏世通仪器检测服务有限公司未</w:t>
            </w:r>
            <w:r>
              <w:rPr>
                <w:rFonts w:hint="eastAsia"/>
                <w:szCs w:val="21"/>
                <w:lang w:val="en-US" w:eastAsia="zh-CN"/>
              </w:rPr>
              <w:t>实施评价并记录。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GB/T19022-2003标准6.4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  <w:r>
              <w:rPr>
                <w:rFonts w:ascii="宋体" w:hAnsi="宋体" w:cs="宋体"/>
                <w:kern w:val="0"/>
                <w:szCs w:val="21"/>
              </w:rPr>
              <w:t>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质量部负责对岐山县质量技术监督检测检验所、江苏世通仪器检测服务有限公司的能力证明材料实施评价并记录。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  2020.12.16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措施有效，同意关闭。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2D4B9F"/>
    <w:rsid w:val="6F717ED1"/>
    <w:rsid w:val="77F738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2020-12-16T15:35:33Z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