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jc w:val="center"/>
        <w:rPr>
          <w:b/>
          <w:sz w:val="30"/>
          <w:szCs w:val="30"/>
        </w:rPr>
      </w:pPr>
    </w:p>
    <w:p>
      <w:pPr>
        <w:snapToGrid w:val="0"/>
        <w:spacing w:after="98" w:afterLines="30"/>
        <w:ind w:firstLine="321" w:firstLineChars="100"/>
        <w:jc w:val="center"/>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岐山县恒通机械制造厂</w:t>
      </w:r>
      <w:bookmarkEnd w:id="0"/>
    </w:p>
    <w:p>
      <w:pPr>
        <w:snapToGrid w:val="0"/>
        <w:spacing w:after="98" w:afterLines="30"/>
        <w:jc w:val="center"/>
        <w:rPr>
          <w:rFonts w:ascii="楷体" w:hAnsi="楷体" w:eastAsia="楷体"/>
          <w:b/>
          <w:color w:val="000000"/>
          <w:sz w:val="32"/>
          <w:szCs w:val="32"/>
        </w:rPr>
      </w:pPr>
    </w:p>
    <w:p>
      <w:pPr>
        <w:snapToGrid w:val="0"/>
        <w:spacing w:after="98" w:afterLines="30"/>
        <w:ind w:firstLine="2570" w:firstLineChars="800"/>
        <w:jc w:val="both"/>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jc w:val="center"/>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2570" w:firstLineChars="800"/>
        <w:jc w:val="both"/>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jc w:val="center"/>
        <w:rPr>
          <w:rFonts w:ascii="楷体" w:hAnsi="楷体" w:eastAsia="楷体"/>
          <w:b/>
          <w:color w:val="000000"/>
          <w:sz w:val="32"/>
          <w:szCs w:val="32"/>
        </w:rPr>
      </w:pPr>
      <w:bookmarkStart w:id="4" w:name="S勾选"/>
      <w:r>
        <w:rPr>
          <w:rFonts w:hint="eastAsia" w:ascii="楷体" w:hAnsi="楷体" w:eastAsia="楷体"/>
          <w:b/>
          <w:color w:val="000000"/>
          <w:sz w:val="32"/>
          <w:szCs w:val="32"/>
          <w:lang w:val="en-US" w:eastAsia="zh-CN"/>
        </w:rPr>
        <w:t xml:space="preserve">   </w:t>
      </w:r>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3"/>
          <w:rFonts w:ascii="楷体" w:hAnsi="楷体" w:eastAsia="楷体"/>
          <w:b/>
          <w:sz w:val="36"/>
          <w:szCs w:val="36"/>
        </w:rPr>
        <w:t>www.</w:t>
      </w:r>
      <w:r>
        <w:rPr>
          <w:rStyle w:val="13"/>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389"/>
        <w:gridCol w:w="1280"/>
        <w:gridCol w:w="2320"/>
        <w:gridCol w:w="53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89" w:type="dxa"/>
            <w:vAlign w:val="center"/>
          </w:tcPr>
          <w:p>
            <w:pPr>
              <w:jc w:val="center"/>
              <w:rPr>
                <w:b/>
                <w:sz w:val="21"/>
                <w:szCs w:val="21"/>
              </w:rPr>
            </w:pPr>
            <w:r>
              <w:rPr>
                <w:rFonts w:hint="eastAsia"/>
                <w:b/>
                <w:sz w:val="21"/>
                <w:szCs w:val="21"/>
              </w:rPr>
              <w:t>职务</w:t>
            </w:r>
          </w:p>
        </w:tc>
        <w:tc>
          <w:tcPr>
            <w:tcW w:w="1280" w:type="dxa"/>
            <w:vAlign w:val="center"/>
          </w:tcPr>
          <w:p>
            <w:pPr>
              <w:jc w:val="center"/>
              <w:rPr>
                <w:b/>
                <w:sz w:val="21"/>
                <w:szCs w:val="21"/>
              </w:rPr>
            </w:pPr>
            <w:r>
              <w:rPr>
                <w:rFonts w:hint="eastAsia"/>
                <w:b/>
                <w:sz w:val="21"/>
                <w:szCs w:val="21"/>
              </w:rPr>
              <w:t>注册级别</w:t>
            </w:r>
          </w:p>
        </w:tc>
        <w:tc>
          <w:tcPr>
            <w:tcW w:w="2320" w:type="dxa"/>
            <w:vAlign w:val="center"/>
          </w:tcPr>
          <w:p>
            <w:pPr>
              <w:jc w:val="center"/>
              <w:rPr>
                <w:b/>
                <w:sz w:val="21"/>
                <w:szCs w:val="21"/>
              </w:rPr>
            </w:pPr>
            <w:r>
              <w:rPr>
                <w:rFonts w:hint="eastAsia"/>
                <w:b/>
                <w:sz w:val="21"/>
                <w:szCs w:val="21"/>
              </w:rPr>
              <w:t>审核员注册号</w:t>
            </w:r>
          </w:p>
        </w:tc>
        <w:tc>
          <w:tcPr>
            <w:tcW w:w="127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389" w:type="dxa"/>
            <w:vAlign w:val="center"/>
          </w:tcPr>
          <w:p>
            <w:pPr>
              <w:jc w:val="center"/>
              <w:rPr>
                <w:b/>
                <w:sz w:val="21"/>
                <w:szCs w:val="21"/>
              </w:rPr>
            </w:pPr>
            <w:r>
              <w:rPr>
                <w:b/>
                <w:sz w:val="21"/>
                <w:szCs w:val="21"/>
              </w:rPr>
              <w:t>组长</w:t>
            </w:r>
          </w:p>
        </w:tc>
        <w:tc>
          <w:tcPr>
            <w:tcW w:w="1280" w:type="dxa"/>
            <w:vAlign w:val="center"/>
          </w:tcPr>
          <w:p>
            <w:pPr>
              <w:jc w:val="center"/>
              <w:rPr>
                <w:b/>
                <w:sz w:val="21"/>
                <w:szCs w:val="21"/>
              </w:rPr>
            </w:pPr>
            <w:r>
              <w:rPr>
                <w:b/>
                <w:sz w:val="21"/>
                <w:szCs w:val="21"/>
              </w:rPr>
              <w:t>审核员</w:t>
            </w:r>
          </w:p>
        </w:tc>
        <w:tc>
          <w:tcPr>
            <w:tcW w:w="2320" w:type="dxa"/>
            <w:vAlign w:val="center"/>
          </w:tcPr>
          <w:p>
            <w:pPr>
              <w:jc w:val="center"/>
              <w:rPr>
                <w:b/>
                <w:sz w:val="21"/>
                <w:szCs w:val="21"/>
              </w:rPr>
            </w:pPr>
            <w:r>
              <w:rPr>
                <w:b/>
                <w:sz w:val="21"/>
                <w:szCs w:val="21"/>
              </w:rPr>
              <w:t>2018-N1EMS-1222792</w:t>
            </w:r>
          </w:p>
        </w:tc>
        <w:tc>
          <w:tcPr>
            <w:tcW w:w="1274" w:type="dxa"/>
            <w:gridSpan w:val="2"/>
            <w:vAlign w:val="center"/>
          </w:tcPr>
          <w:p>
            <w:pPr>
              <w:jc w:val="center"/>
              <w:rPr>
                <w:b/>
                <w:sz w:val="21"/>
                <w:szCs w:val="21"/>
              </w:rPr>
            </w:pPr>
            <w:r>
              <w:rPr>
                <w:b/>
                <w:sz w:val="21"/>
                <w:szCs w:val="21"/>
              </w:rPr>
              <w:t>17.10.01,</w:t>
            </w:r>
          </w:p>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389" w:type="dxa"/>
          </w:tcPr>
          <w:p>
            <w:pPr>
              <w:rPr>
                <w:b/>
                <w:sz w:val="21"/>
                <w:szCs w:val="21"/>
              </w:rPr>
            </w:pPr>
          </w:p>
        </w:tc>
        <w:tc>
          <w:tcPr>
            <w:tcW w:w="1280" w:type="dxa"/>
          </w:tcPr>
          <w:p>
            <w:pPr>
              <w:rPr>
                <w:b/>
                <w:sz w:val="21"/>
                <w:szCs w:val="21"/>
              </w:rPr>
            </w:pPr>
          </w:p>
        </w:tc>
        <w:tc>
          <w:tcPr>
            <w:tcW w:w="2320" w:type="dxa"/>
          </w:tcPr>
          <w:p>
            <w:pPr>
              <w:rPr>
                <w:b/>
                <w:sz w:val="21"/>
                <w:szCs w:val="21"/>
              </w:rPr>
            </w:pPr>
          </w:p>
        </w:tc>
        <w:tc>
          <w:tcPr>
            <w:tcW w:w="127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89" w:type="dxa"/>
            <w:vAlign w:val="center"/>
          </w:tcPr>
          <w:p>
            <w:pPr>
              <w:jc w:val="center"/>
              <w:rPr>
                <w:b/>
                <w:sz w:val="21"/>
                <w:szCs w:val="21"/>
              </w:rPr>
            </w:pPr>
            <w:r>
              <w:rPr>
                <w:rFonts w:hint="eastAsia"/>
                <w:b/>
                <w:sz w:val="21"/>
                <w:szCs w:val="21"/>
              </w:rPr>
              <w:t>角色</w:t>
            </w:r>
          </w:p>
        </w:tc>
        <w:tc>
          <w:tcPr>
            <w:tcW w:w="660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389" w:type="dxa"/>
            <w:vAlign w:val="center"/>
          </w:tcPr>
          <w:p>
            <w:pPr>
              <w:jc w:val="center"/>
              <w:rPr>
                <w:b/>
                <w:sz w:val="21"/>
                <w:szCs w:val="21"/>
              </w:rPr>
            </w:pPr>
          </w:p>
        </w:tc>
        <w:tc>
          <w:tcPr>
            <w:tcW w:w="660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389" w:type="dxa"/>
            <w:vAlign w:val="center"/>
          </w:tcPr>
          <w:p>
            <w:pPr>
              <w:jc w:val="center"/>
              <w:rPr>
                <w:b/>
              </w:rPr>
            </w:pPr>
          </w:p>
        </w:tc>
        <w:tc>
          <w:tcPr>
            <w:tcW w:w="660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u w:val="single"/>
        </w:rPr>
        <w:t>EMS</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hint="eastAsia" w:ascii="宋体" w:hAnsi="宋体" w:cs="Times New Roman"/>
                <w:b/>
                <w:sz w:val="21"/>
                <w:szCs w:val="22"/>
              </w:rPr>
            </w:pPr>
            <w:r>
              <w:rPr>
                <w:rFonts w:hint="eastAsia" w:ascii="宋体" w:hAnsi="宋体" w:cs="Times New Roman"/>
                <w:b/>
                <w:sz w:val="21"/>
                <w:szCs w:val="22"/>
              </w:rPr>
              <w:t>受审核方名称</w:t>
            </w:r>
          </w:p>
        </w:tc>
        <w:tc>
          <w:tcPr>
            <w:tcW w:w="4416" w:type="dxa"/>
            <w:gridSpan w:val="4"/>
            <w:vAlign w:val="center"/>
          </w:tcPr>
          <w:p>
            <w:pPr>
              <w:spacing w:line="260" w:lineRule="exact"/>
              <w:jc w:val="center"/>
              <w:rPr>
                <w:rFonts w:hint="eastAsia" w:ascii="宋体" w:hAnsi="宋体" w:cs="Times New Roman"/>
                <w:b/>
                <w:sz w:val="21"/>
                <w:szCs w:val="22"/>
              </w:rPr>
            </w:pPr>
            <w:bookmarkStart w:id="11" w:name="组织名称Add"/>
            <w:r>
              <w:rPr>
                <w:rFonts w:hint="eastAsia" w:ascii="宋体" w:hAnsi="宋体" w:cs="Times New Roman"/>
                <w:b/>
                <w:sz w:val="21"/>
                <w:szCs w:val="22"/>
              </w:rPr>
              <w:t>岐山县恒通机械制造厂</w:t>
            </w:r>
            <w:bookmarkEnd w:id="11"/>
          </w:p>
        </w:tc>
        <w:tc>
          <w:tcPr>
            <w:tcW w:w="1672" w:type="dxa"/>
            <w:vAlign w:val="center"/>
          </w:tcPr>
          <w:p>
            <w:pPr>
              <w:spacing w:line="260" w:lineRule="exact"/>
              <w:jc w:val="center"/>
              <w:rPr>
                <w:rFonts w:hint="eastAsia" w:ascii="宋体" w:hAnsi="宋体" w:cs="Times New Roman"/>
                <w:b/>
                <w:sz w:val="21"/>
                <w:szCs w:val="22"/>
              </w:rPr>
            </w:pPr>
            <w:r>
              <w:rPr>
                <w:rFonts w:hint="eastAsia" w:ascii="宋体" w:hAnsi="宋体" w:cs="Times New Roman"/>
                <w:b/>
                <w:sz w:val="21"/>
                <w:szCs w:val="22"/>
              </w:rPr>
              <w:t>组织人数及</w:t>
            </w:r>
          </w:p>
          <w:p>
            <w:pPr>
              <w:spacing w:line="260" w:lineRule="exact"/>
              <w:jc w:val="center"/>
              <w:rPr>
                <w:rFonts w:hint="eastAsia" w:ascii="宋体" w:hAnsi="宋体" w:cs="Times New Roman"/>
                <w:b/>
                <w:sz w:val="21"/>
                <w:szCs w:val="22"/>
              </w:rPr>
            </w:pPr>
            <w:r>
              <w:rPr>
                <w:rFonts w:hint="eastAsia" w:ascii="宋体" w:hAnsi="宋体" w:cs="Times New Roman"/>
                <w:b/>
                <w:sz w:val="21"/>
                <w:szCs w:val="22"/>
              </w:rPr>
              <w:t>变动情况核实</w:t>
            </w:r>
          </w:p>
        </w:tc>
        <w:tc>
          <w:tcPr>
            <w:tcW w:w="1500" w:type="dxa"/>
            <w:vAlign w:val="center"/>
          </w:tcPr>
          <w:p>
            <w:pPr>
              <w:spacing w:line="260" w:lineRule="exact"/>
              <w:jc w:val="center"/>
              <w:rPr>
                <w:rFonts w:hint="eastAsia" w:ascii="宋体" w:hAnsi="宋体" w:cs="Times New Roman"/>
                <w:b/>
                <w:sz w:val="21"/>
                <w:szCs w:val="22"/>
              </w:rPr>
            </w:pPr>
            <w:bookmarkStart w:id="12" w:name="企业人数"/>
            <w:r>
              <w:rPr>
                <w:rFonts w:hint="eastAsia" w:ascii="宋体" w:hAnsi="宋体" w:cs="Times New Roman"/>
                <w:b/>
                <w:sz w:val="21"/>
                <w:szCs w:val="22"/>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3" w:name="注册地址"/>
            <w:r>
              <w:rPr>
                <w:rFonts w:ascii="宋体"/>
                <w:b/>
                <w:sz w:val="21"/>
              </w:rPr>
              <w:t>陕西省宝鸡市岐山县五丈原镇西星村</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4" w:name="注册邮编"/>
            <w:r>
              <w:rPr>
                <w:rFonts w:ascii="宋体"/>
                <w:b/>
                <w:sz w:val="21"/>
              </w:rPr>
              <w:t>610323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center"/>
          </w:tcPr>
          <w:p>
            <w:pPr>
              <w:jc w:val="center"/>
              <w:rPr>
                <w:rFonts w:ascii="宋体"/>
                <w:b/>
                <w:sz w:val="21"/>
              </w:rPr>
            </w:pPr>
            <w:bookmarkStart w:id="15" w:name="办公地址"/>
            <w:r>
              <w:rPr>
                <w:rFonts w:ascii="宋体"/>
                <w:b/>
                <w:sz w:val="21"/>
              </w:rPr>
              <w:t>陕西省宝鸡市岐山县五丈原镇西星村</w:t>
            </w:r>
            <w:bookmarkEnd w:id="15"/>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6" w:name="办公邮编"/>
            <w:r>
              <w:rPr>
                <w:rFonts w:ascii="宋体"/>
                <w:b/>
                <w:sz w:val="21"/>
              </w:rPr>
              <w:t>610323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vAlign w:val="center"/>
          </w:tcPr>
          <w:p>
            <w:pPr>
              <w:jc w:val="center"/>
              <w:rPr>
                <w:rFonts w:ascii="宋体"/>
                <w:b/>
                <w:sz w:val="21"/>
              </w:rPr>
            </w:pPr>
            <w:bookmarkStart w:id="17" w:name="生产地址Add"/>
            <w:r>
              <w:rPr>
                <w:rFonts w:ascii="宋体"/>
                <w:b/>
                <w:sz w:val="21"/>
              </w:rPr>
              <w:t>陕西省宝鸡市岐山县五丈原镇西星村</w:t>
            </w:r>
            <w:bookmarkEnd w:id="17"/>
          </w:p>
        </w:tc>
        <w:tc>
          <w:tcPr>
            <w:tcW w:w="1672"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8" w:name="生产邮编"/>
            <w:r>
              <w:rPr>
                <w:rFonts w:ascii="宋体"/>
                <w:b/>
                <w:sz w:val="21"/>
              </w:rPr>
              <w:t>610323</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b/>
                <w:sz w:val="21"/>
              </w:rPr>
            </w:pPr>
            <w:bookmarkStart w:id="19" w:name="联系人"/>
            <w:r>
              <w:rPr>
                <w:rFonts w:ascii="宋体"/>
                <w:b/>
                <w:sz w:val="21"/>
              </w:rPr>
              <w:t>苏拴侠</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0917-8779286</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2" w:name="法人"/>
            <w:r>
              <w:rPr>
                <w:rFonts w:ascii="宋体" w:hAnsi="宋体"/>
                <w:b/>
                <w:sz w:val="21"/>
                <w:szCs w:val="21"/>
              </w:rPr>
              <w:t>郭世辉</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3" w:name="管理者代表"/>
            <w:r>
              <w:rPr>
                <w:rFonts w:ascii="宋体"/>
                <w:b/>
                <w:sz w:val="21"/>
              </w:rPr>
              <w:t>苏拴侠</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jc w:val="center"/>
              <w:rPr>
                <w:rFonts w:ascii="宋体" w:hAnsi="宋体"/>
                <w:b/>
                <w:sz w:val="21"/>
                <w:szCs w:val="21"/>
              </w:rPr>
            </w:pPr>
            <w:bookmarkStart w:id="24" w:name="审核日期"/>
            <w:r>
              <w:rPr>
                <w:rFonts w:ascii="宋体" w:hAnsi="宋体"/>
                <w:b/>
                <w:sz w:val="21"/>
                <w:szCs w:val="21"/>
              </w:rPr>
              <w:t>2020年12月15日 下午至2020年12月16日 上午</w:t>
            </w:r>
            <w:bookmarkEnd w:id="24"/>
          </w:p>
        </w:tc>
        <w:tc>
          <w:tcPr>
            <w:tcW w:w="1609" w:type="dxa"/>
            <w:vAlign w:val="center"/>
          </w:tcPr>
          <w:p>
            <w:pPr>
              <w:jc w:val="center"/>
              <w:rPr>
                <w:rFonts w:ascii="宋体" w:hAnsi="宋体"/>
                <w:b/>
                <w:sz w:val="21"/>
                <w:szCs w:val="21"/>
              </w:rPr>
            </w:pPr>
            <w:r>
              <w:rPr>
                <w:rFonts w:hint="eastAsia" w:ascii="宋体" w:hAnsi="宋体"/>
                <w:b/>
                <w:sz w:val="21"/>
                <w:szCs w:val="21"/>
              </w:rPr>
              <w:t>一体化审核</w:t>
            </w:r>
          </w:p>
        </w:tc>
        <w:tc>
          <w:tcPr>
            <w:tcW w:w="3181" w:type="dxa"/>
            <w:gridSpan w:val="3"/>
            <w:vAlign w:val="center"/>
          </w:tcPr>
          <w:p>
            <w:pPr>
              <w:jc w:val="cente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bookmarkStart w:id="28" w:name="审核范围"/>
            <w:r>
              <w:rPr>
                <w:rFonts w:ascii="宋体" w:hAnsi="宋体"/>
                <w:b/>
                <w:color w:val="000000" w:themeColor="text1"/>
                <w:sz w:val="20"/>
                <w:szCs w:val="20"/>
              </w:rPr>
              <w:t>变速箱零部件(活塞.拔叉轴)的生产及其场所所涉及的环境管理活动。</w:t>
            </w:r>
            <w:bookmarkEnd w:id="28"/>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1177" w:type="dxa"/>
            <w:vAlign w:val="center"/>
          </w:tcPr>
          <w:p>
            <w:pPr>
              <w:spacing w:line="260" w:lineRule="exact"/>
              <w:jc w:val="center"/>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r>
              <w:rPr>
                <w:rFonts w:hint="eastAsia" w:ascii="宋体" w:hAnsi="宋体"/>
                <w:b/>
                <w:sz w:val="21"/>
                <w:szCs w:val="21"/>
              </w:rPr>
              <w:t>□否</w:t>
            </w:r>
          </w:p>
        </w:tc>
        <w:tc>
          <w:tcPr>
            <w:tcW w:w="7588" w:type="dxa"/>
            <w:gridSpan w:val="6"/>
            <w:vAlign w:val="center"/>
          </w:tcPr>
          <w:p>
            <w:pPr>
              <w:spacing w:line="360" w:lineRule="exact"/>
              <w:jc w:val="both"/>
              <w:rPr>
                <w:rFonts w:ascii="宋体" w:hAnsi="宋体"/>
                <w:b/>
                <w:sz w:val="21"/>
                <w:szCs w:val="21"/>
              </w:rPr>
            </w:pPr>
            <w:r>
              <w:rPr>
                <w:rFonts w:hint="eastAsia" w:ascii="宋体" w:hAnsi="宋体"/>
                <w:b/>
                <w:sz w:val="21"/>
                <w:szCs w:val="21"/>
              </w:rPr>
              <w:t>变更的认证范围</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ind w:firstLine="211" w:firstLineChars="100"/>
              <w:jc w:val="both"/>
              <w:rPr>
                <w:rFonts w:ascii="宋体" w:hAnsi="宋体"/>
                <w:b/>
                <w:sz w:val="21"/>
                <w:szCs w:val="21"/>
              </w:rPr>
            </w:pPr>
            <w:bookmarkStart w:id="30" w:name="专业代码"/>
            <w:r>
              <w:rPr>
                <w:rFonts w:ascii="宋体" w:hAnsi="宋体"/>
                <w:b/>
                <w:sz w:val="21"/>
                <w:szCs w:val="21"/>
              </w:rPr>
              <w:t>17.10.01;</w:t>
            </w:r>
          </w:p>
          <w:p>
            <w:pPr>
              <w:spacing w:line="260" w:lineRule="exact"/>
              <w:ind w:firstLine="211" w:firstLineChars="100"/>
              <w:jc w:val="both"/>
              <w:rPr>
                <w:rFonts w:ascii="宋体" w:hAnsi="宋体"/>
                <w:b/>
                <w:sz w:val="21"/>
                <w:szCs w:val="21"/>
              </w:rPr>
            </w:pPr>
            <w:r>
              <w:rPr>
                <w:rFonts w:ascii="宋体" w:hAnsi="宋体"/>
                <w:b/>
                <w:sz w:val="21"/>
                <w:szCs w:val="21"/>
              </w:rPr>
              <w:t>17.10.02</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2022.12.22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b/>
                <w:color w:val="000000" w:themeColor="text1"/>
                <w:spacing w:val="-10"/>
                <w:szCs w:val="21"/>
                <w:lang w:val="en-US" w:eastAsia="zh-CN"/>
              </w:rPr>
              <w:t>2019.12.1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hint="eastAsia" w:ascii="宋体" w:hAnsi="宋体"/>
                <w:b w:val="0"/>
                <w:bCs/>
                <w:sz w:val="21"/>
                <w:szCs w:val="21"/>
              </w:rPr>
            </w:pPr>
            <w:r>
              <w:rPr>
                <w:rFonts w:hint="eastAsia" w:ascii="宋体" w:hAnsi="宋体"/>
                <w:b w:val="0"/>
                <w:bCs/>
                <w:sz w:val="21"/>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rFonts w:ascii="宋体" w:hAnsi="宋体"/>
                <w:b/>
                <w:sz w:val="21"/>
                <w:szCs w:val="21"/>
              </w:rPr>
            </w:pPr>
            <w:r>
              <w:rPr>
                <w:rFonts w:hint="eastAsia" w:ascii="宋体" w:hAnsi="宋体"/>
                <w:b w:val="0"/>
                <w:bCs/>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在公司运营过程中充分考虑相关方方面的期望或要求，已识别公司的相关方涉及到顾客、最终用户、业主、股东、银行、外部供应商、员工、法律法规监管机构等。</w:t>
            </w:r>
          </w:p>
          <w:p>
            <w:pPr>
              <w:spacing w:line="360" w:lineRule="auto"/>
              <w:rPr>
                <w:rFonts w:ascii="宋体" w:hAnsi="宋体"/>
                <w:b/>
                <w:sz w:val="21"/>
                <w:szCs w:val="21"/>
              </w:rPr>
            </w:pPr>
            <w:r>
              <w:rPr>
                <w:rFonts w:hint="eastAsia" w:ascii="宋体" w:hAnsi="宋体"/>
                <w:b w:val="0"/>
                <w:bCs/>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lang w:val="en-US" w:eastAsia="zh-CN"/>
              </w:rPr>
              <w:t>公司</w:t>
            </w:r>
            <w:r>
              <w:rPr>
                <w:rFonts w:hint="eastAsia" w:ascii="宋体" w:hAnsi="宋体"/>
                <w:b w:val="0"/>
                <w:bCs/>
                <w:sz w:val="21"/>
                <w:szCs w:val="21"/>
              </w:rPr>
              <w:t>环境方针是：</w:t>
            </w:r>
          </w:p>
          <w:p>
            <w:pPr>
              <w:spacing w:line="360" w:lineRule="auto"/>
              <w:rPr>
                <w:rFonts w:hint="eastAsia" w:ascii="宋体" w:hAnsi="宋体"/>
                <w:b w:val="0"/>
                <w:bCs/>
                <w:sz w:val="21"/>
                <w:szCs w:val="21"/>
              </w:rPr>
            </w:pPr>
            <w:r>
              <w:rPr>
                <w:rFonts w:hint="eastAsia" w:ascii="宋体" w:hAnsi="宋体"/>
                <w:b w:val="0"/>
                <w:bCs/>
                <w:sz w:val="21"/>
                <w:szCs w:val="21"/>
              </w:rPr>
              <w:t>遵规守法  预防污染  节能降耗  持续改进</w:t>
            </w:r>
          </w:p>
          <w:p>
            <w:pPr>
              <w:spacing w:line="360" w:lineRule="auto"/>
              <w:rPr>
                <w:rFonts w:ascii="宋体" w:hAnsi="宋体"/>
                <w:b/>
                <w:sz w:val="21"/>
                <w:szCs w:val="21"/>
              </w:rPr>
            </w:pPr>
            <w:r>
              <w:rPr>
                <w:rFonts w:hint="eastAsia" w:ascii="宋体" w:hAnsi="宋体"/>
                <w:b w:val="0"/>
                <w:bCs/>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hint="eastAsia" w:ascii="宋体" w:hAnsi="宋体"/>
                <w:b w:val="0"/>
                <w:bCs/>
                <w:sz w:val="21"/>
                <w:szCs w:val="21"/>
              </w:rPr>
            </w:pPr>
            <w:r>
              <w:rPr>
                <w:rFonts w:hint="eastAsia" w:ascii="宋体" w:hAnsi="宋体"/>
                <w:b w:val="0"/>
                <w:bCs/>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rPr>
                <w:rFonts w:hint="eastAsia" w:ascii="宋体" w:hAnsi="宋体"/>
                <w:b w:val="0"/>
                <w:bCs/>
                <w:sz w:val="21"/>
                <w:szCs w:val="21"/>
              </w:rPr>
            </w:pPr>
            <w:r>
              <w:rPr>
                <w:rFonts w:hint="eastAsia" w:ascii="宋体" w:hAnsi="宋体"/>
                <w:b w:val="0"/>
                <w:bCs/>
                <w:sz w:val="21"/>
                <w:szCs w:val="21"/>
              </w:rPr>
              <w:t>提供“风险与机遇评价与应对策划表”，按照生产、销售服务、采购、支持过程/部门对风险和机遇进行了评价识别，并制定应对措施。</w:t>
            </w:r>
          </w:p>
          <w:p>
            <w:pPr>
              <w:spacing w:line="360" w:lineRule="auto"/>
              <w:rPr>
                <w:rFonts w:ascii="宋体" w:hAnsi="宋体"/>
                <w:b/>
                <w:sz w:val="21"/>
                <w:szCs w:val="21"/>
              </w:rPr>
            </w:pPr>
            <w:r>
              <w:rPr>
                <w:rFonts w:hint="eastAsia" w:ascii="宋体" w:hAnsi="宋体"/>
                <w:b w:val="0"/>
                <w:bCs/>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识别了办公、生产、采购、销售、质检等过程的环境因素，动态更新，评价出的重要环境因素包括：固体废弃物排放、火灾事故的发生、废气排放、噪声排放。</w:t>
            </w:r>
          </w:p>
          <w:p>
            <w:pPr>
              <w:spacing w:line="360" w:lineRule="auto"/>
              <w:rPr>
                <w:rFonts w:hint="eastAsia" w:ascii="宋体" w:hAnsi="宋体"/>
                <w:b w:val="0"/>
                <w:bCs/>
                <w:sz w:val="21"/>
                <w:szCs w:val="21"/>
              </w:rPr>
            </w:pPr>
            <w:r>
              <w:rPr>
                <w:rFonts w:hint="eastAsia" w:ascii="宋体" w:hAnsi="宋体"/>
                <w:b w:val="0"/>
                <w:bCs/>
                <w:sz w:val="21"/>
                <w:szCs w:val="21"/>
              </w:rPr>
              <w:t>在采购、销售、生产、质检、仓储、运输、交付、日常办公等过程能使用生命周期观点和方法识别环境因素并加以管理。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8"/>
              <w:numPr>
                <w:ilvl w:val="0"/>
                <w:numId w:val="3"/>
              </w:numPr>
              <w:tabs>
                <w:tab w:val="left" w:pos="540"/>
              </w:tabs>
              <w:spacing w:line="360" w:lineRule="auto"/>
              <w:ind w:firstLineChars="0"/>
              <w:rPr>
                <w:rFonts w:ascii="宋体"/>
                <w:b/>
                <w:color w:val="000000"/>
                <w:sz w:val="21"/>
                <w:szCs w:val="21"/>
                <w:u w:val="single"/>
              </w:rPr>
            </w:pPr>
            <w:r>
              <w:rPr>
                <w:rFonts w:hint="eastAsia" w:ascii="宋体" w:hAnsi="宋体"/>
                <w:b/>
                <w:color w:val="000000"/>
                <w:sz w:val="21"/>
                <w:szCs w:val="21"/>
              </w:rPr>
              <w:t>获取法律法规项，▇法律法规获取充分，□法律法规获取有遗漏，缺少</w:t>
            </w:r>
          </w:p>
          <w:p>
            <w:pPr>
              <w:pStyle w:val="18"/>
              <w:numPr>
                <w:ilvl w:val="0"/>
                <w:numId w:val="3"/>
              </w:numPr>
              <w:tabs>
                <w:tab w:val="left" w:pos="540"/>
              </w:tabs>
              <w:spacing w:line="360" w:lineRule="auto"/>
              <w:ind w:firstLineChars="0"/>
              <w:rPr>
                <w:rFonts w:ascii="宋体"/>
                <w:b/>
                <w:color w:val="000000"/>
                <w:sz w:val="21"/>
                <w:szCs w:val="21"/>
              </w:rPr>
            </w:pPr>
            <w:r>
              <w:rPr>
                <w:rFonts w:hint="eastAsia" w:ascii="宋体" w:hAnsi="宋体"/>
                <w:b/>
                <w:color w:val="000000"/>
                <w:sz w:val="21"/>
                <w:szCs w:val="21"/>
              </w:rPr>
              <w:t>结合公司的▇产品</w:t>
            </w:r>
            <w:r>
              <w:rPr>
                <w:rFonts w:ascii="宋体" w:hAnsi="宋体"/>
                <w:b/>
                <w:color w:val="000000"/>
                <w:sz w:val="21"/>
                <w:szCs w:val="21"/>
              </w:rPr>
              <w:t>/</w:t>
            </w:r>
            <w:r>
              <w:rPr>
                <w:rFonts w:hint="eastAsia" w:ascii="宋体" w:hAnsi="宋体"/>
                <w:b/>
                <w:color w:val="000000"/>
                <w:sz w:val="21"/>
                <w:szCs w:val="21"/>
              </w:rPr>
              <w:t>服务▇环境因素□危险源，▇确定</w:t>
            </w:r>
            <w:r>
              <w:rPr>
                <w:rFonts w:ascii="宋体" w:hAnsi="宋体"/>
                <w:b/>
                <w:color w:val="000000"/>
                <w:sz w:val="21"/>
                <w:szCs w:val="21"/>
              </w:rPr>
              <w:t xml:space="preserve"> </w:t>
            </w:r>
            <w:r>
              <w:rPr>
                <w:rFonts w:hint="eastAsia" w:ascii="宋体" w:hAnsi="宋体"/>
                <w:b/>
                <w:color w:val="000000"/>
                <w:sz w:val="21"/>
                <w:szCs w:val="21"/>
              </w:rPr>
              <w:t>□未确定法律法规要求的具体条款，</w:t>
            </w:r>
          </w:p>
          <w:p>
            <w:pPr>
              <w:spacing w:line="360" w:lineRule="auto"/>
              <w:ind w:firstLine="211" w:firstLineChars="100"/>
              <w:rPr>
                <w:rFonts w:ascii="宋体" w:cs="宋体"/>
                <w:sz w:val="21"/>
                <w:szCs w:val="21"/>
              </w:rPr>
            </w:pPr>
            <w:r>
              <w:rPr>
                <w:rFonts w:hint="eastAsia" w:ascii="宋体" w:hAnsi="宋体"/>
                <w:b/>
                <w:color w:val="000000"/>
                <w:sz w:val="21"/>
                <w:szCs w:val="21"/>
              </w:rPr>
              <w:t>法律法规的宣传方式：</w:t>
            </w:r>
            <w:r>
              <w:rPr>
                <w:rFonts w:hint="eastAsia" w:ascii="宋体" w:hAnsi="宋体" w:cs="宋体"/>
                <w:sz w:val="21"/>
                <w:szCs w:val="21"/>
              </w:rPr>
              <w:t>通过培训、开会、发文件等形式将法律法规要求传达给了员工和相关方。</w:t>
            </w:r>
          </w:p>
          <w:p>
            <w:pPr>
              <w:pStyle w:val="18"/>
              <w:numPr>
                <w:ilvl w:val="0"/>
                <w:numId w:val="3"/>
              </w:numPr>
              <w:tabs>
                <w:tab w:val="left" w:pos="540"/>
              </w:tabs>
              <w:spacing w:line="360" w:lineRule="auto"/>
              <w:ind w:firstLineChars="0"/>
              <w:rPr>
                <w:rFonts w:ascii="宋体" w:hAnsi="宋体"/>
                <w:b/>
                <w:sz w:val="21"/>
                <w:szCs w:val="21"/>
              </w:rPr>
            </w:pPr>
            <w:r>
              <w:rPr>
                <w:rFonts w:hint="eastAsia" w:ascii="宋体" w:hAnsi="宋体"/>
                <w:b/>
                <w:color w:val="000000"/>
                <w:sz w:val="21"/>
                <w:szCs w:val="21"/>
              </w:rPr>
              <w:t>法律法规要求及时更新了：是</w:t>
            </w:r>
          </w:p>
          <w:p>
            <w:pPr>
              <w:pStyle w:val="18"/>
              <w:numPr>
                <w:ilvl w:val="0"/>
                <w:numId w:val="0"/>
              </w:numPr>
              <w:tabs>
                <w:tab w:val="left" w:pos="540"/>
              </w:tabs>
              <w:spacing w:line="360" w:lineRule="auto"/>
              <w:ind w:leftChars="0"/>
              <w:rPr>
                <w:rFonts w:ascii="宋体" w:hAnsi="宋体"/>
                <w:b/>
                <w:sz w:val="21"/>
                <w:szCs w:val="21"/>
              </w:rPr>
            </w:pPr>
            <w:r>
              <w:rPr>
                <w:rFonts w:hint="eastAsia" w:ascii="宋体" w:hAnsi="宋体"/>
                <w:b w:val="0"/>
                <w:bCs/>
                <w:sz w:val="21"/>
                <w:szCs w:val="21"/>
              </w:rPr>
              <w:t>查</w:t>
            </w:r>
            <w:r>
              <w:rPr>
                <w:rFonts w:hint="eastAsia" w:ascii="宋体" w:hAnsi="宋体"/>
                <w:b w:val="0"/>
                <w:bCs/>
                <w:sz w:val="21"/>
                <w:szCs w:val="21"/>
                <w:lang w:val="en-US" w:eastAsia="zh-CN"/>
              </w:rPr>
              <w:t>综合部</w:t>
            </w:r>
            <w:r>
              <w:rPr>
                <w:rFonts w:hint="eastAsia" w:ascii="宋体" w:hAnsi="宋体"/>
                <w:b w:val="0"/>
                <w:bCs/>
                <w:sz w:val="21"/>
                <w:szCs w:val="21"/>
              </w:rPr>
              <w:t>提供的《环境法律法规标准要求清单》中收录的“中华人民共和国固体废物污染环境防治法”为过期失效版本，已开具不符合。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hint="eastAsia" w:ascii="宋体" w:eastAsia="宋体" w:cs="宋体"/>
                <w:sz w:val="21"/>
                <w:szCs w:val="21"/>
                <w:lang w:eastAsia="zh-CN"/>
              </w:rPr>
            </w:pPr>
            <w:r>
              <w:rPr>
                <w:rFonts w:hint="eastAsia" w:ascii="宋体" w:hAnsi="宋体" w:cs="宋体"/>
                <w:sz w:val="21"/>
                <w:szCs w:val="21"/>
                <w:lang w:val="en-US" w:eastAsia="zh-CN"/>
              </w:rPr>
              <w:t>环境</w:t>
            </w:r>
            <w:r>
              <w:rPr>
                <w:rFonts w:hint="eastAsia" w:ascii="宋体" w:hAnsi="宋体" w:cs="宋体"/>
                <w:sz w:val="21"/>
                <w:szCs w:val="21"/>
              </w:rPr>
              <w:t>管理目标</w:t>
            </w:r>
            <w:r>
              <w:rPr>
                <w:rFonts w:hint="eastAsia" w:ascii="宋体" w:hAnsi="宋体" w:cs="宋体"/>
                <w:sz w:val="21"/>
                <w:szCs w:val="21"/>
                <w:lang w:eastAsia="zh-CN"/>
              </w:rPr>
              <w:t>：</w:t>
            </w:r>
          </w:p>
          <w:p>
            <w:pPr>
              <w:spacing w:line="360" w:lineRule="auto"/>
              <w:ind w:firstLine="500" w:firstLineChars="200"/>
              <w:rPr>
                <w:rFonts w:ascii="宋体" w:cs="HAAPML+o¨²¨¬?"/>
                <w:sz w:val="21"/>
                <w:szCs w:val="21"/>
              </w:rPr>
            </w:pPr>
            <w:r>
              <w:rPr>
                <w:rFonts w:hint="eastAsia" w:ascii="宋体" w:hAnsi="宋体"/>
                <w:spacing w:val="20"/>
                <w:sz w:val="21"/>
                <w:szCs w:val="21"/>
                <w:lang w:val="en-US" w:eastAsia="zh-CN"/>
              </w:rPr>
              <w:t>环境污染事故为零</w:t>
            </w:r>
            <w:r>
              <w:rPr>
                <w:rFonts w:hint="eastAsia" w:ascii="宋体" w:hAnsi="宋体"/>
                <w:spacing w:val="20"/>
                <w:sz w:val="21"/>
                <w:szCs w:val="21"/>
              </w:rPr>
              <w:t>；</w:t>
            </w:r>
          </w:p>
          <w:p>
            <w:pPr>
              <w:spacing w:line="360" w:lineRule="auto"/>
              <w:ind w:firstLine="420" w:firstLineChars="200"/>
              <w:rPr>
                <w:rFonts w:ascii="宋体"/>
                <w:spacing w:val="20"/>
                <w:sz w:val="21"/>
                <w:szCs w:val="21"/>
              </w:rPr>
            </w:pPr>
            <w:r>
              <w:rPr>
                <w:rFonts w:hint="eastAsia" w:ascii="宋体" w:hAnsi="宋体"/>
                <w:sz w:val="21"/>
                <w:szCs w:val="21"/>
                <w:lang w:val="en-US" w:eastAsia="zh-CN"/>
              </w:rPr>
              <w:t>万元产值降低电单耗1%</w:t>
            </w:r>
            <w:r>
              <w:rPr>
                <w:rFonts w:hint="eastAsia" w:ascii="宋体" w:hAnsi="宋体"/>
                <w:sz w:val="21"/>
                <w:szCs w:val="21"/>
              </w:rPr>
              <w:t>；</w:t>
            </w:r>
          </w:p>
          <w:p>
            <w:pPr>
              <w:spacing w:line="360" w:lineRule="auto"/>
              <w:ind w:firstLine="500" w:firstLineChars="200"/>
              <w:rPr>
                <w:rFonts w:ascii="宋体"/>
                <w:spacing w:val="20"/>
                <w:sz w:val="21"/>
                <w:szCs w:val="21"/>
              </w:rPr>
            </w:pPr>
            <w:r>
              <w:rPr>
                <w:rFonts w:hint="eastAsia" w:ascii="宋体" w:hAnsi="宋体"/>
                <w:spacing w:val="20"/>
                <w:sz w:val="21"/>
                <w:szCs w:val="21"/>
              </w:rPr>
              <w:t>固体废物分类处置合格率≥95%；</w:t>
            </w:r>
          </w:p>
          <w:p>
            <w:pPr>
              <w:spacing w:line="360" w:lineRule="auto"/>
              <w:rPr>
                <w:rFonts w:ascii="宋体" w:hAnsi="宋体"/>
                <w:b/>
                <w:sz w:val="21"/>
                <w:szCs w:val="21"/>
              </w:rPr>
            </w:pPr>
            <w:r>
              <w:rPr>
                <w:rFonts w:ascii="宋体" w:hAnsi="宋体" w:cs="宋体"/>
                <w:sz w:val="21"/>
                <w:szCs w:val="21"/>
              </w:rPr>
              <w:t xml:space="preserve"> </w:t>
            </w:r>
            <w:r>
              <w:rPr>
                <w:rFonts w:hint="eastAsia" w:ascii="宋体" w:hAnsi="宋体" w:cs="宋体"/>
                <w:sz w:val="21"/>
                <w:szCs w:val="21"/>
              </w:rPr>
              <w:t>提供《公司及各部门环境目标考核报表》</w:t>
            </w:r>
            <w:r>
              <w:rPr>
                <w:rFonts w:ascii="宋体" w:hAnsi="宋体" w:cs="宋体"/>
                <w:kern w:val="1"/>
                <w:sz w:val="24"/>
              </w:rPr>
              <w:t>(20</w:t>
            </w:r>
            <w:r>
              <w:rPr>
                <w:rFonts w:hint="eastAsia" w:ascii="宋体" w:hAnsi="宋体" w:cs="宋体"/>
                <w:kern w:val="1"/>
                <w:sz w:val="24"/>
                <w:lang w:val="en-US" w:eastAsia="zh-CN"/>
              </w:rPr>
              <w:t>19.10</w:t>
            </w:r>
            <w:r>
              <w:rPr>
                <w:rFonts w:ascii="宋体" w:hAnsi="宋体" w:cs="宋体"/>
                <w:kern w:val="1"/>
                <w:sz w:val="24"/>
              </w:rPr>
              <w:t>-</w:t>
            </w:r>
            <w:r>
              <w:rPr>
                <w:rFonts w:hint="eastAsia" w:ascii="宋体" w:hAnsi="宋体" w:cs="宋体"/>
                <w:kern w:val="1"/>
                <w:sz w:val="24"/>
                <w:lang w:val="en-US" w:eastAsia="zh-CN"/>
              </w:rPr>
              <w:t>2020.9</w:t>
            </w:r>
            <w:r>
              <w:rPr>
                <w:rFonts w:ascii="宋体" w:hAnsi="宋体" w:cs="宋体"/>
                <w:kern w:val="1"/>
                <w:sz w:val="24"/>
              </w:rPr>
              <w:t>)</w:t>
            </w:r>
            <w:r>
              <w:rPr>
                <w:rFonts w:hint="eastAsia" w:ascii="宋体" w:hAnsi="宋体" w:cs="宋体"/>
                <w:sz w:val="21"/>
                <w:szCs w:val="21"/>
                <w:lang w:val="en-US" w:eastAsia="zh-CN"/>
              </w:rPr>
              <w:t>四个季度考核统计,</w:t>
            </w:r>
            <w:r>
              <w:rPr>
                <w:rFonts w:hint="eastAsia" w:ascii="宋体" w:hAnsi="宋体" w:cs="宋体"/>
                <w:sz w:val="21"/>
                <w:szCs w:val="21"/>
              </w:rPr>
              <w:t>目标指标均完成。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cs="Times New Roman"/>
                <w:b/>
                <w:sz w:val="21"/>
                <w:szCs w:val="21"/>
              </w:rPr>
            </w:pPr>
            <w:r>
              <w:rPr>
                <w:rFonts w:hint="eastAsia" w:ascii="宋体" w:hAnsi="宋体" w:cs="Times New Roman"/>
                <w:b/>
                <w:sz w:val="21"/>
                <w:szCs w:val="21"/>
              </w:rPr>
              <w:t>6. 文件与记录控制(文审修订后文件与标准的符合程度评价、文件控制管理等)</w:t>
            </w:r>
          </w:p>
          <w:p>
            <w:p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企业</w:t>
            </w:r>
            <w:r>
              <w:rPr>
                <w:rFonts w:hint="eastAsia" w:ascii="宋体" w:hAnsi="宋体" w:eastAsia="宋体" w:cs="宋体"/>
                <w:sz w:val="21"/>
                <w:szCs w:val="21"/>
              </w:rPr>
              <w:t>建立的管理体系文件包括：</w:t>
            </w:r>
          </w:p>
          <w:p>
            <w:p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1.管理手册E/HT-2018 A版，发布时间：2018.7.1     实施时间：2018.7.1  </w:t>
            </w:r>
          </w:p>
          <w:p>
            <w:p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rPr>
              <w:t>2.程序文件，含22个文件，包括标准要求的形成文件的信息。</w:t>
            </w:r>
          </w:p>
          <w:p>
            <w:p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rPr>
              <w:t>3.管理制度汇编</w:t>
            </w:r>
            <w:r>
              <w:rPr>
                <w:rFonts w:hint="eastAsia" w:ascii="宋体" w:hAnsi="宋体" w:eastAsia="宋体" w:cs="宋体"/>
                <w:sz w:val="21"/>
                <w:szCs w:val="21"/>
                <w:lang w:eastAsia="zh-CN"/>
              </w:rPr>
              <w:t>：</w:t>
            </w:r>
            <w:r>
              <w:rPr>
                <w:rFonts w:hint="eastAsia" w:ascii="宋体" w:hAnsi="宋体" w:eastAsia="宋体" w:cs="宋体"/>
                <w:sz w:val="21"/>
                <w:szCs w:val="21"/>
              </w:rPr>
              <w:t>包括管理制度、合同管理制定、作业指导书等。</w:t>
            </w:r>
          </w:p>
          <w:p>
            <w:p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rPr>
              <w:t>4.体系运行所需要的文件和记录</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执行</w:t>
            </w:r>
            <w:r>
              <w:rPr>
                <w:rFonts w:hint="eastAsia" w:ascii="宋体" w:hAnsi="宋体" w:eastAsia="宋体" w:cs="宋体"/>
                <w:sz w:val="21"/>
                <w:szCs w:val="21"/>
              </w:rPr>
              <w:t>《文件控制程序》，用于对管理体系文件，符合标准要求。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查办公室管理手册、管理制度等文件均保管良好，为有效版本，有受控标识。</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办公室负责收集有关产品的国家标准、行业标准的最新版本，分发到相关部门使用；收回旧标准。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以上外来文件保管良好，均为有效版本。</w:t>
            </w:r>
          </w:p>
          <w:p>
            <w:pPr>
              <w:spacing w:line="360" w:lineRule="auto"/>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pStyle w:val="2"/>
              <w:spacing w:line="360" w:lineRule="auto"/>
            </w:pPr>
            <w:r>
              <w:rPr>
                <w:rFonts w:hint="eastAsia" w:ascii="宋体" w:hAnsi="宋体" w:eastAsia="宋体" w:cs="宋体"/>
                <w:b w:val="0"/>
                <w:bCs w:val="0"/>
                <w:kern w:val="2"/>
                <w:sz w:val="21"/>
                <w:szCs w:val="21"/>
                <w:lang w:val="en-US" w:eastAsia="zh-CN" w:bidi="ar-SA"/>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生产、技术、检验、销售服务人员上岗前经过岗前培训，人员均经过专业培训。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val="0"/>
                <w:bCs/>
                <w:sz w:val="21"/>
                <w:szCs w:val="21"/>
              </w:rPr>
              <w:t>数控全自动锯床、立床、数控车床、平面磨床、万能升降铣床、螺杆式空压机、井式炉、浸油槽等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pStyle w:val="9"/>
              <w:spacing w:line="360" w:lineRule="auto"/>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spacing w:line="360" w:lineRule="auto"/>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spacing w:line="360" w:lineRule="auto"/>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spacing w:line="360" w:lineRule="auto"/>
              <w:rPr>
                <w:rFonts w:ascii="宋体" w:hAnsi="宋体"/>
                <w:b/>
                <w:sz w:val="21"/>
                <w:szCs w:val="21"/>
              </w:rPr>
            </w:pPr>
            <w:r>
              <w:rPr>
                <w:rFonts w:hint="eastAsia" w:eastAsia="宋体" w:cs="宋体"/>
                <w:color w:val="auto"/>
                <w:kern w:val="2"/>
                <w:sz w:val="21"/>
                <w:szCs w:val="21"/>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Cs/>
                <w:sz w:val="20"/>
                <w:szCs w:val="20"/>
                <w:lang w:val="en-US" w:eastAsia="zh-CN"/>
              </w:rPr>
              <w:t>内径百分表、带表卡尺、深度尺、游标卡尺、数显高度尺、偏摆检查仪、硬度计等，均经</w:t>
            </w:r>
            <w:r>
              <w:rPr>
                <w:rFonts w:hint="eastAsia" w:ascii="宋体" w:hAnsi="宋体"/>
                <w:bCs/>
                <w:sz w:val="20"/>
                <w:szCs w:val="20"/>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spacing w:line="360" w:lineRule="auto"/>
              <w:rPr>
                <w:rFonts w:ascii="宋体" w:hAnsi="宋体"/>
                <w:b/>
                <w:sz w:val="21"/>
                <w:szCs w:val="21"/>
              </w:rPr>
            </w:pPr>
            <w:r>
              <w:rPr>
                <w:rFonts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环保设备配置: 沉淀池、排风机、危废存放间、化粪池、灭火器、消防器材、隔音、绿化等。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组织对外联络，关注顾客的感受情况（QMS）：</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外部信息的接收、成文并答复的情况（E、S填写）：</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OHSMS事务代表协商和交流的情况（OHSMS填写）：</w:t>
            </w:r>
          </w:p>
          <w:p>
            <w:pPr>
              <w:spacing w:line="360" w:lineRule="auto"/>
              <w:rPr>
                <w:rFonts w:ascii="宋体" w:hAnsi="宋体"/>
                <w:b/>
                <w:sz w:val="21"/>
                <w:szCs w:val="21"/>
              </w:rPr>
            </w:pPr>
            <w:r>
              <w:rPr>
                <w:rFonts w:hint="eastAsia" w:ascii="宋体" w:hAnsi="宋体" w:eastAsia="宋体" w:cs="宋体"/>
                <w:b/>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rPr>
                <w:rFonts w:hint="eastAsia" w:ascii="宋体" w:hAnsi="宋体"/>
                <w:b w:val="0"/>
                <w:bCs/>
                <w:sz w:val="21"/>
                <w:szCs w:val="21"/>
              </w:rPr>
            </w:pPr>
            <w:r>
              <w:rPr>
                <w:rFonts w:hint="eastAsia" w:ascii="宋体" w:hAnsi="宋体"/>
                <w:b w:val="0"/>
                <w:bCs/>
                <w:sz w:val="21"/>
                <w:szCs w:val="21"/>
              </w:rPr>
              <w:t>1、废水管控：</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食堂污水经油水分离器预处理后与其他生活污水一起排入化粪池，由附近村民清掏用于肥田，不外排。</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生产废水主要为工件清洗过程产生的清洗废水，清洗废水产生量约为351m</w:t>
            </w:r>
            <w:r>
              <w:rPr>
                <w:rFonts w:hint="eastAsia" w:ascii="宋体" w:hAnsi="宋体"/>
                <w:b w:val="0"/>
                <w:bCs/>
                <w:sz w:val="21"/>
                <w:szCs w:val="21"/>
                <w:vertAlign w:val="superscript"/>
              </w:rPr>
              <w:t>3</w:t>
            </w:r>
            <w:r>
              <w:rPr>
                <w:rFonts w:hint="eastAsia" w:ascii="宋体" w:hAnsi="宋体"/>
                <w:b w:val="0"/>
                <w:bCs/>
                <w:sz w:val="21"/>
                <w:szCs w:val="21"/>
              </w:rPr>
              <w:t>/a，进入厂内设置的沉淀池预处理后用于周围农田灌溉</w:t>
            </w:r>
            <w:r>
              <w:rPr>
                <w:rFonts w:hint="eastAsia" w:ascii="宋体" w:hAnsi="宋体"/>
                <w:b w:val="0"/>
                <w:bCs/>
                <w:sz w:val="21"/>
                <w:szCs w:val="21"/>
                <w:lang w:eastAsia="zh-CN"/>
              </w:rPr>
              <w:t>，</w:t>
            </w:r>
            <w:r>
              <w:rPr>
                <w:rFonts w:hint="eastAsia" w:ascii="宋体" w:hAnsi="宋体"/>
                <w:b w:val="0"/>
                <w:bCs/>
                <w:sz w:val="21"/>
                <w:szCs w:val="21"/>
                <w:lang w:val="en-US" w:eastAsia="zh-CN"/>
              </w:rPr>
              <w:t>经</w:t>
            </w:r>
            <w:r>
              <w:rPr>
                <w:rFonts w:hint="eastAsia" w:ascii="宋体" w:hAnsi="宋体"/>
                <w:b w:val="0"/>
                <w:bCs/>
                <w:sz w:val="21"/>
                <w:szCs w:val="21"/>
              </w:rPr>
              <w:t>监测结果表明满足DB61/224-2011（黄河流域陕西段）污水综合排放标准，和GB8978-1996污水综合排放标准中的三级标准，以及GB5084-2005农田灌溉水质标准。</w:t>
            </w:r>
          </w:p>
          <w:p>
            <w:pPr>
              <w:spacing w:line="360" w:lineRule="auto"/>
              <w:rPr>
                <w:rFonts w:hint="eastAsia" w:ascii="宋体" w:hAnsi="宋体"/>
                <w:b w:val="0"/>
                <w:bCs/>
                <w:sz w:val="21"/>
                <w:szCs w:val="21"/>
              </w:rPr>
            </w:pPr>
            <w:r>
              <w:rPr>
                <w:rFonts w:hint="eastAsia" w:ascii="宋体" w:hAnsi="宋体"/>
                <w:b w:val="0"/>
                <w:bCs/>
                <w:sz w:val="21"/>
                <w:szCs w:val="21"/>
              </w:rPr>
              <w:t>2、废气管控：</w:t>
            </w:r>
          </w:p>
          <w:p>
            <w:pPr>
              <w:spacing w:line="360" w:lineRule="auto"/>
              <w:rPr>
                <w:rFonts w:hint="eastAsia" w:ascii="宋体" w:hAnsi="宋体"/>
                <w:b w:val="0"/>
                <w:bCs/>
                <w:sz w:val="21"/>
                <w:szCs w:val="21"/>
              </w:rPr>
            </w:pPr>
            <w:r>
              <w:rPr>
                <w:rFonts w:hint="eastAsia" w:ascii="宋体" w:hAnsi="宋体"/>
                <w:b w:val="0"/>
                <w:bCs/>
                <w:sz w:val="21"/>
                <w:szCs w:val="21"/>
              </w:rPr>
              <w:t>公司氧氮化工序井式炉、沸水煮洗过程均采用电加热，因此没有燃烧废气产生和排放，浸油过程有机废气通过车间内设置强排风装置加强通风，外排量较小，对周围环境空气质量影响甚微；食堂油烟废气经油烟净化器处理后排放，对周围环境影响较小，经监测无组织排放的NH3能满足GB14554-93恶臭污染物排放标准中的二级标准；无组织排放的PM10能满足GB16297-1966大气污染物综合排放标准中的二级标准。</w:t>
            </w:r>
          </w:p>
          <w:p>
            <w:pPr>
              <w:spacing w:line="360" w:lineRule="auto"/>
              <w:rPr>
                <w:rFonts w:hint="eastAsia" w:ascii="宋体" w:hAnsi="宋体"/>
                <w:b w:val="0"/>
                <w:bCs/>
                <w:sz w:val="21"/>
                <w:szCs w:val="21"/>
              </w:rPr>
            </w:pPr>
            <w:r>
              <w:rPr>
                <w:rFonts w:hint="eastAsia" w:ascii="宋体" w:hAnsi="宋体"/>
                <w:b w:val="0"/>
                <w:bCs/>
                <w:sz w:val="21"/>
                <w:szCs w:val="21"/>
              </w:rPr>
              <w:t>3、噪声管控：</w:t>
            </w:r>
          </w:p>
          <w:p>
            <w:pPr>
              <w:spacing w:line="360" w:lineRule="auto"/>
              <w:rPr>
                <w:rFonts w:hint="eastAsia" w:ascii="宋体" w:hAnsi="宋体"/>
                <w:b w:val="0"/>
                <w:bCs/>
                <w:sz w:val="21"/>
                <w:szCs w:val="21"/>
              </w:rPr>
            </w:pPr>
            <w:r>
              <w:rPr>
                <w:rFonts w:hint="eastAsia" w:ascii="宋体" w:hAnsi="宋体"/>
                <w:b w:val="0"/>
                <w:bCs/>
                <w:sz w:val="21"/>
                <w:szCs w:val="21"/>
              </w:rPr>
              <w:t>噪音主要来自各种生产机械设备运行时所产生的噪声，采取降噪措施后，源强控制在65DB以内。</w:t>
            </w:r>
          </w:p>
          <w:p>
            <w:pPr>
              <w:spacing w:line="360" w:lineRule="auto"/>
              <w:rPr>
                <w:rFonts w:ascii="宋体" w:hAnsi="宋体"/>
                <w:b/>
                <w:sz w:val="21"/>
                <w:szCs w:val="21"/>
              </w:rPr>
            </w:pPr>
            <w:r>
              <w:rPr>
                <w:rFonts w:hint="eastAsia" w:ascii="宋体" w:hAnsi="宋体"/>
                <w:b w:val="0"/>
                <w:bCs/>
                <w:sz w:val="21"/>
                <w:szCs w:val="21"/>
              </w:rPr>
              <w:t>4、产生的固体废物：一般工业固废有废钢材边角料、铁屑，收集到固定区域后定期出售给废品收购站；废包装桶为废切削液桶、废液压油桶及废防锈油桶，由生产厂家回收利用。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制定了《应急准备和响应控制程序》，编制了火灾专项应急预案，包含有事件级别及不同级别事件的处理程序、事件处理组织机构及职责分工、通用及特殊处理程序、各岗位要求等。具有可操作性。</w:t>
            </w:r>
          </w:p>
          <w:p>
            <w:pPr>
              <w:spacing w:line="360" w:lineRule="auto"/>
              <w:rPr>
                <w:rFonts w:ascii="宋体" w:hAnsi="宋体"/>
                <w:b/>
                <w:sz w:val="21"/>
                <w:szCs w:val="21"/>
              </w:rPr>
            </w:pPr>
            <w:r>
              <w:rPr>
                <w:rFonts w:hint="eastAsia" w:ascii="宋体" w:hAnsi="宋体"/>
                <w:b w:val="0"/>
                <w:bCs/>
                <w:sz w:val="21"/>
                <w:szCs w:val="21"/>
              </w:rPr>
              <w:t>定期记录应急预案的演练，应急演练后对应急预案进行了评审，应急预案不重要修订。基本符合。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宋体" w:hAnsi="宋体"/>
                <w:b w:val="0"/>
                <w:bCs/>
                <w:sz w:val="21"/>
                <w:szCs w:val="21"/>
              </w:rPr>
              <w:t>叉车年检合格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ascii="宋体" w:hAnsi="宋体" w:cs="宋体"/>
                <w:kern w:val="1"/>
                <w:sz w:val="21"/>
                <w:szCs w:val="21"/>
              </w:rPr>
              <w:t>20</w:t>
            </w:r>
            <w:r>
              <w:rPr>
                <w:rFonts w:hint="eastAsia" w:ascii="宋体" w:hAnsi="宋体" w:cs="宋体"/>
                <w:kern w:val="1"/>
                <w:sz w:val="21"/>
                <w:szCs w:val="21"/>
                <w:lang w:val="en-US" w:eastAsia="zh-CN"/>
              </w:rPr>
              <w:t>19.10</w:t>
            </w:r>
            <w:r>
              <w:rPr>
                <w:rFonts w:ascii="宋体" w:hAnsi="宋体" w:cs="宋体"/>
                <w:kern w:val="1"/>
                <w:sz w:val="21"/>
                <w:szCs w:val="21"/>
              </w:rPr>
              <w:t>-</w:t>
            </w:r>
            <w:r>
              <w:rPr>
                <w:rFonts w:hint="eastAsia" w:ascii="宋体" w:hAnsi="宋体" w:cs="宋体"/>
                <w:kern w:val="1"/>
                <w:sz w:val="21"/>
                <w:szCs w:val="21"/>
                <w:lang w:val="en-US" w:eastAsia="zh-CN"/>
              </w:rPr>
              <w:t>2020.9月每季度</w:t>
            </w:r>
            <w:r>
              <w:rPr>
                <w:rFonts w:hint="eastAsia" w:ascii="宋体" w:hAnsi="宋体"/>
                <w:b w:val="0"/>
                <w:bCs/>
                <w:sz w:val="21"/>
                <w:szCs w:val="21"/>
              </w:rPr>
              <w:t>对环境目标指标进行了检查，能达标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360" w:lineRule="auto"/>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360" w:lineRule="auto"/>
              <w:ind w:leftChars="-50"/>
              <w:rPr>
                <w:rFonts w:hint="eastAsia" w:ascii="宋体" w:hAnsi="宋体"/>
                <w:b w:val="0"/>
                <w:bCs/>
                <w:sz w:val="21"/>
                <w:szCs w:val="21"/>
              </w:rPr>
            </w:pPr>
            <w:r>
              <w:rPr>
                <w:rFonts w:hint="eastAsia" w:ascii="宋体" w:hAnsi="宋体"/>
                <w:b w:val="0"/>
                <w:bCs/>
                <w:sz w:val="21"/>
                <w:szCs w:val="21"/>
              </w:rPr>
              <w:t>公司通过电话，走访等形式，接受顾客反馈，了解顾客满意度信息，发放调查表对顾客满意度进行定量测量。</w:t>
            </w:r>
          </w:p>
          <w:p>
            <w:pPr>
              <w:spacing w:line="360" w:lineRule="auto"/>
              <w:ind w:left="105" w:hanging="105" w:hangingChars="50"/>
              <w:rPr>
                <w:rFonts w:ascii="宋体" w:hAnsi="宋体"/>
                <w:b/>
                <w:sz w:val="21"/>
                <w:szCs w:val="21"/>
              </w:rPr>
            </w:pPr>
            <w:r>
              <w:rPr>
                <w:rFonts w:hint="eastAsia" w:ascii="宋体" w:hAnsi="宋体"/>
                <w:b w:val="0"/>
                <w:bCs/>
                <w:sz w:val="21"/>
                <w:szCs w:val="21"/>
              </w:rPr>
              <w:t>提供“顾客满意程度调查表”顾客较满意。</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1"/>
                <w:szCs w:val="21"/>
              </w:rPr>
            </w:pPr>
            <w:r>
              <w:rPr>
                <w:rFonts w:hint="eastAsia" w:asciiTheme="minorEastAsia" w:hAnsiTheme="minorEastAsia" w:eastAsiaTheme="minorEastAsia"/>
                <w:sz w:val="21"/>
                <w:szCs w:val="21"/>
                <w:u w:val="single"/>
              </w:rPr>
              <w:t>每年一次，本次20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21</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22</w:t>
            </w:r>
            <w:r>
              <w:rPr>
                <w:rFonts w:hint="eastAsia" w:asciiTheme="minorEastAsia" w:hAnsiTheme="minorEastAsia" w:eastAsiaTheme="minorEastAsia"/>
                <w:sz w:val="21"/>
                <w:szCs w:val="21"/>
                <w:u w:val="single"/>
              </w:rPr>
              <w:t>日内审。</w:t>
            </w:r>
          </w:p>
          <w:p>
            <w:pPr>
              <w:spacing w:line="360" w:lineRule="auto"/>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240" w:lineRule="exact"/>
              <w:rPr>
                <w:rFonts w:ascii="宋体" w:hAnsi="宋体"/>
                <w:b/>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sz w:val="21"/>
                <w:szCs w:val="21"/>
                <w:u w:val="single"/>
              </w:rPr>
              <w:t>每年一次，20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11</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15</w:t>
            </w:r>
            <w:r>
              <w:rPr>
                <w:rFonts w:hint="eastAsia" w:asciiTheme="minorEastAsia" w:hAnsiTheme="minorEastAsia" w:eastAsiaTheme="minorEastAsia"/>
                <w:sz w:val="21"/>
                <w:szCs w:val="21"/>
                <w:u w:val="single"/>
              </w:rPr>
              <w:t>日管理评审。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rFonts w:ascii="宋体" w:hAnsi="宋体"/>
                <w:b/>
                <w:sz w:val="21"/>
                <w:szCs w:val="21"/>
              </w:rPr>
            </w:pPr>
            <w:r>
              <w:rPr>
                <w:rFonts w:hint="eastAsia" w:ascii="宋体" w:hAnsi="宋体"/>
                <w:sz w:val="21"/>
                <w:szCs w:val="21"/>
                <w:u w:val="single"/>
              </w:rPr>
              <w:t>　公司的管理体系是适宜的、充分的和有效的。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360" w:lineRule="auto"/>
              <w:ind w:leftChars="0"/>
              <w:rPr>
                <w:rFonts w:hint="eastAsia"/>
                <w:b/>
                <w:bCs/>
                <w:sz w:val="21"/>
                <w:szCs w:val="21"/>
              </w:rPr>
            </w:pPr>
            <w:r>
              <w:rPr>
                <w:rFonts w:hint="eastAsia"/>
                <w:b/>
                <w:bCs/>
                <w:sz w:val="21"/>
                <w:szCs w:val="21"/>
                <w:lang w:val="en-US" w:eastAsia="zh-CN"/>
              </w:rPr>
              <w:t>5、</w:t>
            </w:r>
            <w:r>
              <w:rPr>
                <w:b/>
                <w:bCs/>
                <w:sz w:val="21"/>
                <w:szCs w:val="21"/>
              </w:rPr>
              <w:t xml:space="preserve"> EMS</w:t>
            </w:r>
            <w:r>
              <w:rPr>
                <w:rFonts w:hint="eastAsia"/>
                <w:b/>
                <w:bCs/>
                <w:sz w:val="21"/>
                <w:szCs w:val="21"/>
              </w:rPr>
              <w:t>是否按规定对主要污染物（污水、废气、噪声、废渣等）及排放实施了例行的监视或测量，结果是否满足相关要求？</w:t>
            </w:r>
          </w:p>
          <w:p>
            <w:pPr>
              <w:numPr>
                <w:ilvl w:val="0"/>
                <w:numId w:val="0"/>
              </w:numPr>
              <w:spacing w:line="360" w:lineRule="auto"/>
              <w:ind w:leftChars="0" w:firstLine="210" w:firstLineChars="100"/>
            </w:pPr>
            <w:bookmarkStart w:id="31" w:name="_GoBack"/>
            <w:r>
              <w:rPr>
                <w:rFonts w:hint="eastAsia"/>
                <w:sz w:val="21"/>
                <w:szCs w:val="21"/>
              </w:rPr>
              <w:t>提供了</w:t>
            </w:r>
            <w:r>
              <w:rPr>
                <w:rFonts w:hint="eastAsia"/>
                <w:sz w:val="21"/>
                <w:szCs w:val="21"/>
                <w:lang w:val="en-US" w:eastAsia="zh-CN"/>
              </w:rPr>
              <w:t>2020.12.7陕西锦润环保检测废水监测报告，结论：此次水质监测因子pH值范围、悬浮物、化学需氧量及动植结论1物油类的监测结果日均值均满足《污水综合排放标准》 GB 8978-1996表4三级标准限值的要求;氨氮监测结果日均值满足《污水排入城镇下水道》 GB/T 31962-2015表1B级标准限值的要求。</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月公司</w:t>
            </w:r>
            <w:r>
              <w:rPr>
                <w:rFonts w:hint="eastAsia" w:ascii="宋体" w:hAnsi="宋体" w:eastAsia="宋体" w:cs="宋体"/>
                <w:sz w:val="21"/>
                <w:szCs w:val="21"/>
                <w:lang w:val="en-US" w:eastAsia="zh-CN"/>
              </w:rPr>
              <w:t>汽车变速器零部件加工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宝鸡市环境保护局关于岐山县恒通机械制造厂汽车变速器零部件加工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现状评估表备案意见的函。</w:t>
            </w:r>
            <w:r>
              <w:rPr>
                <w:rFonts w:hint="eastAsia" w:ascii="宋体" w:hAnsi="宋体" w:eastAsia="宋体" w:cs="宋体"/>
                <w:sz w:val="21"/>
                <w:szCs w:val="21"/>
              </w:rPr>
              <w:t>企业环评已经过验收。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5"/>
              </w:numPr>
              <w:spacing w:line="240" w:lineRule="exac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eastAsia="宋体" w:cs="Times New Roman"/>
                <w:b/>
                <w:kern w:val="2"/>
                <w:sz w:val="21"/>
                <w:szCs w:val="21"/>
                <w:lang w:val="en-US" w:eastAsia="zh-CN" w:bidi="ar-SA"/>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eastAsia="宋体" w:cs="Times New Roman"/>
                <w:b/>
                <w:kern w:val="2"/>
                <w:sz w:val="21"/>
                <w:szCs w:val="21"/>
                <w:lang w:val="en-US" w:eastAsia="zh-CN" w:bidi="ar-SA"/>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6"/>
              </w:numPr>
              <w:spacing w:line="360" w:lineRule="auto"/>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ind w:left="0" w:leftChars="0" w:firstLine="0" w:firstLineChars="0"/>
              <w:rPr>
                <w:rFonts w:hint="eastAsia" w:ascii="宋体" w:hAnsi="宋体" w:eastAsia="宋体" w:cs="Times New Roman"/>
                <w:b/>
                <w:kern w:val="2"/>
                <w:sz w:val="21"/>
                <w:szCs w:val="21"/>
                <w:lang w:val="en-US" w:eastAsia="zh-CN" w:bidi="ar-SA"/>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6"/>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0" w:leftChars="0" w:firstLine="0" w:firstLineChars="0"/>
              <w:rPr>
                <w:rFonts w:ascii="宋体" w:hAnsi="宋体" w:eastAsia="宋体" w:cs="Times New Roman"/>
                <w:b/>
                <w:kern w:val="2"/>
                <w:sz w:val="21"/>
                <w:szCs w:val="21"/>
                <w:lang w:val="en-US" w:eastAsia="zh-CN" w:bidi="ar-SA"/>
              </w:rPr>
            </w:pPr>
            <w:r>
              <w:rPr>
                <w:rFonts w:hint="eastAsia" w:ascii="宋体" w:hAnsi="宋体"/>
                <w:kern w:val="0"/>
                <w:sz w:val="21"/>
                <w:szCs w:val="21"/>
              </w:rPr>
              <w:t>上年度审核问题</w:t>
            </w:r>
            <w:r>
              <w:rPr>
                <w:rFonts w:hint="eastAsia" w:ascii="宋体" w:hAnsi="宋体"/>
                <w:color w:val="000000" w:themeColor="text1"/>
                <w:sz w:val="21"/>
                <w:szCs w:val="21"/>
              </w:rPr>
              <w:t>，经现场验证已关闭，整改措施有效。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b/>
          <w:spacing w:val="-10"/>
          <w:szCs w:val="21"/>
        </w:rPr>
      </w:pPr>
    </w:p>
    <w:p>
      <w:pPr>
        <w:snapToGrid w:val="0"/>
        <w:spacing w:line="360" w:lineRule="auto"/>
        <w:ind w:left="-211" w:leftChars="-88" w:firstLine="493" w:firstLineChars="223"/>
        <w:rPr>
          <w:rFonts w:hint="eastAsia"/>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360" w:lineRule="auto"/>
              <w:rPr>
                <w:rFonts w:ascii="宋体" w:hAnsi="宋体"/>
                <w:b/>
                <w:szCs w:val="21"/>
              </w:rPr>
            </w:pPr>
          </w:p>
          <w:p>
            <w:pPr>
              <w:spacing w:line="360" w:lineRule="auto"/>
              <w:ind w:firstLine="220" w:firstLineChars="100"/>
              <w:rPr>
                <w:rFonts w:ascii="宋体" w:hAnsi="宋体"/>
                <w:b/>
                <w:szCs w:val="21"/>
              </w:rPr>
            </w:pPr>
            <w:r>
              <w:rPr>
                <w:rFonts w:hint="eastAsia"/>
                <w:b w:val="0"/>
                <w:bCs/>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2016760</wp:posOffset>
            </wp:positionH>
            <wp:positionV relativeFrom="paragraph">
              <wp:posOffset>71755</wp:posOffset>
            </wp:positionV>
            <wp:extent cx="340360" cy="269240"/>
            <wp:effectExtent l="0" t="0" r="254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0360" cy="26924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line="480" w:lineRule="auto"/>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line="480" w:lineRule="auto"/>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line="480" w:lineRule="auto"/>
        <w:ind w:firstLine="823" w:firstLineChars="343"/>
        <w:rPr>
          <w:rFonts w:hint="default" w:eastAsia="宋体"/>
          <w:b/>
          <w:sz w:val="21"/>
          <w:szCs w:val="21"/>
          <w:u w:val="single"/>
          <w:lang w:val="en-US" w:eastAsia="zh-CN"/>
        </w:rPr>
      </w:pPr>
      <w:r>
        <w:drawing>
          <wp:anchor distT="0" distB="0" distL="114300" distR="114300" simplePos="0" relativeHeight="251662336" behindDoc="0" locked="0" layoutInCell="1" allowOverlap="1">
            <wp:simplePos x="0" y="0"/>
            <wp:positionH relativeFrom="column">
              <wp:posOffset>1610360</wp:posOffset>
            </wp:positionH>
            <wp:positionV relativeFrom="paragraph">
              <wp:posOffset>51435</wp:posOffset>
            </wp:positionV>
            <wp:extent cx="321310" cy="254000"/>
            <wp:effectExtent l="0" t="0" r="889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1310" cy="25400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2020.12.18</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48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48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48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48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480" w:lineRule="auto"/>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AAPML+o¨²¨¬?">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17826"/>
    <w:multiLevelType w:val="singleLevel"/>
    <w:tmpl w:val="94017826"/>
    <w:lvl w:ilvl="0" w:tentative="0">
      <w:start w:val="3"/>
      <w:numFmt w:val="decimal"/>
      <w:lvlText w:val="%1."/>
      <w:lvlJc w:val="left"/>
      <w:pPr>
        <w:tabs>
          <w:tab w:val="left" w:pos="312"/>
        </w:tabs>
      </w:pPr>
    </w:lvl>
  </w:abstractNum>
  <w:abstractNum w:abstractNumId="1">
    <w:nsid w:val="C389D6A3"/>
    <w:multiLevelType w:val="singleLevel"/>
    <w:tmpl w:val="C389D6A3"/>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5916899"/>
    <w:multiLevelType w:val="singleLevel"/>
    <w:tmpl w:val="05916899"/>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32494A5"/>
    <w:multiLevelType w:val="singleLevel"/>
    <w:tmpl w:val="532494A5"/>
    <w:lvl w:ilvl="0" w:tentative="0">
      <w:start w:val="9"/>
      <w:numFmt w:val="decimal"/>
      <w:suff w:val="space"/>
      <w:lvlText w:val="%1."/>
      <w:lvlJc w:val="left"/>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E676AF"/>
    <w:rsid w:val="430654AE"/>
    <w:rsid w:val="6B296305"/>
    <w:rsid w:val="6FF609D1"/>
    <w:rsid w:val="757937CB"/>
    <w:rsid w:val="777C0E60"/>
    <w:rsid w:val="78951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ody Text Indent"/>
    <w:basedOn w:val="1"/>
    <w:qFormat/>
    <w:uiPriority w:val="99"/>
    <w:pPr>
      <w:spacing w:after="120"/>
      <w:ind w:left="420" w:leftChars="200"/>
    </w:pPr>
    <w:rPr>
      <w:kern w:val="0"/>
      <w:sz w:val="24"/>
    </w:rPr>
  </w:style>
  <w:style w:type="paragraph" w:styleId="6">
    <w:name w:val="Balloon Text"/>
    <w:basedOn w:val="1"/>
    <w:link w:val="14"/>
    <w:semiHidden/>
    <w:qFormat/>
    <w:uiPriority w:val="99"/>
    <w:rPr>
      <w:sz w:val="18"/>
      <w:szCs w:val="18"/>
    </w:rPr>
  </w:style>
  <w:style w:type="paragraph" w:styleId="7">
    <w:name w:val="footer"/>
    <w:basedOn w:val="1"/>
    <w:link w:val="15"/>
    <w:semiHidden/>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First Indent 2"/>
    <w:basedOn w:val="5"/>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semiHidden/>
    <w:qFormat/>
    <w:locked/>
    <w:uiPriority w:val="99"/>
    <w:rPr>
      <w:rFonts w:ascii="Times New Roman" w:hAnsi="Times New Roman" w:eastAsia="宋体" w:cs="Times New Roman"/>
      <w:sz w:val="18"/>
      <w:szCs w:val="18"/>
    </w:rPr>
  </w:style>
  <w:style w:type="character" w:customStyle="1" w:styleId="16">
    <w:name w:val="页眉 Char"/>
    <w:link w:val="8"/>
    <w:qFormat/>
    <w:locked/>
    <w:uiPriority w:val="0"/>
    <w:rPr>
      <w:sz w:val="18"/>
    </w:rPr>
  </w:style>
  <w:style w:type="character" w:customStyle="1" w:styleId="17">
    <w:name w:val="页眉 Char1"/>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15</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2020-12-16T02:33:42Z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