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pPr w:leftFromText="180" w:rightFromText="180" w:vertAnchor="text" w:horzAnchor="page" w:tblpX="1063" w:tblpY="476"/>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76"/>
        <w:gridCol w:w="10606"/>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42" w:type="dxa"/>
            <w:vMerge w:val="restart"/>
            <w:vAlign w:val="center"/>
          </w:tcPr>
          <w:p>
            <w:pPr>
              <w:spacing w:before="120" w:line="360" w:lineRule="auto"/>
              <w:jc w:val="center"/>
              <w:rPr>
                <w:rFonts w:hint="eastAsia" w:ascii="宋体" w:hAnsi="宋体" w:eastAsia="宋体" w:cs="宋体"/>
                <w:sz w:val="21"/>
                <w:szCs w:val="21"/>
              </w:rPr>
            </w:pPr>
            <w:r>
              <w:rPr>
                <w:rFonts w:hint="eastAsia" w:ascii="宋体" w:hAnsi="宋体" w:eastAsia="宋体" w:cs="宋体"/>
                <w:sz w:val="21"/>
                <w:szCs w:val="21"/>
              </w:rPr>
              <w:t>过程与活动、</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1276"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涉及条款</w:t>
            </w:r>
          </w:p>
        </w:tc>
        <w:tc>
          <w:tcPr>
            <w:tcW w:w="10606" w:type="dxa"/>
            <w:vAlign w:val="center"/>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受审核部门：</w:t>
            </w:r>
            <w:r>
              <w:rPr>
                <w:rFonts w:hint="eastAsia" w:ascii="宋体" w:hAnsi="宋体" w:eastAsia="宋体" w:cs="宋体"/>
                <w:sz w:val="21"/>
                <w:szCs w:val="21"/>
                <w:lang w:val="en-US" w:eastAsia="zh-CN"/>
              </w:rPr>
              <w:t>质检部</w:t>
            </w:r>
            <w:r>
              <w:rPr>
                <w:rFonts w:hint="eastAsia" w:ascii="宋体" w:hAnsi="宋体" w:eastAsia="宋体" w:cs="宋体"/>
                <w:sz w:val="21"/>
                <w:szCs w:val="21"/>
              </w:rPr>
              <w:t xml:space="preserve">    主管领导： </w:t>
            </w:r>
            <w:r>
              <w:rPr>
                <w:rFonts w:hint="eastAsia" w:ascii="宋体" w:hAnsi="宋体" w:eastAsia="宋体" w:cs="宋体"/>
                <w:sz w:val="21"/>
                <w:szCs w:val="21"/>
                <w:lang w:val="en-US" w:eastAsia="zh-CN"/>
              </w:rPr>
              <w:t>王鲜梅</w:t>
            </w:r>
            <w:r>
              <w:rPr>
                <w:rFonts w:hint="eastAsia" w:ascii="宋体" w:hAnsi="宋体" w:eastAsia="宋体" w:cs="宋体"/>
                <w:sz w:val="21"/>
                <w:szCs w:val="21"/>
              </w:rPr>
              <w:t xml:space="preserve">    陪同人员：</w:t>
            </w:r>
            <w:r>
              <w:rPr>
                <w:rFonts w:hint="eastAsia" w:ascii="宋体" w:hAnsi="宋体" w:eastAsia="宋体" w:cs="宋体"/>
                <w:sz w:val="21"/>
                <w:szCs w:val="21"/>
                <w:lang w:val="en-US" w:eastAsia="zh-CN"/>
              </w:rPr>
              <w:t>张伟丽</w:t>
            </w:r>
          </w:p>
        </w:tc>
        <w:tc>
          <w:tcPr>
            <w:tcW w:w="1585"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42" w:type="dxa"/>
            <w:vMerge w:val="continue"/>
            <w:vAlign w:val="center"/>
          </w:tcPr>
          <w:p>
            <w:pPr>
              <w:spacing w:line="360" w:lineRule="auto"/>
              <w:rPr>
                <w:rFonts w:hint="eastAsia" w:ascii="宋体" w:hAnsi="宋体" w:eastAsia="宋体" w:cs="宋体"/>
                <w:sz w:val="21"/>
                <w:szCs w:val="21"/>
              </w:rPr>
            </w:pPr>
          </w:p>
        </w:tc>
        <w:tc>
          <w:tcPr>
            <w:tcW w:w="1276" w:type="dxa"/>
            <w:vMerge w:val="continue"/>
            <w:vAlign w:val="center"/>
          </w:tcPr>
          <w:p>
            <w:pPr>
              <w:spacing w:line="360" w:lineRule="auto"/>
              <w:rPr>
                <w:rFonts w:hint="eastAsia" w:ascii="宋体" w:hAnsi="宋体" w:eastAsia="宋体" w:cs="宋体"/>
                <w:sz w:val="21"/>
                <w:szCs w:val="21"/>
              </w:rPr>
            </w:pPr>
          </w:p>
        </w:tc>
        <w:tc>
          <w:tcPr>
            <w:tcW w:w="10606" w:type="dxa"/>
            <w:vAlign w:val="center"/>
          </w:tcPr>
          <w:p>
            <w:pPr>
              <w:spacing w:before="120"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审核员：</w:t>
            </w:r>
            <w:r>
              <w:rPr>
                <w:rFonts w:hint="eastAsia" w:ascii="宋体" w:hAnsi="宋体" w:eastAsia="宋体" w:cs="宋体"/>
                <w:sz w:val="21"/>
                <w:szCs w:val="21"/>
                <w:lang w:val="en-US" w:eastAsia="zh-CN"/>
              </w:rPr>
              <w:t>李俐</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审核时间：20</w:t>
            </w:r>
            <w:r>
              <w:rPr>
                <w:rFonts w:hint="eastAsia" w:ascii="宋体" w:hAnsi="宋体" w:eastAsia="宋体" w:cs="宋体"/>
                <w:sz w:val="21"/>
                <w:szCs w:val="21"/>
                <w:lang w:val="en-US" w:eastAsia="zh-CN"/>
              </w:rPr>
              <w:t>20.12.1</w:t>
            </w:r>
            <w:r>
              <w:rPr>
                <w:rFonts w:hint="eastAsia" w:ascii="宋体" w:hAnsi="宋体" w:cs="宋体"/>
                <w:sz w:val="21"/>
                <w:szCs w:val="21"/>
                <w:lang w:val="en-US" w:eastAsia="zh-CN"/>
              </w:rPr>
              <w:t>5</w:t>
            </w:r>
          </w:p>
        </w:tc>
        <w:tc>
          <w:tcPr>
            <w:tcW w:w="1585"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42" w:type="dxa"/>
            <w:vMerge w:val="continue"/>
            <w:vAlign w:val="center"/>
          </w:tcPr>
          <w:p>
            <w:pPr>
              <w:spacing w:line="360" w:lineRule="auto"/>
              <w:rPr>
                <w:rFonts w:hint="eastAsia" w:ascii="宋体" w:hAnsi="宋体" w:eastAsia="宋体" w:cs="宋体"/>
                <w:sz w:val="21"/>
                <w:szCs w:val="21"/>
              </w:rPr>
            </w:pPr>
          </w:p>
        </w:tc>
        <w:tc>
          <w:tcPr>
            <w:tcW w:w="1276" w:type="dxa"/>
            <w:vMerge w:val="continue"/>
            <w:vAlign w:val="center"/>
          </w:tcPr>
          <w:p>
            <w:pPr>
              <w:spacing w:line="360" w:lineRule="auto"/>
              <w:rPr>
                <w:rFonts w:hint="eastAsia" w:ascii="宋体" w:hAnsi="宋体" w:eastAsia="宋体" w:cs="宋体"/>
                <w:sz w:val="21"/>
                <w:szCs w:val="21"/>
              </w:rPr>
            </w:pPr>
          </w:p>
        </w:tc>
        <w:tc>
          <w:tcPr>
            <w:tcW w:w="10606" w:type="dxa"/>
            <w:vAlign w:val="center"/>
          </w:tcPr>
          <w:p>
            <w:pPr>
              <w:adjustRightInd w:val="0"/>
              <w:snapToGrid w:val="0"/>
              <w:spacing w:line="360" w:lineRule="auto"/>
              <w:ind w:right="105" w:rightChars="50"/>
              <w:textAlignment w:val="baseline"/>
              <w:rPr>
                <w:rFonts w:hint="eastAsia" w:ascii="宋体" w:hAnsi="宋体" w:eastAsia="宋体" w:cs="宋体"/>
                <w:sz w:val="21"/>
                <w:szCs w:val="21"/>
              </w:rPr>
            </w:pPr>
            <w:r>
              <w:rPr>
                <w:rFonts w:hint="eastAsia" w:ascii="宋体" w:hAnsi="宋体" w:eastAsia="宋体" w:cs="宋体"/>
                <w:sz w:val="21"/>
                <w:szCs w:val="21"/>
              </w:rPr>
              <w:t>审核条款：</w:t>
            </w:r>
          </w:p>
          <w:p>
            <w:pPr>
              <w:adjustRightInd w:val="0"/>
              <w:snapToGrid w:val="0"/>
              <w:spacing w:line="360" w:lineRule="auto"/>
              <w:ind w:right="105" w:rightChars="50"/>
              <w:textAlignment w:val="baseline"/>
              <w:rPr>
                <w:rFonts w:hint="eastAsia" w:ascii="宋体" w:hAnsi="宋体" w:eastAsia="宋体" w:cs="宋体"/>
                <w:sz w:val="21"/>
                <w:szCs w:val="21"/>
              </w:rPr>
            </w:pPr>
            <w:r>
              <w:rPr>
                <w:rFonts w:hint="eastAsia" w:ascii="宋体" w:hAnsi="宋体" w:eastAsia="宋体" w:cs="宋体"/>
                <w:sz w:val="21"/>
                <w:szCs w:val="21"/>
              </w:rPr>
              <w:t>E: 5.3组织的岗位、职责和权限、6.1.2环境因素的辨识与评价、6.1.3合规义务、6.1.4措施的策划</w:t>
            </w:r>
            <w:r>
              <w:rPr>
                <w:rFonts w:hint="eastAsia" w:ascii="宋体" w:hAnsi="宋体" w:cs="宋体"/>
                <w:sz w:val="21"/>
                <w:szCs w:val="21"/>
                <w:lang w:eastAsia="zh-CN"/>
              </w:rPr>
              <w:t>、</w:t>
            </w:r>
            <w:r>
              <w:rPr>
                <w:rFonts w:hint="eastAsia" w:ascii="宋体" w:hAnsi="宋体" w:eastAsia="宋体" w:cs="宋体"/>
                <w:sz w:val="21"/>
                <w:szCs w:val="21"/>
              </w:rPr>
              <w:t>6.2.1环境目标、6.2.2实现环境目标措施的策划7.2能力、7.3意识、7.5.1形成文件的信息总则、7.5.2形成文件的信息的创建和更新、7.5.3形成文件的信息的控制、8.1运行策划和控制、9.1监视、测量、分析和评价（9.1.1总则、9.1.2合规性评价）、8.2应急准备和响应</w:t>
            </w:r>
            <w:r>
              <w:rPr>
                <w:rFonts w:hint="eastAsia" w:ascii="宋体" w:hAnsi="宋体" w:cs="宋体"/>
                <w:sz w:val="21"/>
                <w:szCs w:val="21"/>
                <w:lang w:eastAsia="zh-CN"/>
              </w:rPr>
              <w:t>、</w:t>
            </w:r>
            <w:r>
              <w:rPr>
                <w:rFonts w:hint="eastAsia" w:ascii="宋体" w:hAnsi="宋体" w:eastAsia="宋体" w:cs="宋体"/>
                <w:sz w:val="21"/>
                <w:szCs w:val="21"/>
              </w:rPr>
              <w:t>9.2 内部审核、10.2不符合/事件和纠正措施，</w:t>
            </w:r>
          </w:p>
        </w:tc>
        <w:tc>
          <w:tcPr>
            <w:tcW w:w="1585"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1242" w:type="dxa"/>
            <w:vAlign w:val="center"/>
          </w:tcPr>
          <w:p>
            <w:pPr>
              <w:spacing w:line="360" w:lineRule="auto"/>
              <w:rPr>
                <w:rFonts w:hint="eastAsia" w:ascii="宋体" w:hAnsi="宋体" w:eastAsia="宋体" w:cs="宋体"/>
                <w:b/>
                <w:sz w:val="21"/>
                <w:szCs w:val="21"/>
              </w:rPr>
            </w:pPr>
            <w:r>
              <w:rPr>
                <w:rFonts w:hint="eastAsia" w:ascii="宋体" w:hAnsi="宋体" w:eastAsia="宋体" w:cs="宋体"/>
                <w:sz w:val="21"/>
                <w:szCs w:val="21"/>
              </w:rPr>
              <w:t>组织的岗位、职责和权限</w:t>
            </w:r>
          </w:p>
        </w:tc>
        <w:tc>
          <w:tcPr>
            <w:tcW w:w="1276"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E5.3</w:t>
            </w:r>
          </w:p>
        </w:tc>
        <w:tc>
          <w:tcPr>
            <w:tcW w:w="10606" w:type="dxa"/>
          </w:tcPr>
          <w:p>
            <w:pPr>
              <w:spacing w:before="215" w:beforeLines="69" w:line="360" w:lineRule="auto"/>
              <w:rPr>
                <w:rFonts w:hint="eastAsia" w:ascii="宋体" w:hAnsi="宋体" w:eastAsia="宋体" w:cs="宋体"/>
                <w:sz w:val="21"/>
                <w:szCs w:val="21"/>
              </w:rPr>
            </w:pPr>
            <w:r>
              <w:rPr>
                <w:rFonts w:hint="eastAsia" w:ascii="宋体" w:hAnsi="宋体" w:eastAsia="宋体" w:cs="宋体"/>
                <w:sz w:val="21"/>
                <w:szCs w:val="21"/>
              </w:rPr>
              <w:t>现场审核了解到部门主要负责：环境目标方案的制定实施，办公用品的管理，信息交流与沟通，人力资源配备，员工招聘、绩效考核管理；劳动合同保险管理及员工职业健康体检；后勤事务管理；企业知识的识别更新传递；文件记录的管理控制；环境因素和危险源进行识别和控制；体系运行检查、内审、法律法规收集及合规性评价，应急准备和相应控制，不符合纠正与预防，事故事件调查处理等。</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4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目标和方案</w:t>
            </w:r>
          </w:p>
        </w:tc>
        <w:tc>
          <w:tcPr>
            <w:tcW w:w="127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E 6.2</w:t>
            </w:r>
          </w:p>
        </w:tc>
        <w:tc>
          <w:tcPr>
            <w:tcW w:w="10606" w:type="dxa"/>
            <w:vAlign w:val="center"/>
          </w:tcPr>
          <w:p>
            <w:pPr>
              <w:autoSpaceDE w:val="0"/>
              <w:autoSpaceDN w:val="0"/>
              <w:spacing w:line="360" w:lineRule="auto"/>
              <w:rPr>
                <w:rFonts w:hint="eastAsia" w:ascii="宋体" w:hAnsi="宋体" w:eastAsia="宋体" w:cs="宋体"/>
                <w:sz w:val="21"/>
                <w:szCs w:val="21"/>
              </w:rPr>
            </w:pPr>
            <w:r>
              <w:rPr>
                <w:rFonts w:hint="eastAsia" w:ascii="宋体" w:hAnsi="宋体" w:eastAsia="宋体" w:cs="宋体"/>
                <w:sz w:val="21"/>
                <w:szCs w:val="21"/>
              </w:rPr>
              <w:t>查</w:t>
            </w:r>
            <w:r>
              <w:rPr>
                <w:rFonts w:hint="eastAsia" w:ascii="宋体" w:hAnsi="宋体" w:eastAsia="宋体" w:cs="宋体"/>
                <w:sz w:val="21"/>
                <w:szCs w:val="21"/>
                <w:lang w:val="en-US" w:eastAsia="zh-CN"/>
              </w:rPr>
              <w:t>质检部</w:t>
            </w:r>
            <w:r>
              <w:rPr>
                <w:rFonts w:hint="eastAsia" w:ascii="宋体" w:hAnsi="宋体" w:eastAsia="宋体" w:cs="宋体"/>
                <w:sz w:val="21"/>
                <w:szCs w:val="21"/>
              </w:rPr>
              <w:t>目标：</w:t>
            </w:r>
          </w:p>
          <w:tbl>
            <w:tblPr>
              <w:tblStyle w:val="11"/>
              <w:tblW w:w="101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906"/>
              <w:gridCol w:w="3131"/>
              <w:gridCol w:w="2242"/>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部门</w:t>
                  </w:r>
                </w:p>
              </w:tc>
              <w:tc>
                <w:tcPr>
                  <w:tcW w:w="2906"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目标</w:t>
                  </w:r>
                </w:p>
              </w:tc>
              <w:tc>
                <w:tcPr>
                  <w:tcW w:w="3131"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考核方式</w:t>
                  </w:r>
                </w:p>
              </w:tc>
              <w:tc>
                <w:tcPr>
                  <w:tcW w:w="2242"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考核结果</w:t>
                  </w:r>
                </w:p>
              </w:tc>
              <w:tc>
                <w:tcPr>
                  <w:tcW w:w="1138"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6" w:type="dxa"/>
                  <w:vMerge w:val="restart"/>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质检部</w:t>
                  </w:r>
                </w:p>
              </w:tc>
              <w:tc>
                <w:tcPr>
                  <w:tcW w:w="2906" w:type="dxa"/>
                </w:tcPr>
                <w:p>
                  <w:pPr>
                    <w:spacing w:line="240" w:lineRule="auto"/>
                    <w:rPr>
                      <w:rFonts w:hint="eastAsia" w:ascii="宋体" w:hAnsi="宋体" w:eastAsia="宋体" w:cs="宋体"/>
                      <w:sz w:val="21"/>
                      <w:szCs w:val="21"/>
                    </w:rPr>
                  </w:pPr>
                  <w:r>
                    <w:rPr>
                      <w:rFonts w:hint="eastAsia" w:ascii="宋体" w:hAnsi="宋体" w:eastAsia="宋体" w:cs="宋体"/>
                      <w:kern w:val="1"/>
                      <w:sz w:val="21"/>
                      <w:szCs w:val="21"/>
                    </w:rPr>
                    <w:t>办公垃圾分类排放，检查合格率100%</w:t>
                  </w:r>
                </w:p>
              </w:tc>
              <w:tc>
                <w:tcPr>
                  <w:tcW w:w="3131" w:type="dxa"/>
                </w:tcPr>
                <w:p>
                  <w:pPr>
                    <w:spacing w:line="360" w:lineRule="auto"/>
                    <w:rPr>
                      <w:rFonts w:hint="eastAsia" w:ascii="宋体" w:hAnsi="宋体" w:eastAsia="宋体" w:cs="宋体"/>
                      <w:sz w:val="21"/>
                      <w:szCs w:val="21"/>
                    </w:rPr>
                  </w:pPr>
                </w:p>
              </w:tc>
              <w:tc>
                <w:tcPr>
                  <w:tcW w:w="2242"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100%</w:t>
                  </w:r>
                </w:p>
              </w:tc>
              <w:tc>
                <w:tcPr>
                  <w:tcW w:w="1138"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已经完成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66" w:type="dxa"/>
                  <w:vMerge w:val="continue"/>
                </w:tcPr>
                <w:p>
                  <w:pPr>
                    <w:spacing w:line="360" w:lineRule="auto"/>
                    <w:jc w:val="center"/>
                    <w:rPr>
                      <w:rFonts w:hint="eastAsia" w:ascii="宋体" w:hAnsi="宋体" w:eastAsia="宋体" w:cs="宋体"/>
                      <w:sz w:val="21"/>
                      <w:szCs w:val="21"/>
                    </w:rPr>
                  </w:pPr>
                </w:p>
              </w:tc>
              <w:tc>
                <w:tcPr>
                  <w:tcW w:w="2906" w:type="dxa"/>
                </w:tcPr>
                <w:p>
                  <w:pPr>
                    <w:spacing w:line="240" w:lineRule="auto"/>
                    <w:rPr>
                      <w:rFonts w:hint="eastAsia" w:ascii="宋体" w:hAnsi="宋体" w:eastAsia="宋体" w:cs="宋体"/>
                      <w:sz w:val="21"/>
                      <w:szCs w:val="21"/>
                    </w:rPr>
                  </w:pPr>
                  <w:r>
                    <w:rPr>
                      <w:rFonts w:hint="eastAsia" w:ascii="宋体" w:hAnsi="宋体" w:eastAsia="宋体" w:cs="宋体"/>
                      <w:kern w:val="1"/>
                      <w:sz w:val="21"/>
                      <w:szCs w:val="21"/>
                    </w:rPr>
                    <w:t>年度培训计划执行率100％</w:t>
                  </w:r>
                  <w:r>
                    <w:rPr>
                      <w:rFonts w:hint="eastAsia" w:ascii="宋体" w:hAnsi="宋体" w:eastAsia="宋体" w:cs="宋体"/>
                      <w:sz w:val="21"/>
                      <w:szCs w:val="21"/>
                    </w:rPr>
                    <w:t xml:space="preserve"> </w:t>
                  </w:r>
                </w:p>
              </w:tc>
              <w:tc>
                <w:tcPr>
                  <w:tcW w:w="3131" w:type="dxa"/>
                </w:tcPr>
                <w:p>
                  <w:pPr>
                    <w:spacing w:line="360" w:lineRule="auto"/>
                    <w:rPr>
                      <w:rFonts w:hint="eastAsia" w:ascii="宋体" w:hAnsi="宋体" w:eastAsia="宋体" w:cs="宋体"/>
                      <w:sz w:val="21"/>
                      <w:szCs w:val="21"/>
                    </w:rPr>
                  </w:pPr>
                </w:p>
              </w:tc>
              <w:tc>
                <w:tcPr>
                  <w:tcW w:w="2242"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100% </w:t>
                  </w:r>
                </w:p>
              </w:tc>
              <w:tc>
                <w:tcPr>
                  <w:tcW w:w="1138"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已经完成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66" w:type="dxa"/>
                  <w:vMerge w:val="continue"/>
                </w:tcPr>
                <w:p>
                  <w:pPr>
                    <w:spacing w:line="360" w:lineRule="auto"/>
                    <w:jc w:val="center"/>
                    <w:rPr>
                      <w:rFonts w:hint="eastAsia" w:ascii="宋体" w:hAnsi="宋体" w:eastAsia="宋体" w:cs="宋体"/>
                      <w:sz w:val="21"/>
                      <w:szCs w:val="21"/>
                    </w:rPr>
                  </w:pPr>
                </w:p>
              </w:tc>
              <w:tc>
                <w:tcPr>
                  <w:tcW w:w="2906" w:type="dxa"/>
                </w:tcPr>
                <w:p>
                  <w:pPr>
                    <w:spacing w:line="240" w:lineRule="auto"/>
                    <w:rPr>
                      <w:rFonts w:hint="eastAsia" w:ascii="宋体" w:hAnsi="宋体" w:eastAsia="宋体" w:cs="宋体"/>
                      <w:sz w:val="21"/>
                      <w:szCs w:val="21"/>
                    </w:rPr>
                  </w:pPr>
                  <w:r>
                    <w:rPr>
                      <w:rFonts w:hint="eastAsia" w:ascii="宋体" w:hAnsi="宋体" w:eastAsia="宋体" w:cs="宋体"/>
                      <w:sz w:val="21"/>
                      <w:szCs w:val="21"/>
                    </w:rPr>
                    <w:t>火灾事故为0、</w:t>
                  </w:r>
                </w:p>
              </w:tc>
              <w:tc>
                <w:tcPr>
                  <w:tcW w:w="3131" w:type="dxa"/>
                </w:tcPr>
                <w:p>
                  <w:pPr>
                    <w:spacing w:line="360" w:lineRule="auto"/>
                    <w:rPr>
                      <w:rFonts w:hint="eastAsia" w:ascii="宋体" w:hAnsi="宋体" w:eastAsia="宋体" w:cs="宋体"/>
                      <w:sz w:val="21"/>
                      <w:szCs w:val="21"/>
                    </w:rPr>
                  </w:pPr>
                </w:p>
              </w:tc>
              <w:tc>
                <w:tcPr>
                  <w:tcW w:w="2242"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0</w:t>
                  </w:r>
                </w:p>
              </w:tc>
              <w:tc>
                <w:tcPr>
                  <w:tcW w:w="1138"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已经完成</w:t>
                  </w:r>
                </w:p>
              </w:tc>
            </w:tr>
          </w:tbl>
          <w:p>
            <w:pPr>
              <w:autoSpaceDE w:val="0"/>
              <w:autoSpaceDN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经考核均</w:t>
            </w:r>
            <w:r>
              <w:rPr>
                <w:rFonts w:hint="eastAsia" w:ascii="宋体" w:hAnsi="宋体" w:eastAsia="宋体" w:cs="宋体"/>
                <w:sz w:val="21"/>
                <w:szCs w:val="21"/>
              </w:rPr>
              <w:t>已完成。</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4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人力资源、能力、意识</w:t>
            </w:r>
          </w:p>
        </w:tc>
        <w:tc>
          <w:tcPr>
            <w:tcW w:w="1276"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E7.2、7.3</w:t>
            </w:r>
          </w:p>
        </w:tc>
        <w:tc>
          <w:tcPr>
            <w:tcW w:w="10606" w:type="dxa"/>
          </w:tcPr>
          <w:p>
            <w:pPr>
              <w:spacing w:line="360" w:lineRule="auto"/>
              <w:ind w:firstLine="420"/>
              <w:rPr>
                <w:rFonts w:hint="eastAsia" w:ascii="宋体" w:hAnsi="宋体" w:eastAsia="宋体" w:cs="宋体"/>
                <w:sz w:val="21"/>
                <w:szCs w:val="21"/>
              </w:rPr>
            </w:pPr>
            <w:r>
              <w:rPr>
                <w:rFonts w:hint="eastAsia" w:ascii="宋体" w:hAnsi="宋体" w:eastAsia="宋体" w:cs="宋体"/>
                <w:sz w:val="21"/>
                <w:szCs w:val="21"/>
              </w:rPr>
              <w:t>编制执行《人力资源控制程序》，规定了人力资源配备、培训计划与实施，考核与认可等予以规定。</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企业配置了适宜的人员：如管理人员、技术人员、销售人员、生产操作工、检验人员、库管员等；人员配置基本满足日常管理体系运行要求。</w:t>
            </w:r>
          </w:p>
          <w:p>
            <w:pPr>
              <w:spacing w:line="360" w:lineRule="auto"/>
              <w:ind w:firstLine="420"/>
              <w:rPr>
                <w:rFonts w:hint="eastAsia" w:ascii="宋体" w:hAnsi="宋体" w:eastAsia="宋体" w:cs="宋体"/>
                <w:sz w:val="21"/>
                <w:szCs w:val="21"/>
              </w:rPr>
            </w:pPr>
            <w:r>
              <w:rPr>
                <w:rFonts w:hint="eastAsia" w:ascii="宋体" w:hAnsi="宋体" w:eastAsia="宋体" w:cs="宋体"/>
                <w:sz w:val="21"/>
                <w:szCs w:val="21"/>
              </w:rPr>
              <w:t>办公室对各岗位人员进行能力考核，根据结果采取措施，通常是采取培训方式。</w:t>
            </w:r>
          </w:p>
          <w:p>
            <w:pPr>
              <w:spacing w:line="360" w:lineRule="auto"/>
              <w:ind w:firstLine="420"/>
              <w:rPr>
                <w:rFonts w:hint="eastAsia" w:ascii="宋体" w:hAnsi="宋体" w:eastAsia="宋体" w:cs="宋体"/>
                <w:sz w:val="21"/>
                <w:szCs w:val="21"/>
              </w:rPr>
            </w:pPr>
            <w:r>
              <w:rPr>
                <w:rFonts w:hint="eastAsia" w:ascii="宋体" w:hAnsi="宋体" w:eastAsia="宋体" w:cs="宋体"/>
                <w:sz w:val="21"/>
                <w:szCs w:val="21"/>
              </w:rPr>
              <w:t>查到“</w:t>
            </w:r>
            <w:r>
              <w:rPr>
                <w:rFonts w:hint="eastAsia" w:ascii="宋体" w:hAnsi="宋体" w:cs="宋体"/>
                <w:sz w:val="21"/>
                <w:szCs w:val="21"/>
                <w:lang w:val="en-US" w:eastAsia="zh-CN"/>
              </w:rPr>
              <w:t>2020</w:t>
            </w:r>
            <w:r>
              <w:rPr>
                <w:rFonts w:hint="eastAsia" w:ascii="宋体" w:hAnsi="宋体" w:eastAsia="宋体" w:cs="宋体"/>
                <w:sz w:val="21"/>
                <w:szCs w:val="21"/>
              </w:rPr>
              <w:t>年度培训计划”，编制</w:t>
            </w:r>
            <w:r>
              <w:rPr>
                <w:rFonts w:hint="eastAsia" w:ascii="宋体" w:hAnsi="宋体" w:eastAsia="宋体" w:cs="宋体"/>
                <w:sz w:val="21"/>
                <w:szCs w:val="21"/>
                <w:lang w:val="en-US" w:eastAsia="zh-CN"/>
              </w:rPr>
              <w:t>综合管理部</w:t>
            </w:r>
            <w:r>
              <w:rPr>
                <w:rFonts w:hint="eastAsia" w:ascii="宋体" w:hAnsi="宋体" w:eastAsia="宋体" w:cs="宋体"/>
                <w:sz w:val="21"/>
                <w:szCs w:val="21"/>
              </w:rPr>
              <w:t>，批准</w:t>
            </w:r>
            <w:r>
              <w:rPr>
                <w:rFonts w:hint="eastAsia" w:ascii="宋体" w:hAnsi="宋体" w:eastAsia="宋体" w:cs="宋体"/>
                <w:sz w:val="21"/>
                <w:szCs w:val="21"/>
                <w:lang w:val="en-US" w:eastAsia="zh-CN"/>
              </w:rPr>
              <w:t>郭世辉</w:t>
            </w:r>
            <w:r>
              <w:rPr>
                <w:rFonts w:hint="eastAsia" w:ascii="宋体" w:hAnsi="宋体" w:eastAsia="宋体" w:cs="宋体"/>
                <w:sz w:val="21"/>
                <w:szCs w:val="21"/>
              </w:rPr>
              <w:t>，日期20</w:t>
            </w:r>
            <w:r>
              <w:rPr>
                <w:rFonts w:hint="eastAsia" w:ascii="宋体" w:hAnsi="宋体" w:cs="宋体"/>
                <w:sz w:val="21"/>
                <w:szCs w:val="21"/>
                <w:lang w:val="en-US" w:eastAsia="zh-CN"/>
              </w:rPr>
              <w:t>20</w:t>
            </w:r>
            <w:r>
              <w:rPr>
                <w:rFonts w:hint="eastAsia" w:ascii="宋体" w:hAnsi="宋体" w:eastAsia="宋体" w:cs="宋体"/>
                <w:sz w:val="21"/>
                <w:szCs w:val="21"/>
              </w:rPr>
              <w:t>.</w:t>
            </w:r>
            <w:r>
              <w:rPr>
                <w:rFonts w:hint="eastAsia" w:ascii="宋体" w:hAnsi="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sz w:val="21"/>
                <w:szCs w:val="21"/>
                <w:lang w:val="en-US" w:eastAsia="zh-CN"/>
              </w:rPr>
              <w:t>5</w:t>
            </w:r>
            <w:r>
              <w:rPr>
                <w:rFonts w:hint="eastAsia" w:ascii="宋体" w:hAnsi="宋体" w:eastAsia="宋体" w:cs="宋体"/>
                <w:sz w:val="21"/>
                <w:szCs w:val="21"/>
              </w:rPr>
              <w:t>日。</w:t>
            </w:r>
            <w:r>
              <w:rPr>
                <w:rFonts w:hint="eastAsia" w:ascii="宋体" w:hAnsi="宋体" w:eastAsia="宋体" w:cs="宋体"/>
                <w:sz w:val="21"/>
                <w:szCs w:val="21"/>
                <w:lang w:val="en-US" w:eastAsia="zh-CN"/>
              </w:rPr>
              <w:t>今年</w:t>
            </w:r>
            <w:r>
              <w:rPr>
                <w:rFonts w:hint="eastAsia" w:ascii="宋体" w:hAnsi="宋体" w:eastAsia="宋体" w:cs="宋体"/>
                <w:sz w:val="21"/>
                <w:szCs w:val="21"/>
              </w:rPr>
              <w:t>培训内容涉及：</w:t>
            </w:r>
            <w:r>
              <w:rPr>
                <w:rFonts w:hint="eastAsia" w:ascii="宋体" w:hAnsi="宋体" w:eastAsia="宋体" w:cs="宋体"/>
                <w:kern w:val="1"/>
                <w:sz w:val="21"/>
                <w:szCs w:val="21"/>
              </w:rPr>
              <w:t>环境因素识别方法培训</w:t>
            </w:r>
            <w:r>
              <w:rPr>
                <w:rFonts w:hint="eastAsia" w:ascii="宋体" w:hAnsi="宋体" w:eastAsia="宋体" w:cs="宋体"/>
                <w:kern w:val="1"/>
                <w:sz w:val="21"/>
                <w:szCs w:val="21"/>
                <w:lang w:eastAsia="zh-CN"/>
              </w:rPr>
              <w:t>、</w:t>
            </w:r>
            <w:r>
              <w:rPr>
                <w:rFonts w:hint="eastAsia" w:ascii="宋体" w:hAnsi="宋体" w:eastAsia="宋体" w:cs="宋体"/>
                <w:kern w:val="1"/>
                <w:sz w:val="21"/>
                <w:szCs w:val="21"/>
              </w:rPr>
              <w:t>应急预案培训</w:t>
            </w:r>
            <w:r>
              <w:rPr>
                <w:rFonts w:hint="eastAsia" w:ascii="宋体" w:hAnsi="宋体" w:eastAsia="宋体" w:cs="宋体"/>
                <w:sz w:val="21"/>
                <w:szCs w:val="21"/>
              </w:rPr>
              <w:t>等。</w:t>
            </w:r>
          </w:p>
          <w:p>
            <w:pPr>
              <w:pStyle w:val="26"/>
              <w:spacing w:line="360" w:lineRule="auto"/>
              <w:jc w:val="both"/>
              <w:rPr>
                <w:rFonts w:hint="eastAsia" w:ascii="宋体" w:hAnsi="宋体" w:eastAsia="宋体" w:cs="宋体"/>
                <w:sz w:val="21"/>
                <w:szCs w:val="21"/>
              </w:rPr>
            </w:pPr>
            <w:r>
              <w:rPr>
                <w:rFonts w:hint="eastAsia" w:ascii="宋体" w:hAnsi="宋体" w:eastAsia="宋体" w:cs="宋体"/>
                <w:sz w:val="21"/>
                <w:szCs w:val="21"/>
              </w:rPr>
              <w:t>查到：1、《培训记录及培训效果评价表》，20</w:t>
            </w:r>
            <w:r>
              <w:rPr>
                <w:rFonts w:hint="eastAsia" w:ascii="宋体" w:hAnsi="宋体" w:eastAsia="宋体" w:cs="宋体"/>
                <w:sz w:val="21"/>
                <w:szCs w:val="21"/>
                <w:lang w:val="en-US" w:eastAsia="zh-CN"/>
              </w:rPr>
              <w:t>20</w:t>
            </w: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w:t>
            </w:r>
            <w:r>
              <w:rPr>
                <w:rFonts w:hint="eastAsia" w:ascii="宋体" w:hAnsi="宋体" w:eastAsia="宋体" w:cs="宋体"/>
                <w:sz w:val="21"/>
                <w:szCs w:val="21"/>
                <w:lang w:val="en-US" w:eastAsia="zh-CN"/>
              </w:rPr>
              <w:t>20</w:t>
            </w:r>
            <w:r>
              <w:rPr>
                <w:rFonts w:hint="eastAsia" w:ascii="宋体" w:hAnsi="宋体" w:eastAsia="宋体" w:cs="宋体"/>
                <w:sz w:val="21"/>
                <w:szCs w:val="21"/>
              </w:rPr>
              <w:t>日</w:t>
            </w:r>
            <w:r>
              <w:rPr>
                <w:rFonts w:hint="eastAsia" w:ascii="宋体" w:hAnsi="宋体" w:eastAsia="宋体" w:cs="宋体"/>
                <w:kern w:val="1"/>
                <w:sz w:val="21"/>
                <w:szCs w:val="21"/>
              </w:rPr>
              <w:t>《环境因素识别、评价与更新程序》《危险源辩识、风险评价与控制措施的确定控制程序》</w:t>
            </w:r>
            <w:r>
              <w:rPr>
                <w:rFonts w:hint="eastAsia" w:ascii="宋体" w:hAnsi="宋体" w:eastAsia="宋体" w:cs="宋体"/>
                <w:kern w:val="1"/>
                <w:sz w:val="21"/>
                <w:szCs w:val="21"/>
                <w:lang w:val="en-US" w:eastAsia="zh-CN"/>
              </w:rPr>
              <w:t>培训</w:t>
            </w:r>
            <w:r>
              <w:rPr>
                <w:rFonts w:hint="eastAsia" w:ascii="宋体" w:hAnsi="宋体" w:eastAsia="宋体" w:cs="宋体"/>
                <w:sz w:val="21"/>
                <w:szCs w:val="21"/>
              </w:rPr>
              <w:t>，记录了培训内容摘要，通过现场提问答辩对培训效果予以考核评价，考核合格率100%。</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2、20</w:t>
            </w:r>
            <w:r>
              <w:rPr>
                <w:rFonts w:hint="eastAsia" w:ascii="宋体" w:hAnsi="宋体" w:cs="宋体"/>
                <w:sz w:val="21"/>
                <w:szCs w:val="21"/>
                <w:lang w:val="en-US" w:eastAsia="zh-CN"/>
              </w:rPr>
              <w:t>20</w:t>
            </w:r>
            <w:r>
              <w:rPr>
                <w:rFonts w:hint="eastAsia" w:ascii="宋体" w:hAnsi="宋体" w:eastAsia="宋体" w:cs="宋体"/>
                <w:sz w:val="21"/>
                <w:szCs w:val="21"/>
              </w:rPr>
              <w:t>.</w:t>
            </w:r>
            <w:r>
              <w:rPr>
                <w:rFonts w:hint="eastAsia" w:ascii="宋体" w:hAnsi="宋体" w:cs="宋体"/>
                <w:sz w:val="21"/>
                <w:szCs w:val="21"/>
                <w:lang w:val="en-US" w:eastAsia="zh-CN"/>
              </w:rPr>
              <w:t>6</w:t>
            </w:r>
            <w:r>
              <w:rPr>
                <w:rFonts w:hint="eastAsia" w:ascii="宋体" w:hAnsi="宋体" w:eastAsia="宋体" w:cs="宋体"/>
                <w:sz w:val="21"/>
                <w:szCs w:val="21"/>
              </w:rPr>
              <w:t>.1</w:t>
            </w:r>
            <w:r>
              <w:rPr>
                <w:rFonts w:hint="eastAsia" w:ascii="宋体" w:hAnsi="宋体" w:eastAsia="宋体" w:cs="宋体"/>
                <w:sz w:val="21"/>
                <w:szCs w:val="21"/>
                <w:lang w:val="en-US" w:eastAsia="zh-CN"/>
              </w:rPr>
              <w:t>8</w:t>
            </w:r>
            <w:r>
              <w:rPr>
                <w:rFonts w:hint="eastAsia" w:ascii="宋体" w:hAnsi="宋体" w:eastAsia="宋体" w:cs="宋体"/>
                <w:sz w:val="21"/>
                <w:szCs w:val="21"/>
              </w:rPr>
              <w:t>日环境</w:t>
            </w:r>
            <w:r>
              <w:rPr>
                <w:rFonts w:hint="eastAsia" w:ascii="宋体" w:hAnsi="宋体" w:eastAsia="宋体" w:cs="宋体"/>
                <w:color w:val="000000" w:themeColor="text1"/>
                <w:kern w:val="1"/>
                <w:sz w:val="21"/>
                <w:szCs w:val="21"/>
              </w:rPr>
              <w:t>应急预案</w:t>
            </w:r>
            <w:r>
              <w:rPr>
                <w:rFonts w:hint="eastAsia" w:ascii="宋体" w:hAnsi="宋体" w:eastAsia="宋体" w:cs="宋体"/>
                <w:sz w:val="21"/>
                <w:szCs w:val="21"/>
              </w:rPr>
              <w:t>培训，培训方式授课，有培训内容摘要，经现场讨论考核合格率100%。</w:t>
            </w:r>
          </w:p>
          <w:p>
            <w:pPr>
              <w:spacing w:line="360" w:lineRule="auto"/>
              <w:rPr>
                <w:rFonts w:hint="eastAsia" w:ascii="宋体" w:hAnsi="宋体" w:eastAsia="宋体" w:cs="宋体"/>
                <w:sz w:val="21"/>
                <w:szCs w:val="21"/>
                <w:lang w:val="en-US" w:eastAsia="zh-CN"/>
              </w:rPr>
            </w:pPr>
            <w:r>
              <w:rPr>
                <w:rFonts w:hint="eastAsia" w:ascii="宋体" w:hAnsi="宋体" w:cs="宋体"/>
                <w:sz w:val="21"/>
                <w:szCs w:val="21"/>
                <w:lang w:val="en-US" w:eastAsia="zh-CN"/>
              </w:rPr>
              <w:t>提供</w:t>
            </w:r>
          </w:p>
          <w:p>
            <w:pPr>
              <w:spacing w:line="360"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人员：姜林辉    叉车证    证书编号：610321 197202440815   有效期：2023.08</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叉车：编号：511010353201970501   有效期:2021.12,  经检测，符合要求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通过培训、面谈等沟通方式，提高了员工的素质，增强了主人翁的责任感，使员工认识到了自身贡献的重要性。员工对公司的方针及部门目标基本了解，并且能够意识到自己岗位对整个流程的重要性和偏离的后果。</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企业已对人力资源的管理、控制进行了策划，并已实施控制，针对体系知识的系统深入学习进行了现场交流。</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4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形成文件的信息</w:t>
            </w:r>
          </w:p>
        </w:tc>
        <w:tc>
          <w:tcPr>
            <w:tcW w:w="1276"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E7.5</w:t>
            </w:r>
          </w:p>
        </w:tc>
        <w:tc>
          <w:tcPr>
            <w:tcW w:w="10606" w:type="dxa"/>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编制了《</w:t>
            </w:r>
            <w:r>
              <w:rPr>
                <w:rFonts w:hint="eastAsia" w:ascii="宋体" w:hAnsi="宋体" w:eastAsia="宋体" w:cs="宋体"/>
                <w:kern w:val="0"/>
                <w:sz w:val="21"/>
                <w:szCs w:val="21"/>
              </w:rPr>
              <w:t>文件控制程序</w:t>
            </w:r>
            <w:r>
              <w:rPr>
                <w:rFonts w:hint="eastAsia" w:ascii="宋体" w:hAnsi="宋体" w:eastAsia="宋体" w:cs="宋体"/>
                <w:sz w:val="21"/>
                <w:szCs w:val="21"/>
              </w:rPr>
              <w:t>》，规定了对文件的编制、审批、更新、更改、现行修订状态、文件的发放、保存、使用、借阅、复制以及外来文件的管理、记录的形成和收集、传递和归档、储存和处理、分类和编码、借阅等进行了规定，内容满足并覆盖标准所要求的内容，符合要求。</w:t>
            </w:r>
          </w:p>
          <w:p>
            <w:pPr>
              <w:spacing w:line="360"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rPr>
              <w:t>组织策划的体系文件主要包括：《</w:t>
            </w:r>
            <w:r>
              <w:rPr>
                <w:rFonts w:hint="eastAsia" w:ascii="宋体" w:hAnsi="宋体" w:eastAsia="宋体" w:cs="宋体"/>
                <w:sz w:val="21"/>
                <w:szCs w:val="21"/>
                <w:lang w:val="en-US" w:eastAsia="zh-CN"/>
              </w:rPr>
              <w:t>环境</w:t>
            </w:r>
            <w:r>
              <w:rPr>
                <w:rFonts w:hint="eastAsia" w:ascii="宋体" w:hAnsi="宋体" w:eastAsia="宋体" w:cs="宋体"/>
                <w:sz w:val="21"/>
                <w:szCs w:val="21"/>
              </w:rPr>
              <w:t>管理手册》，版本：A；《环境管理体系程序文件》版本：A/0，有作业指导书及检验规程，以及相关运行记录等。以上文件编制人：</w:t>
            </w:r>
            <w:r>
              <w:rPr>
                <w:rFonts w:hint="eastAsia" w:ascii="宋体" w:hAnsi="宋体" w:eastAsia="宋体" w:cs="宋体"/>
                <w:sz w:val="21"/>
                <w:szCs w:val="21"/>
                <w:lang w:val="en-US" w:eastAsia="zh-CN"/>
              </w:rPr>
              <w:t>质量管理部</w:t>
            </w:r>
            <w:r>
              <w:rPr>
                <w:rFonts w:hint="eastAsia" w:ascii="宋体" w:hAnsi="宋体" w:eastAsia="宋体" w:cs="宋体"/>
                <w:sz w:val="21"/>
                <w:szCs w:val="21"/>
              </w:rPr>
              <w:t>，审核人：</w:t>
            </w:r>
            <w:r>
              <w:rPr>
                <w:rFonts w:hint="eastAsia" w:ascii="宋体" w:hAnsi="宋体" w:eastAsia="宋体" w:cs="宋体"/>
                <w:sz w:val="21"/>
                <w:szCs w:val="21"/>
                <w:lang w:val="en-US" w:eastAsia="zh-CN"/>
              </w:rPr>
              <w:t>苏栓侠</w:t>
            </w:r>
            <w:r>
              <w:rPr>
                <w:rFonts w:hint="eastAsia" w:ascii="宋体" w:hAnsi="宋体" w:eastAsia="宋体" w:cs="宋体"/>
                <w:sz w:val="21"/>
                <w:szCs w:val="21"/>
              </w:rPr>
              <w:t>，批准人：</w:t>
            </w:r>
            <w:r>
              <w:rPr>
                <w:rFonts w:hint="eastAsia" w:ascii="宋体" w:hAnsi="宋体" w:eastAsia="宋体" w:cs="宋体"/>
                <w:sz w:val="21"/>
                <w:szCs w:val="21"/>
                <w:lang w:val="en-US" w:eastAsia="zh-CN"/>
              </w:rPr>
              <w:t>郭世辉</w:t>
            </w:r>
            <w:r>
              <w:rPr>
                <w:rFonts w:hint="eastAsia" w:ascii="宋体" w:hAnsi="宋体" w:eastAsia="宋体" w:cs="宋体"/>
                <w:sz w:val="21"/>
                <w:szCs w:val="21"/>
              </w:rPr>
              <w:t>，发布实施日期201</w:t>
            </w:r>
            <w:r>
              <w:rPr>
                <w:rFonts w:hint="eastAsia" w:ascii="宋体" w:hAnsi="宋体" w:eastAsia="宋体" w:cs="宋体"/>
                <w:sz w:val="21"/>
                <w:szCs w:val="21"/>
                <w:lang w:val="en-US" w:eastAsia="zh-CN"/>
              </w:rPr>
              <w:t>8</w:t>
            </w:r>
            <w:r>
              <w:rPr>
                <w:rFonts w:hint="eastAsia" w:ascii="宋体" w:hAnsi="宋体" w:eastAsia="宋体" w:cs="宋体"/>
                <w:sz w:val="21"/>
                <w:szCs w:val="21"/>
              </w:rPr>
              <w:t>年</w:t>
            </w:r>
            <w:r>
              <w:rPr>
                <w:rFonts w:hint="eastAsia" w:ascii="宋体" w:hAnsi="宋体" w:eastAsia="宋体" w:cs="宋体"/>
                <w:sz w:val="21"/>
                <w:szCs w:val="21"/>
                <w:lang w:val="en-US" w:eastAsia="zh-CN"/>
              </w:rPr>
              <w:t>7</w:t>
            </w:r>
            <w:r>
              <w:rPr>
                <w:rFonts w:hint="eastAsia" w:ascii="宋体" w:hAnsi="宋体" w:eastAsia="宋体" w:cs="宋体"/>
                <w:sz w:val="21"/>
                <w:szCs w:val="21"/>
              </w:rPr>
              <w:t>月1日</w:t>
            </w:r>
            <w:r>
              <w:rPr>
                <w:rFonts w:hint="eastAsia" w:ascii="宋体" w:hAnsi="宋体" w:cs="宋体"/>
                <w:sz w:val="21"/>
                <w:szCs w:val="21"/>
                <w:lang w:eastAsia="zh-CN"/>
              </w:rPr>
              <w:t>，</w:t>
            </w:r>
            <w:r>
              <w:rPr>
                <w:rFonts w:hint="eastAsia" w:ascii="宋体" w:hAnsi="宋体" w:cs="宋体"/>
                <w:sz w:val="21"/>
                <w:szCs w:val="21"/>
                <w:lang w:val="en-US" w:eastAsia="zh-CN"/>
              </w:rPr>
              <w:t>运行一年多没有更改。</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查见《外来、受控清单》，登录有手册、程序、管理规定、生产现场管理制度、组装作业指导书等受控文件，包含了体系要求的成文信息，文件规定基本符合组织实际，满足标准要求。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抽查：《应急准备和响应程序》、《合规性评价程序》、《纠正措施和预防措施控制程序》等体系文件，均有编制、审批人员签名，符合要求。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查文件发放情况：</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提供了《文件发放/回收记录》，所有文件均由</w:t>
            </w:r>
            <w:r>
              <w:rPr>
                <w:rFonts w:hint="eastAsia" w:ascii="宋体" w:hAnsi="宋体" w:eastAsia="宋体" w:cs="宋体"/>
                <w:sz w:val="21"/>
                <w:szCs w:val="21"/>
                <w:lang w:val="en-US" w:eastAsia="zh-CN"/>
              </w:rPr>
              <w:t>质检部</w:t>
            </w:r>
            <w:r>
              <w:rPr>
                <w:rFonts w:hint="eastAsia" w:ascii="宋体" w:hAnsi="宋体" w:eastAsia="宋体" w:cs="宋体"/>
                <w:sz w:val="21"/>
                <w:szCs w:val="21"/>
              </w:rPr>
              <w:t>发放，录有管理手册、程序、作业文件及标准、法律法规等外来文件。显示文件发放均有文件名称、编号、分发号、版本，发放/回收日期等。</w:t>
            </w:r>
          </w:p>
          <w:p>
            <w:pPr>
              <w:spacing w:before="12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查外来文件管理：</w:t>
            </w:r>
          </w:p>
          <w:p>
            <w:pPr>
              <w:spacing w:before="120" w:line="360" w:lineRule="auto"/>
              <w:rPr>
                <w:rFonts w:hint="eastAsia" w:ascii="宋体" w:hAnsi="宋体" w:eastAsia="宋体" w:cs="宋体"/>
                <w:b w:val="0"/>
                <w:bCs/>
                <w:sz w:val="21"/>
                <w:szCs w:val="21"/>
              </w:rPr>
            </w:pPr>
            <w:r>
              <w:rPr>
                <w:rFonts w:hint="eastAsia" w:ascii="宋体" w:hAnsi="宋体" w:eastAsia="宋体" w:cs="宋体"/>
                <w:sz w:val="21"/>
                <w:szCs w:val="21"/>
              </w:rPr>
              <w:t>公司对外来文件及法律法规进行了收集、识别、分发、控制。外来文件采用了统一保管、借阅使用的方法进行控制。由</w:t>
            </w:r>
            <w:r>
              <w:rPr>
                <w:rFonts w:hint="eastAsia" w:ascii="宋体" w:hAnsi="宋体" w:eastAsia="宋体" w:cs="宋体"/>
                <w:sz w:val="21"/>
                <w:szCs w:val="21"/>
                <w:lang w:val="en-US" w:eastAsia="zh-CN"/>
              </w:rPr>
              <w:t>质检部</w:t>
            </w:r>
            <w:r>
              <w:rPr>
                <w:rFonts w:hint="eastAsia" w:ascii="宋体" w:hAnsi="宋体" w:eastAsia="宋体" w:cs="宋体"/>
                <w:sz w:val="21"/>
                <w:szCs w:val="21"/>
              </w:rPr>
              <w:t>负责通过到主管部门、网上收集、标准发布部门进行购买，并对外来文件的识别、跟踪、控制。</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查作废文件控制：自新版体系文件运行以来文件未修改修订。</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现场查看组织</w:t>
            </w:r>
            <w:r>
              <w:rPr>
                <w:rFonts w:hint="eastAsia" w:ascii="宋体" w:hAnsi="宋体" w:eastAsia="宋体" w:cs="宋体"/>
                <w:sz w:val="21"/>
                <w:szCs w:val="21"/>
                <w:lang w:val="en-US" w:eastAsia="zh-CN"/>
              </w:rPr>
              <w:t>质检部</w:t>
            </w:r>
            <w:r>
              <w:rPr>
                <w:rFonts w:hint="eastAsia" w:ascii="宋体" w:hAnsi="宋体" w:eastAsia="宋体" w:cs="宋体"/>
                <w:sz w:val="21"/>
                <w:szCs w:val="21"/>
              </w:rPr>
              <w:t>文件管理情况，通过纸张、电子版形式文件化，文件名称、编号、内容等字迹清晰，标识易于识别、检索、可追溯，纸质文件存放在文件柜中，防水防潮，储存环境适宜。</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查到了“记录清单”，记录设置符合公司实施运行要求，基本包含了体系要求的相关记录；《记录清单》，内容清晰，规定了记录的名称、编号、保存期限等信息。 记录以名称、编号进行唯一性标识。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现场查阅了记录：《采购计划》、《应急预案演练记录》、《内审报告》、《环境、安全检查记录》等体系运行记录，记录比较完整，内容规范全面，字迹清楚，有填表人、检查人等信息，易于检索，符合要求。</w:t>
            </w:r>
          </w:p>
          <w:p>
            <w:pPr>
              <w:spacing w:line="360" w:lineRule="auto"/>
              <w:rPr>
                <w:rFonts w:hint="eastAsia" w:ascii="宋体" w:hAnsi="宋体" w:eastAsia="宋体" w:cs="宋体"/>
                <w:sz w:val="21"/>
                <w:szCs w:val="21"/>
              </w:rPr>
            </w:pPr>
            <w:r>
              <w:rPr>
                <w:rFonts w:hint="eastAsia" w:ascii="宋体" w:hAnsi="宋体" w:eastAsia="宋体" w:cs="宋体"/>
                <w:sz w:val="21"/>
                <w:szCs w:val="21"/>
              </w:rPr>
              <w:t>　 现场察看记录存放处：各类记录分类存放，部门用记录由相关部门保管，置于文件夹或档案盒（袋）内，统一放置于文件资料柜中，干燥、通风、容易查询，记录保存方式和地点基本可以满足企业现有的体系运行需求。</w:t>
            </w:r>
          </w:p>
          <w:p>
            <w:pPr>
              <w:spacing w:line="360" w:lineRule="auto"/>
              <w:rPr>
                <w:rFonts w:hint="eastAsia" w:ascii="宋体" w:hAnsi="宋体" w:eastAsia="宋体" w:cs="宋体"/>
                <w:sz w:val="21"/>
                <w:szCs w:val="21"/>
              </w:rPr>
            </w:pPr>
            <w:r>
              <w:rPr>
                <w:rFonts w:hint="eastAsia" w:ascii="宋体" w:hAnsi="宋体" w:eastAsia="宋体" w:cs="宋体"/>
                <w:sz w:val="21"/>
                <w:szCs w:val="21"/>
              </w:rPr>
              <w:t>　　经了解，目前作废文件已销毁，由</w:t>
            </w:r>
            <w:r>
              <w:rPr>
                <w:rFonts w:hint="eastAsia" w:ascii="宋体" w:hAnsi="宋体" w:eastAsia="宋体" w:cs="宋体"/>
                <w:sz w:val="21"/>
                <w:szCs w:val="21"/>
                <w:lang w:val="en-US" w:eastAsia="zh-CN"/>
              </w:rPr>
              <w:t>质检部</w:t>
            </w:r>
            <w:r>
              <w:rPr>
                <w:rFonts w:hint="eastAsia" w:ascii="宋体" w:hAnsi="宋体" w:eastAsia="宋体" w:cs="宋体"/>
                <w:sz w:val="21"/>
                <w:szCs w:val="21"/>
              </w:rPr>
              <w:t>统一处理。</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总体来说，公司文件化信息控制基本有效。</w:t>
            </w:r>
          </w:p>
        </w:tc>
        <w:tc>
          <w:tcPr>
            <w:tcW w:w="1585"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242" w:type="dxa"/>
            <w:vAlign w:val="center"/>
          </w:tcPr>
          <w:p>
            <w:pPr>
              <w:spacing w:line="360" w:lineRule="auto"/>
              <w:rPr>
                <w:rFonts w:hint="eastAsia" w:ascii="宋体" w:hAnsi="宋体" w:eastAsia="宋体" w:cs="宋体"/>
                <w:b/>
                <w:sz w:val="21"/>
                <w:szCs w:val="21"/>
              </w:rPr>
            </w:pPr>
            <w:r>
              <w:rPr>
                <w:rFonts w:hint="eastAsia" w:ascii="宋体" w:hAnsi="宋体" w:eastAsia="宋体" w:cs="宋体"/>
                <w:sz w:val="21"/>
                <w:szCs w:val="21"/>
              </w:rPr>
              <w:t>环境因素</w:t>
            </w:r>
          </w:p>
        </w:tc>
        <w:tc>
          <w:tcPr>
            <w:tcW w:w="1276" w:type="dxa"/>
          </w:tcPr>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sz w:val="21"/>
                <w:szCs w:val="21"/>
              </w:rPr>
            </w:pPr>
            <w:r>
              <w:rPr>
                <w:rFonts w:hint="eastAsia" w:ascii="宋体" w:hAnsi="宋体" w:eastAsia="宋体" w:cs="宋体"/>
                <w:bCs/>
                <w:sz w:val="21"/>
                <w:szCs w:val="21"/>
              </w:rPr>
              <w:t>E：</w:t>
            </w:r>
            <w:r>
              <w:rPr>
                <w:rFonts w:hint="eastAsia" w:ascii="宋体" w:hAnsi="宋体" w:eastAsia="宋体" w:cs="宋体"/>
                <w:sz w:val="21"/>
                <w:szCs w:val="21"/>
              </w:rPr>
              <w:t xml:space="preserve">6.1.2 </w:t>
            </w:r>
          </w:p>
          <w:p>
            <w:pPr>
              <w:spacing w:line="360" w:lineRule="auto"/>
              <w:rPr>
                <w:rFonts w:hint="eastAsia" w:ascii="宋体" w:hAnsi="宋体" w:eastAsia="宋体" w:cs="宋体"/>
                <w:sz w:val="21"/>
                <w:szCs w:val="21"/>
              </w:rPr>
            </w:pPr>
          </w:p>
        </w:tc>
        <w:tc>
          <w:tcPr>
            <w:tcW w:w="10606" w:type="dxa"/>
          </w:tcPr>
          <w:p>
            <w:pPr>
              <w:spacing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提供了环境因素和危险源识别评价与控制程序（</w:t>
            </w:r>
            <w:r>
              <w:rPr>
                <w:rFonts w:hint="eastAsia" w:ascii="宋体" w:hAnsi="宋体" w:eastAsia="宋体" w:cs="宋体"/>
                <w:b w:val="0"/>
                <w:bCs/>
                <w:sz w:val="21"/>
                <w:szCs w:val="21"/>
              </w:rPr>
              <w:t>HT/</w:t>
            </w:r>
            <w:r>
              <w:rPr>
                <w:rFonts w:hint="eastAsia" w:ascii="宋体" w:hAnsi="宋体" w:eastAsia="宋体" w:cs="宋体"/>
                <w:b w:val="0"/>
                <w:bCs/>
                <w:sz w:val="21"/>
                <w:szCs w:val="21"/>
                <w:lang w:val="en-US" w:eastAsia="zh-CN"/>
              </w:rPr>
              <w:t>05</w:t>
            </w:r>
            <w:r>
              <w:rPr>
                <w:rFonts w:hint="eastAsia" w:ascii="宋体" w:hAnsi="宋体" w:eastAsia="宋体" w:cs="宋体"/>
                <w:sz w:val="21"/>
                <w:szCs w:val="21"/>
              </w:rPr>
              <w:t>），对环境因素、危险源的识别、评价结果、控制手段等做出了规定。</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bCs/>
                <w:sz w:val="21"/>
                <w:szCs w:val="21"/>
                <w:lang w:val="en-US" w:eastAsia="zh-CN"/>
              </w:rPr>
              <w:t>质检部</w:t>
            </w:r>
            <w:r>
              <w:rPr>
                <w:rFonts w:hint="eastAsia" w:ascii="宋体" w:hAnsi="宋体" w:eastAsia="宋体" w:cs="宋体"/>
                <w:bCs/>
                <w:sz w:val="21"/>
                <w:szCs w:val="21"/>
              </w:rPr>
              <w:t>作为环境的推进</w:t>
            </w:r>
            <w:r>
              <w:rPr>
                <w:rFonts w:hint="eastAsia" w:ascii="宋体" w:hAnsi="宋体" w:eastAsia="宋体" w:cs="宋体"/>
                <w:sz w:val="21"/>
                <w:szCs w:val="21"/>
              </w:rPr>
              <w:t>部门，主要统筹负责识别评价相关的环境因素。根据各部门识别及各办公、采购、生产、质检、销售过程环节识别，由</w:t>
            </w:r>
            <w:r>
              <w:rPr>
                <w:rFonts w:hint="eastAsia" w:ascii="宋体" w:hAnsi="宋体" w:eastAsia="宋体" w:cs="宋体"/>
                <w:sz w:val="21"/>
                <w:szCs w:val="21"/>
                <w:lang w:val="en-US" w:eastAsia="zh-CN"/>
              </w:rPr>
              <w:t>质量管理部</w:t>
            </w:r>
            <w:r>
              <w:rPr>
                <w:rFonts w:hint="eastAsia" w:ascii="宋体" w:hAnsi="宋体" w:eastAsia="宋体" w:cs="宋体"/>
                <w:sz w:val="21"/>
                <w:szCs w:val="21"/>
              </w:rPr>
              <w:t>汇总。</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查“环境因素登记及评价表”，识别考虑了正常、异常、紧急，过去、现在、未来三种时态，能考虑到产品生命周期观点。涉及</w:t>
            </w:r>
            <w:r>
              <w:rPr>
                <w:rFonts w:hint="eastAsia" w:ascii="宋体" w:hAnsi="宋体" w:eastAsia="宋体" w:cs="宋体"/>
                <w:sz w:val="21"/>
                <w:szCs w:val="21"/>
                <w:lang w:val="en-US" w:eastAsia="zh-CN"/>
              </w:rPr>
              <w:t>质量管理部</w:t>
            </w:r>
            <w:r>
              <w:rPr>
                <w:rFonts w:hint="eastAsia" w:ascii="宋体" w:hAnsi="宋体" w:eastAsia="宋体" w:cs="宋体"/>
                <w:sz w:val="21"/>
                <w:szCs w:val="21"/>
              </w:rPr>
              <w:t>的环境因素有办公活动中生活垃圾排放、纸张等办公废品排放、废水排放、空调排放热气、汽车尾气排放、火灾事故发生等。</w:t>
            </w:r>
          </w:p>
          <w:p>
            <w:pPr>
              <w:spacing w:line="360" w:lineRule="auto"/>
              <w:ind w:firstLine="420" w:firstLineChars="200"/>
              <w:rPr>
                <w:rFonts w:hint="eastAsia" w:ascii="宋体" w:hAnsi="宋体" w:eastAsia="宋体" w:cs="宋体"/>
                <w:sz w:val="21"/>
                <w:szCs w:val="21"/>
              </w:rPr>
            </w:pPr>
            <w:bookmarkStart w:id="0" w:name="_Toc267925395"/>
            <w:bookmarkEnd w:id="0"/>
            <w:bookmarkStart w:id="1" w:name="_Toc269744892"/>
            <w:bookmarkEnd w:id="1"/>
            <w:bookmarkStart w:id="2" w:name="_Toc272655172"/>
            <w:bookmarkEnd w:id="2"/>
            <w:r>
              <w:rPr>
                <w:rFonts w:hint="eastAsia" w:ascii="宋体" w:hAnsi="宋体" w:eastAsia="宋体" w:cs="宋体"/>
                <w:sz w:val="21"/>
                <w:szCs w:val="21"/>
              </w:rPr>
              <w:t>经评价</w:t>
            </w:r>
            <w:r>
              <w:rPr>
                <w:rFonts w:hint="eastAsia" w:ascii="宋体" w:hAnsi="宋体" w:eastAsia="宋体" w:cs="宋体"/>
                <w:sz w:val="21"/>
                <w:szCs w:val="21"/>
                <w:lang w:val="en-US" w:eastAsia="zh-CN"/>
              </w:rPr>
              <w:t>质检部</w:t>
            </w:r>
            <w:r>
              <w:rPr>
                <w:rFonts w:hint="eastAsia" w:ascii="宋体" w:hAnsi="宋体" w:eastAsia="宋体" w:cs="宋体"/>
                <w:sz w:val="21"/>
                <w:szCs w:val="21"/>
              </w:rPr>
              <w:t>的重要环境因素为：日常办公过程中固体废弃物排放、火灾事故的发生。</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主要控制措施：生活垃圾分类存放、办公危废交耗材供应公司，垃圾由环卫部门拉走，加强日常培训，日常检查，配备消防器材等措施。</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具体控制措施见E8.1审核记录。</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242"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合规义务、法律法规和其他要求</w:t>
            </w:r>
          </w:p>
        </w:tc>
        <w:tc>
          <w:tcPr>
            <w:tcW w:w="127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E6.1.3 </w:t>
            </w:r>
          </w:p>
        </w:tc>
        <w:tc>
          <w:tcPr>
            <w:tcW w:w="10606" w:type="dxa"/>
            <w:vAlign w:val="center"/>
          </w:tcPr>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编制了《法律法规和其他要求控制程序》，对法律法规的识别更新和应用进行规定，</w:t>
            </w:r>
            <w:r>
              <w:rPr>
                <w:rFonts w:hint="eastAsia" w:ascii="宋体" w:hAnsi="宋体" w:eastAsia="宋体" w:cs="宋体"/>
                <w:sz w:val="21"/>
                <w:szCs w:val="21"/>
                <w:lang w:val="en-US" w:eastAsia="zh-CN"/>
              </w:rPr>
              <w:t>质量管理部</w:t>
            </w:r>
            <w:r>
              <w:rPr>
                <w:rFonts w:hint="eastAsia" w:ascii="宋体" w:hAnsi="宋体" w:eastAsia="宋体" w:cs="宋体"/>
                <w:sz w:val="21"/>
                <w:szCs w:val="21"/>
              </w:rPr>
              <w:t>为主控部门。</w:t>
            </w:r>
          </w:p>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sz w:val="21"/>
                <w:szCs w:val="21"/>
              </w:rPr>
              <w:t>部门人员介绍：主要通过网络、报纸杂志电视等新闻媒体、购买、上级下发等多种形式收集本公司适用的法律法规。提供了《适用的法律法规及其他要求一览表》，识别了企业相关环境法律法规、标准和其他要求。</w:t>
            </w:r>
          </w:p>
          <w:p>
            <w:pPr>
              <w:spacing w:before="120" w:line="360" w:lineRule="auto"/>
              <w:rPr>
                <w:rFonts w:hint="eastAsia" w:ascii="宋体" w:hAnsi="宋体" w:eastAsia="宋体" w:cs="宋体"/>
                <w:sz w:val="21"/>
                <w:szCs w:val="21"/>
              </w:rPr>
            </w:pPr>
            <w:r>
              <w:rPr>
                <w:rFonts w:hint="eastAsia" w:ascii="宋体" w:hAnsi="宋体" w:eastAsia="宋体" w:cs="宋体"/>
                <w:b w:val="0"/>
                <w:bCs/>
                <w:sz w:val="21"/>
                <w:szCs w:val="21"/>
                <w:lang w:val="en-US" w:eastAsia="zh-CN"/>
              </w:rPr>
              <w:t xml:space="preserve"> </w:t>
            </w:r>
            <w:r>
              <w:rPr>
                <w:rFonts w:hint="eastAsia" w:ascii="宋体" w:hAnsi="宋体" w:eastAsia="宋体" w:cs="宋体"/>
                <w:b/>
                <w:bCs w:val="0"/>
                <w:sz w:val="21"/>
                <w:szCs w:val="21"/>
              </w:rPr>
              <w:t>提供的《适用的法律法规、标准及其他要求清单》中收录的“中华人民共和国固体废物污染环境防治法”为过期失效版</w:t>
            </w:r>
            <w:r>
              <w:rPr>
                <w:rFonts w:hint="eastAsia" w:ascii="宋体" w:hAnsi="宋体" w:cs="宋体"/>
                <w:b/>
                <w:bCs w:val="0"/>
                <w:sz w:val="21"/>
                <w:szCs w:val="21"/>
                <w:lang w:eastAsia="zh-CN"/>
              </w:rPr>
              <w:t>。</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已识别法律法规及其它要求的适用条款，并与环境因素进行了对应。</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公司法律、法规及其它要求都有现行文本，大部分为电子版本。各部门如有需要到</w:t>
            </w:r>
            <w:r>
              <w:rPr>
                <w:rFonts w:hint="eastAsia" w:ascii="宋体" w:hAnsi="宋体" w:eastAsia="宋体" w:cs="宋体"/>
                <w:sz w:val="21"/>
                <w:szCs w:val="21"/>
                <w:lang w:val="en-US" w:eastAsia="zh-CN"/>
              </w:rPr>
              <w:t>质量管理部</w:t>
            </w:r>
            <w:r>
              <w:rPr>
                <w:rFonts w:hint="eastAsia" w:ascii="宋体" w:hAnsi="宋体" w:eastAsia="宋体" w:cs="宋体"/>
                <w:sz w:val="21"/>
                <w:szCs w:val="21"/>
              </w:rPr>
              <w:t>查阅。公司通过培训、会议等方式向有关员工传达法律、法规及其它要求的相关要求。</w:t>
            </w:r>
          </w:p>
        </w:tc>
        <w:tc>
          <w:tcPr>
            <w:tcW w:w="1585"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default" w:ascii="宋体" w:hAnsi="宋体" w:eastAsia="宋体" w:cs="宋体"/>
                <w:sz w:val="21"/>
                <w:szCs w:val="21"/>
                <w:lang w:val="en-US" w:eastAsia="zh-CN"/>
              </w:rPr>
            </w:pPr>
            <w:r>
              <w:rPr>
                <w:rFonts w:hint="eastAsia" w:ascii="宋体" w:hAnsi="宋体" w:cs="宋体"/>
                <w:sz w:val="21"/>
                <w:szCs w:val="21"/>
                <w:lang w:val="en-US" w:eastAsia="zh-CN"/>
              </w:rPr>
              <w:t xml:space="preserve">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24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措施的策划</w:t>
            </w:r>
          </w:p>
        </w:tc>
        <w:tc>
          <w:tcPr>
            <w:tcW w:w="127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E6.1.4</w:t>
            </w:r>
          </w:p>
        </w:tc>
        <w:tc>
          <w:tcPr>
            <w:tcW w:w="10606"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公司根据环境因素风险辨识结果，分别制定出《重要环境因素清单》，清单内明确了控制措施计划，通过具体的措施进行有效控制：目标、管理方案、管理制度运行控制、应急预案、日常检查、日常培训。</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每年对公司适用的合规义务进行识别更新并定期评价、检查。</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经组织评价，组织策划的措施基本能够满足风险和机遇应对需要，能够与识别的风险和机遇对产品符合性的潜在影响相适应，基本满足标准要求。</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6" w:hRule="atLeast"/>
        </w:trPr>
        <w:tc>
          <w:tcPr>
            <w:tcW w:w="124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合规性评价</w:t>
            </w:r>
          </w:p>
        </w:tc>
        <w:tc>
          <w:tcPr>
            <w:tcW w:w="1276" w:type="dxa"/>
            <w:vAlign w:val="center"/>
          </w:tcPr>
          <w:p>
            <w:pPr>
              <w:spacing w:line="360" w:lineRule="auto"/>
              <w:rPr>
                <w:rFonts w:hint="eastAsia" w:ascii="宋体" w:hAnsi="宋体" w:eastAsia="宋体" w:cs="宋体"/>
                <w:bCs/>
                <w:sz w:val="21"/>
                <w:szCs w:val="21"/>
              </w:rPr>
            </w:pPr>
            <w:r>
              <w:rPr>
                <w:rFonts w:hint="eastAsia" w:ascii="宋体" w:hAnsi="宋体" w:eastAsia="宋体" w:cs="宋体"/>
                <w:sz w:val="21"/>
                <w:szCs w:val="21"/>
              </w:rPr>
              <w:t>E:9.1.2</w:t>
            </w:r>
            <w:r>
              <w:rPr>
                <w:rFonts w:hint="eastAsia" w:ascii="宋体" w:hAnsi="宋体" w:eastAsia="宋体" w:cs="宋体"/>
                <w:bCs/>
                <w:sz w:val="21"/>
                <w:szCs w:val="21"/>
              </w:rPr>
              <w:t xml:space="preserve"> </w:t>
            </w:r>
          </w:p>
        </w:tc>
        <w:tc>
          <w:tcPr>
            <w:tcW w:w="10606" w:type="dxa"/>
            <w:vAlign w:val="center"/>
          </w:tcPr>
          <w:p>
            <w:pPr>
              <w:snapToGrid w:val="0"/>
              <w:spacing w:line="360" w:lineRule="auto"/>
              <w:ind w:right="392" w:firstLine="420" w:firstLineChars="200"/>
              <w:rPr>
                <w:rFonts w:hint="eastAsia" w:ascii="宋体" w:hAnsi="宋体" w:eastAsia="宋体" w:cs="宋体"/>
                <w:sz w:val="21"/>
                <w:szCs w:val="21"/>
              </w:rPr>
            </w:pPr>
            <w:r>
              <w:rPr>
                <w:rFonts w:hint="eastAsia" w:ascii="宋体" w:hAnsi="宋体" w:eastAsia="宋体" w:cs="宋体"/>
                <w:sz w:val="21"/>
                <w:szCs w:val="21"/>
              </w:rPr>
              <w:t>编制了《合规性评价程序》，其中规定了对本公司法规及其他要求的合规性评价的要求。</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现场提供了《法律、法规和其他要求符合性评价记录》、《合规性评价报告》,对公司适用的法律法规及其他要求的遵守情况进行了评价，评价结论：评价结果说明我公司对适用的法律、法规均已遵守。自公司建立管理体系以来，未发生任何破坏环境的现象；未发生任何顾客、周边居民因环境、安全事故而投诉的现象。</w:t>
            </w:r>
          </w:p>
          <w:p>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评价人：</w:t>
            </w:r>
            <w:r>
              <w:rPr>
                <w:rFonts w:hint="eastAsia" w:ascii="宋体" w:hAnsi="宋体" w:eastAsia="宋体" w:cs="宋体"/>
                <w:kern w:val="1"/>
                <w:sz w:val="21"/>
                <w:szCs w:val="21"/>
              </w:rPr>
              <w:t>郭世辉（总经理）</w:t>
            </w:r>
            <w:r>
              <w:rPr>
                <w:rFonts w:hint="eastAsia" w:ascii="宋体" w:hAnsi="宋体" w:eastAsia="宋体" w:cs="宋体"/>
                <w:kern w:val="1"/>
                <w:sz w:val="21"/>
                <w:szCs w:val="21"/>
                <w:lang w:eastAsia="zh-CN"/>
              </w:rPr>
              <w:t>、</w:t>
            </w:r>
            <w:r>
              <w:rPr>
                <w:rFonts w:hint="eastAsia" w:ascii="宋体" w:hAnsi="宋体" w:eastAsia="宋体" w:cs="宋体"/>
                <w:kern w:val="1"/>
                <w:sz w:val="21"/>
                <w:szCs w:val="21"/>
              </w:rPr>
              <w:t>管理者代表及各部门负责人</w:t>
            </w:r>
            <w:r>
              <w:rPr>
                <w:rFonts w:hint="eastAsia" w:ascii="宋体" w:hAnsi="宋体" w:eastAsia="宋体" w:cs="宋体"/>
                <w:sz w:val="21"/>
                <w:szCs w:val="21"/>
              </w:rPr>
              <w:t>等，</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评价日期：20</w:t>
            </w:r>
            <w:r>
              <w:rPr>
                <w:rFonts w:hint="eastAsia" w:ascii="宋体" w:hAnsi="宋体" w:cs="宋体"/>
                <w:sz w:val="21"/>
                <w:szCs w:val="21"/>
                <w:lang w:val="en-US" w:eastAsia="zh-CN"/>
              </w:rPr>
              <w:t>20</w:t>
            </w:r>
            <w:r>
              <w:rPr>
                <w:rFonts w:hint="eastAsia" w:ascii="宋体" w:hAnsi="宋体" w:eastAsia="宋体" w:cs="宋体"/>
                <w:sz w:val="21"/>
                <w:szCs w:val="21"/>
              </w:rPr>
              <w:t>年</w:t>
            </w:r>
            <w:r>
              <w:rPr>
                <w:rFonts w:hint="eastAsia" w:ascii="宋体" w:hAnsi="宋体" w:eastAsia="宋体" w:cs="宋体"/>
                <w:sz w:val="21"/>
                <w:szCs w:val="21"/>
                <w:lang w:val="en-US" w:eastAsia="zh-CN"/>
              </w:rPr>
              <w:t>3</w:t>
            </w:r>
            <w:r>
              <w:rPr>
                <w:rFonts w:hint="eastAsia" w:ascii="宋体" w:hAnsi="宋体" w:eastAsia="宋体" w:cs="宋体"/>
                <w:sz w:val="21"/>
                <w:szCs w:val="21"/>
              </w:rPr>
              <w:t>月</w:t>
            </w:r>
            <w:r>
              <w:rPr>
                <w:rFonts w:hint="eastAsia" w:ascii="宋体" w:hAnsi="宋体" w:eastAsia="宋体" w:cs="宋体"/>
                <w:sz w:val="21"/>
                <w:szCs w:val="21"/>
                <w:lang w:val="en-US" w:eastAsia="zh-CN"/>
              </w:rPr>
              <w:t>5</w:t>
            </w:r>
            <w:r>
              <w:rPr>
                <w:rFonts w:hint="eastAsia" w:ascii="宋体" w:hAnsi="宋体" w:eastAsia="宋体" w:cs="宋体"/>
                <w:sz w:val="21"/>
                <w:szCs w:val="21"/>
              </w:rPr>
              <w:t>日。</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部门已对有关法规及其他要求进行识别、评价，满足要求。</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124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监视、测量、分析和评价</w:t>
            </w:r>
          </w:p>
        </w:tc>
        <w:tc>
          <w:tcPr>
            <w:tcW w:w="1276" w:type="dxa"/>
            <w:vAlign w:val="center"/>
          </w:tcPr>
          <w:p>
            <w:pPr>
              <w:tabs>
                <w:tab w:val="left" w:pos="6597"/>
              </w:tabs>
              <w:spacing w:line="360" w:lineRule="auto"/>
              <w:rPr>
                <w:rFonts w:hint="eastAsia" w:ascii="宋体" w:hAnsi="宋体" w:eastAsia="宋体" w:cs="宋体"/>
                <w:bCs/>
                <w:sz w:val="21"/>
                <w:szCs w:val="21"/>
              </w:rPr>
            </w:pPr>
            <w:r>
              <w:rPr>
                <w:rFonts w:hint="eastAsia" w:ascii="宋体" w:hAnsi="宋体" w:eastAsia="宋体" w:cs="宋体"/>
                <w:sz w:val="21"/>
                <w:szCs w:val="21"/>
              </w:rPr>
              <w:t>E：9.1.1</w:t>
            </w:r>
            <w:r>
              <w:rPr>
                <w:rFonts w:hint="eastAsia" w:ascii="宋体" w:hAnsi="宋体" w:eastAsia="宋体" w:cs="宋体"/>
                <w:bCs/>
                <w:sz w:val="21"/>
                <w:szCs w:val="21"/>
              </w:rPr>
              <w:t xml:space="preserve"> </w:t>
            </w:r>
          </w:p>
        </w:tc>
        <w:tc>
          <w:tcPr>
            <w:tcW w:w="10606" w:type="dxa"/>
            <w:vAlign w:val="center"/>
          </w:tcPr>
          <w:p>
            <w:pPr>
              <w:autoSpaceDE w:val="0"/>
              <w:autoSpaceDN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管理体系目标考核按季度进行，抽查到</w:t>
            </w:r>
            <w:r>
              <w:rPr>
                <w:rFonts w:hint="eastAsia" w:ascii="宋体" w:hAnsi="宋体" w:eastAsia="宋体" w:cs="宋体"/>
                <w:sz w:val="21"/>
                <w:szCs w:val="21"/>
                <w:lang w:val="en-US" w:eastAsia="zh-CN"/>
              </w:rPr>
              <w:t>经</w:t>
            </w:r>
            <w:r>
              <w:rPr>
                <w:rFonts w:hint="eastAsia" w:ascii="宋体" w:hAnsi="宋体" w:cs="宋体"/>
                <w:sz w:val="21"/>
                <w:szCs w:val="21"/>
                <w:lang w:val="en-US" w:eastAsia="zh-CN"/>
              </w:rPr>
              <w:t>2019.9-2020.9</w:t>
            </w:r>
            <w:r>
              <w:rPr>
                <w:rFonts w:hint="eastAsia" w:ascii="宋体" w:hAnsi="宋体" w:eastAsia="宋体" w:cs="宋体"/>
                <w:sz w:val="21"/>
                <w:szCs w:val="21"/>
              </w:rPr>
              <w:t>目标考核记录，经考核公司和分解各部门管理目标均已完成。</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查到《</w:t>
            </w:r>
            <w:r>
              <w:rPr>
                <w:rFonts w:hint="eastAsia" w:ascii="宋体" w:hAnsi="宋体" w:eastAsia="宋体" w:cs="宋体"/>
                <w:sz w:val="21"/>
                <w:szCs w:val="21"/>
                <w:lang w:val="en-US" w:eastAsia="zh-CN"/>
              </w:rPr>
              <w:t>日常</w:t>
            </w:r>
            <w:r>
              <w:rPr>
                <w:rFonts w:hint="eastAsia" w:ascii="宋体" w:hAnsi="宋体" w:eastAsia="宋体" w:cs="宋体"/>
                <w:sz w:val="21"/>
                <w:szCs w:val="21"/>
              </w:rPr>
              <w:t>环境检查</w:t>
            </w:r>
            <w:r>
              <w:rPr>
                <w:rFonts w:hint="eastAsia" w:ascii="宋体" w:hAnsi="宋体" w:eastAsia="宋体" w:cs="宋体"/>
                <w:sz w:val="21"/>
                <w:szCs w:val="21"/>
                <w:lang w:val="en-US" w:eastAsia="zh-CN"/>
              </w:rPr>
              <w:t>表</w:t>
            </w:r>
            <w:r>
              <w:rPr>
                <w:rFonts w:hint="eastAsia" w:ascii="宋体" w:hAnsi="宋体" w:eastAsia="宋体" w:cs="宋体"/>
                <w:sz w:val="21"/>
                <w:szCs w:val="21"/>
              </w:rPr>
              <w:t>》，检查项目内容涉及：</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加工/办公/生活区域卫生是否清理干净，危废收集情况；操作工是否配戴劳保用品情况；设备操作工是否按设备操作规程作业；消防设施是否完好，消防通道是否畅通</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噪声排放、环保设施运行</w:t>
            </w:r>
            <w:r>
              <w:rPr>
                <w:rFonts w:hint="eastAsia" w:ascii="宋体" w:hAnsi="宋体" w:eastAsia="宋体" w:cs="宋体"/>
                <w:sz w:val="21"/>
                <w:szCs w:val="21"/>
              </w:rPr>
              <w:t>等。</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抽查20</w:t>
            </w:r>
            <w:r>
              <w:rPr>
                <w:rFonts w:hint="eastAsia" w:ascii="宋体" w:hAnsi="宋体" w:cs="宋体"/>
                <w:sz w:val="21"/>
                <w:szCs w:val="21"/>
                <w:lang w:val="en-US" w:eastAsia="zh-CN"/>
              </w:rPr>
              <w:t>20</w:t>
            </w:r>
            <w:r>
              <w:rPr>
                <w:rFonts w:hint="eastAsia" w:ascii="宋体" w:hAnsi="宋体" w:eastAsia="宋体" w:cs="宋体"/>
                <w:sz w:val="21"/>
                <w:szCs w:val="21"/>
              </w:rPr>
              <w:t>.</w:t>
            </w:r>
            <w:r>
              <w:rPr>
                <w:rFonts w:hint="eastAsia" w:ascii="宋体" w:hAnsi="宋体" w:cs="宋体"/>
                <w:sz w:val="21"/>
                <w:szCs w:val="21"/>
                <w:lang w:val="en-US" w:eastAsia="zh-CN"/>
              </w:rPr>
              <w:t>4</w:t>
            </w:r>
            <w:r>
              <w:rPr>
                <w:rFonts w:hint="eastAsia" w:ascii="宋体" w:hAnsi="宋体" w:eastAsia="宋体" w:cs="宋体"/>
                <w:sz w:val="21"/>
                <w:szCs w:val="21"/>
              </w:rPr>
              <w:t>.</w:t>
            </w:r>
            <w:r>
              <w:rPr>
                <w:rFonts w:hint="eastAsia" w:ascii="宋体" w:hAnsi="宋体" w:cs="宋体"/>
                <w:sz w:val="21"/>
                <w:szCs w:val="21"/>
                <w:lang w:val="en-US" w:eastAsia="zh-CN"/>
              </w:rPr>
              <w:t>15</w:t>
            </w:r>
            <w:r>
              <w:rPr>
                <w:rFonts w:hint="eastAsia" w:ascii="宋体" w:hAnsi="宋体" w:eastAsia="宋体" w:cs="宋体"/>
                <w:sz w:val="21"/>
                <w:szCs w:val="21"/>
              </w:rPr>
              <w:t>日、20</w:t>
            </w:r>
            <w:r>
              <w:rPr>
                <w:rFonts w:hint="eastAsia" w:ascii="宋体" w:hAnsi="宋体" w:cs="宋体"/>
                <w:sz w:val="21"/>
                <w:szCs w:val="21"/>
                <w:lang w:val="en-US" w:eastAsia="zh-CN"/>
              </w:rPr>
              <w:t>20</w:t>
            </w:r>
            <w:r>
              <w:rPr>
                <w:rFonts w:hint="eastAsia" w:ascii="宋体" w:hAnsi="宋体" w:eastAsia="宋体" w:cs="宋体"/>
                <w:sz w:val="21"/>
                <w:szCs w:val="21"/>
              </w:rPr>
              <w:t>.6.</w:t>
            </w:r>
            <w:r>
              <w:rPr>
                <w:rFonts w:hint="eastAsia" w:ascii="宋体" w:hAnsi="宋体" w:cs="宋体"/>
                <w:sz w:val="21"/>
                <w:szCs w:val="21"/>
                <w:lang w:val="en-US" w:eastAsia="zh-CN"/>
              </w:rPr>
              <w:t>15</w:t>
            </w:r>
            <w:r>
              <w:rPr>
                <w:rFonts w:hint="eastAsia" w:ascii="宋体" w:hAnsi="宋体" w:eastAsia="宋体" w:cs="宋体"/>
                <w:sz w:val="21"/>
                <w:szCs w:val="21"/>
              </w:rPr>
              <w:t>日、20</w:t>
            </w:r>
            <w:r>
              <w:rPr>
                <w:rFonts w:hint="eastAsia" w:ascii="宋体" w:hAnsi="宋体" w:cs="宋体"/>
                <w:sz w:val="21"/>
                <w:szCs w:val="21"/>
                <w:lang w:val="en-US" w:eastAsia="zh-CN"/>
              </w:rPr>
              <w:t>20</w:t>
            </w:r>
            <w:r>
              <w:rPr>
                <w:rFonts w:hint="eastAsia" w:ascii="宋体" w:hAnsi="宋体" w:eastAsia="宋体" w:cs="宋体"/>
                <w:sz w:val="21"/>
                <w:szCs w:val="21"/>
              </w:rPr>
              <w:t>.</w:t>
            </w:r>
            <w:r>
              <w:rPr>
                <w:rFonts w:hint="eastAsia" w:ascii="宋体" w:hAnsi="宋体" w:cs="宋体"/>
                <w:sz w:val="21"/>
                <w:szCs w:val="21"/>
                <w:lang w:val="en-US" w:eastAsia="zh-CN"/>
              </w:rPr>
              <w:t>11</w:t>
            </w:r>
            <w:r>
              <w:rPr>
                <w:rFonts w:hint="eastAsia" w:ascii="宋体" w:hAnsi="宋体" w:eastAsia="宋体" w:cs="宋体"/>
                <w:sz w:val="21"/>
                <w:szCs w:val="21"/>
              </w:rPr>
              <w:t>.16日检查结果均正常，检查人</w:t>
            </w:r>
            <w:r>
              <w:rPr>
                <w:rFonts w:hint="eastAsia" w:ascii="宋体" w:hAnsi="宋体" w:eastAsia="宋体" w:cs="宋体"/>
                <w:sz w:val="21"/>
                <w:szCs w:val="21"/>
                <w:lang w:val="en-US" w:eastAsia="zh-CN"/>
              </w:rPr>
              <w:t>王鲜梅</w:t>
            </w:r>
            <w:r>
              <w:rPr>
                <w:rFonts w:hint="eastAsia" w:ascii="宋体" w:hAnsi="宋体" w:eastAsia="宋体" w:cs="宋体"/>
                <w:sz w:val="21"/>
                <w:szCs w:val="21"/>
              </w:rPr>
              <w:t>。</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查到“消防安全检查表”，检查项目内容涉及：</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消防安全制度的建立、消防安全管理、建筑物消防管理、建筑消防设施管理（灭火器、报警系统）、现场管理、火灾隐患的整改情况等。</w:t>
            </w:r>
          </w:p>
          <w:p>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未有上级主管部门的监督检查。</w:t>
            </w:r>
          </w:p>
          <w:p>
            <w:pPr>
              <w:spacing w:line="360" w:lineRule="auto"/>
              <w:rPr>
                <w:rFonts w:hint="eastAsia"/>
                <w:sz w:val="21"/>
                <w:szCs w:val="21"/>
                <w:lang w:val="en-US" w:eastAsia="zh-CN"/>
              </w:rPr>
            </w:pPr>
            <w:r>
              <w:rPr>
                <w:rFonts w:hint="eastAsia"/>
                <w:sz w:val="21"/>
                <w:szCs w:val="21"/>
              </w:rPr>
              <w:t>提供了</w:t>
            </w:r>
            <w:r>
              <w:rPr>
                <w:rFonts w:hint="eastAsia"/>
                <w:sz w:val="21"/>
                <w:szCs w:val="21"/>
                <w:lang w:val="en-US" w:eastAsia="zh-CN"/>
              </w:rPr>
              <w:t>2020.12.7陕西锦润环保检测废水监测报告，结论：此次水质监测因子pH值范围、悬浮物、化学需氧量及动植结论1物油类的监测结果日均值均满足《污水综合排放标准》 GB 8978-1996表4三级标准限值的要求;氨氮监测结果日均值满足《污水排入城镇下水道》 GB/T 31962-2015表1B级标准限值的要求。</w:t>
            </w:r>
          </w:p>
          <w:p>
            <w:pPr>
              <w:spacing w:line="360" w:lineRule="auto"/>
              <w:rPr>
                <w:rFonts w:hint="eastAsia" w:ascii="宋体" w:hAnsi="宋体" w:eastAsia="宋体" w:cs="宋体"/>
                <w:sz w:val="21"/>
                <w:szCs w:val="21"/>
              </w:rPr>
            </w:pPr>
            <w:r>
              <w:rPr>
                <w:rFonts w:hint="eastAsia" w:ascii="宋体" w:hAnsi="宋体" w:eastAsia="宋体" w:cs="宋体"/>
                <w:sz w:val="21"/>
                <w:szCs w:val="21"/>
              </w:rPr>
              <w:t>公司经营能遵守相关的法律法规，没有违反环境法律法规现象，近期没有发生环境事故。</w:t>
            </w:r>
          </w:p>
        </w:tc>
        <w:tc>
          <w:tcPr>
            <w:tcW w:w="1585"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trPr>
        <w:tc>
          <w:tcPr>
            <w:tcW w:w="124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运行策划和控制</w:t>
            </w:r>
          </w:p>
        </w:tc>
        <w:tc>
          <w:tcPr>
            <w:tcW w:w="1276" w:type="dxa"/>
            <w:vAlign w:val="center"/>
          </w:tcPr>
          <w:p>
            <w:pPr>
              <w:spacing w:line="360" w:lineRule="auto"/>
              <w:rPr>
                <w:rFonts w:hint="eastAsia" w:ascii="宋体" w:hAnsi="宋体" w:eastAsia="宋体" w:cs="宋体"/>
                <w:sz w:val="21"/>
                <w:szCs w:val="21"/>
              </w:rPr>
            </w:pPr>
            <w:r>
              <w:rPr>
                <w:rFonts w:hint="eastAsia" w:ascii="宋体" w:hAnsi="宋体" w:eastAsia="宋体" w:cs="宋体"/>
                <w:bCs/>
                <w:sz w:val="21"/>
                <w:szCs w:val="21"/>
              </w:rPr>
              <w:t>E</w:t>
            </w:r>
            <w:r>
              <w:rPr>
                <w:rFonts w:hint="eastAsia" w:ascii="宋体" w:hAnsi="宋体" w:eastAsia="宋体" w:cs="宋体"/>
                <w:sz w:val="21"/>
                <w:szCs w:val="21"/>
              </w:rPr>
              <w:t xml:space="preserve">8.1 </w:t>
            </w:r>
          </w:p>
          <w:p>
            <w:pPr>
              <w:spacing w:line="360" w:lineRule="auto"/>
              <w:rPr>
                <w:rFonts w:hint="eastAsia" w:ascii="宋体" w:hAnsi="宋体" w:eastAsia="宋体" w:cs="宋体"/>
                <w:sz w:val="21"/>
                <w:szCs w:val="21"/>
              </w:rPr>
            </w:pPr>
          </w:p>
        </w:tc>
        <w:tc>
          <w:tcPr>
            <w:tcW w:w="10606"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公司制定并实施了运行控制程序、废弃物控制程序、噪声控制程序、消防控制程序、、资源能源控制程序、应急准备和响应控制程序、生产生活固废垃圾处理/利用作业指导书、应急预案等</w:t>
            </w:r>
            <w:r>
              <w:rPr>
                <w:rFonts w:hint="eastAsia" w:ascii="宋体" w:hAnsi="宋体" w:eastAsia="宋体" w:cs="宋体"/>
                <w:sz w:val="21"/>
                <w:szCs w:val="21"/>
                <w:lang w:val="en-US" w:eastAsia="zh-CN"/>
              </w:rPr>
              <w:t>环境</w:t>
            </w:r>
            <w:r>
              <w:rPr>
                <w:rFonts w:hint="eastAsia" w:ascii="宋体" w:hAnsi="宋体" w:eastAsia="宋体" w:cs="宋体"/>
                <w:sz w:val="21"/>
                <w:szCs w:val="21"/>
              </w:rPr>
              <w:t>控制程序和管理制度。</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企业位于</w:t>
            </w:r>
            <w:bookmarkStart w:id="3" w:name="生产地址"/>
            <w:r>
              <w:rPr>
                <w:rFonts w:hint="eastAsia" w:ascii="宋体" w:hAnsi="宋体" w:eastAsia="宋体" w:cs="宋体"/>
                <w:sz w:val="21"/>
                <w:szCs w:val="21"/>
              </w:rPr>
              <w:t>陕西省宝鸡市岐山县五丈原镇西星村</w:t>
            </w:r>
            <w:bookmarkEnd w:id="3"/>
            <w:r>
              <w:rPr>
                <w:rFonts w:hint="eastAsia" w:ascii="宋体" w:hAnsi="宋体" w:eastAsia="宋体" w:cs="宋体"/>
                <w:sz w:val="21"/>
                <w:szCs w:val="21"/>
              </w:rPr>
              <w:t>，公司四周是其他企业或居民，无重大敏感区，根据体系运行的需要设置了车间、仓库、办公楼。</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提供201</w:t>
            </w:r>
            <w:r>
              <w:rPr>
                <w:rFonts w:hint="eastAsia" w:ascii="宋体" w:hAnsi="宋体" w:eastAsia="宋体" w:cs="宋体"/>
                <w:sz w:val="21"/>
                <w:szCs w:val="21"/>
                <w:lang w:val="en-US" w:eastAsia="zh-CN"/>
              </w:rPr>
              <w:t>8</w:t>
            </w:r>
            <w:r>
              <w:rPr>
                <w:rFonts w:hint="eastAsia" w:ascii="宋体" w:hAnsi="宋体" w:eastAsia="宋体" w:cs="宋体"/>
                <w:sz w:val="21"/>
                <w:szCs w:val="21"/>
              </w:rPr>
              <w:t>年</w:t>
            </w:r>
            <w:r>
              <w:rPr>
                <w:rFonts w:hint="eastAsia" w:ascii="宋体" w:hAnsi="宋体" w:eastAsia="宋体" w:cs="宋体"/>
                <w:sz w:val="21"/>
                <w:szCs w:val="21"/>
                <w:lang w:val="en-US" w:eastAsia="zh-CN"/>
              </w:rPr>
              <w:t>6</w:t>
            </w:r>
            <w:r>
              <w:rPr>
                <w:rFonts w:hint="eastAsia" w:ascii="宋体" w:hAnsi="宋体" w:eastAsia="宋体" w:cs="宋体"/>
                <w:sz w:val="21"/>
                <w:szCs w:val="21"/>
              </w:rPr>
              <w:t>月公司</w:t>
            </w:r>
            <w:r>
              <w:rPr>
                <w:rFonts w:hint="eastAsia" w:ascii="宋体" w:hAnsi="宋体" w:eastAsia="宋体" w:cs="宋体"/>
                <w:sz w:val="21"/>
                <w:szCs w:val="21"/>
                <w:lang w:val="en-US" w:eastAsia="zh-CN"/>
              </w:rPr>
              <w:t>汽车变速器零部件加工</w:t>
            </w:r>
            <w:r>
              <w:rPr>
                <w:rFonts w:hint="eastAsia" w:ascii="宋体" w:hAnsi="宋体" w:eastAsia="宋体" w:cs="宋体"/>
                <w:sz w:val="21"/>
                <w:szCs w:val="21"/>
              </w:rPr>
              <w:t>项目环境影响</w:t>
            </w:r>
            <w:r>
              <w:rPr>
                <w:rFonts w:hint="eastAsia" w:ascii="宋体" w:hAnsi="宋体" w:eastAsia="宋体" w:cs="宋体"/>
                <w:sz w:val="21"/>
                <w:szCs w:val="21"/>
                <w:lang w:val="en-US" w:eastAsia="zh-CN"/>
              </w:rPr>
              <w:t>评估</w:t>
            </w:r>
            <w:r>
              <w:rPr>
                <w:rFonts w:hint="eastAsia" w:ascii="宋体" w:hAnsi="宋体" w:eastAsia="宋体" w:cs="宋体"/>
                <w:sz w:val="21"/>
                <w:szCs w:val="21"/>
              </w:rPr>
              <w:t>报告表，</w:t>
            </w:r>
            <w:r>
              <w:rPr>
                <w:rFonts w:hint="eastAsia" w:ascii="宋体" w:hAnsi="宋体" w:eastAsia="宋体" w:cs="宋体"/>
                <w:sz w:val="21"/>
                <w:szCs w:val="21"/>
                <w:lang w:val="en-US" w:eastAsia="zh-CN"/>
              </w:rPr>
              <w:t>宝鸡市环境保护局关于岐山县恒通机械制造厂汽车变速器零部件加工</w:t>
            </w:r>
            <w:r>
              <w:rPr>
                <w:rFonts w:hint="eastAsia" w:ascii="宋体" w:hAnsi="宋体" w:eastAsia="宋体" w:cs="宋体"/>
                <w:sz w:val="21"/>
                <w:szCs w:val="21"/>
              </w:rPr>
              <w:t>项目环境影响</w:t>
            </w:r>
            <w:r>
              <w:rPr>
                <w:rFonts w:hint="eastAsia" w:ascii="宋体" w:hAnsi="宋体" w:eastAsia="宋体" w:cs="宋体"/>
                <w:sz w:val="21"/>
                <w:szCs w:val="21"/>
                <w:lang w:val="en-US" w:eastAsia="zh-CN"/>
              </w:rPr>
              <w:t>现状评估表备案意见的函，宝环岐函（2018）132号</w:t>
            </w:r>
            <w:r>
              <w:rPr>
                <w:rFonts w:hint="eastAsia" w:ascii="宋体" w:hAnsi="宋体" w:eastAsia="宋体" w:cs="宋体"/>
                <w:sz w:val="21"/>
                <w:szCs w:val="21"/>
              </w:rPr>
              <w:t>，企业环评已经过验收。</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质检部</w:t>
            </w:r>
            <w:r>
              <w:rPr>
                <w:rFonts w:hint="eastAsia" w:ascii="宋体" w:hAnsi="宋体" w:eastAsia="宋体" w:cs="宋体"/>
                <w:sz w:val="21"/>
                <w:szCs w:val="21"/>
              </w:rPr>
              <w:t>定期组织环保培训，员工具备了基本的环保意识，见7.3条款审核记录。</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按公司要求人走关灯，办公室电脑要求人走后电源切断。</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办公内主要是电的使用，电器有漏电保护器，经常对电路、电源进行检查，没有露电现象发生。</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办公室垃圾主要包含可回收垃圾、硒鼓、废纸。公司配置了垃圾箱，办公室统一处理。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对可回收的固体废弃物，一部分由厂家回收，厂家不回收的公司统一回收再利用或由物资回收公司处理。不可回收的废弃物由公司办公室统一处理，各部门不得单独处理。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为满足环境和职业健康安全体系的运行，公司投入了环保及安全资金，主要是购买消防设施、环保设施、劳保用品、社保等，运行至今支出约</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3</w:t>
            </w:r>
            <w:r>
              <w:rPr>
                <w:rFonts w:hint="eastAsia" w:ascii="宋体" w:hAnsi="宋体" w:eastAsia="宋体" w:cs="宋体"/>
                <w:sz w:val="21"/>
                <w:szCs w:val="21"/>
              </w:rPr>
              <w:t>万元。</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color w:val="000000" w:themeColor="text1"/>
                <w:sz w:val="21"/>
                <w:szCs w:val="21"/>
              </w:rPr>
              <w:t>查到20</w:t>
            </w:r>
            <w:r>
              <w:rPr>
                <w:rFonts w:hint="eastAsia" w:ascii="宋体" w:hAnsi="宋体" w:cs="宋体"/>
                <w:color w:val="000000" w:themeColor="text1"/>
                <w:sz w:val="21"/>
                <w:szCs w:val="21"/>
                <w:lang w:val="en-US" w:eastAsia="zh-CN"/>
              </w:rPr>
              <w:t>20</w:t>
            </w:r>
            <w:r>
              <w:rPr>
                <w:rFonts w:hint="eastAsia" w:ascii="宋体" w:hAnsi="宋体" w:eastAsia="宋体" w:cs="宋体"/>
                <w:color w:val="000000" w:themeColor="text1"/>
                <w:sz w:val="21"/>
                <w:szCs w:val="21"/>
                <w:lang w:val="en-US" w:eastAsia="zh-CN"/>
              </w:rPr>
              <w:t>年</w:t>
            </w:r>
            <w:r>
              <w:rPr>
                <w:rFonts w:hint="eastAsia" w:ascii="宋体" w:hAnsi="宋体" w:eastAsia="宋体" w:cs="宋体"/>
                <w:color w:val="000000" w:themeColor="text1"/>
                <w:sz w:val="21"/>
                <w:szCs w:val="21"/>
              </w:rPr>
              <w:t>“劳保用品领用记录表”，</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办公纸张尽量采取双面打印，人走灯灭，定期检查水管跑冒滴漏。</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现场巡视办公区域配备了消防栓和灭火器，状况正常。</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部门运行控制基本符合要求。</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24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应急准备和响应</w:t>
            </w:r>
          </w:p>
        </w:tc>
        <w:tc>
          <w:tcPr>
            <w:tcW w:w="1276" w:type="dxa"/>
          </w:tcPr>
          <w:p>
            <w:pPr>
              <w:spacing w:line="360" w:lineRule="auto"/>
              <w:rPr>
                <w:rFonts w:hint="eastAsia" w:ascii="宋体" w:hAnsi="宋体" w:eastAsia="宋体" w:cs="宋体"/>
                <w:bCs/>
                <w:sz w:val="21"/>
                <w:szCs w:val="21"/>
              </w:rPr>
            </w:pPr>
            <w:r>
              <w:rPr>
                <w:rFonts w:hint="eastAsia" w:ascii="宋体" w:hAnsi="宋体" w:eastAsia="宋体" w:cs="宋体"/>
                <w:bCs/>
                <w:sz w:val="21"/>
                <w:szCs w:val="21"/>
              </w:rPr>
              <w:t>E：</w:t>
            </w:r>
            <w:r>
              <w:rPr>
                <w:rFonts w:hint="eastAsia" w:ascii="宋体" w:hAnsi="宋体" w:eastAsia="宋体" w:cs="宋体"/>
                <w:sz w:val="21"/>
                <w:szCs w:val="21"/>
              </w:rPr>
              <w:t>8.2</w:t>
            </w:r>
            <w:r>
              <w:rPr>
                <w:rFonts w:hint="eastAsia" w:ascii="宋体" w:hAnsi="宋体" w:eastAsia="宋体" w:cs="宋体"/>
                <w:bCs/>
                <w:sz w:val="21"/>
                <w:szCs w:val="21"/>
              </w:rPr>
              <w:t xml:space="preserve"> </w:t>
            </w: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tc>
        <w:tc>
          <w:tcPr>
            <w:tcW w:w="10606" w:type="dxa"/>
          </w:tcPr>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编制了《应急准备和响应控制程序》，确定的紧急情况有：火灾、</w:t>
            </w:r>
            <w:r>
              <w:rPr>
                <w:rFonts w:hint="eastAsia" w:ascii="宋体" w:hAnsi="宋体" w:eastAsia="宋体" w:cs="宋体"/>
                <w:bCs/>
                <w:sz w:val="21"/>
                <w:szCs w:val="21"/>
              </w:rPr>
              <w:t>触电、人身伤害等。</w:t>
            </w:r>
            <w:r>
              <w:rPr>
                <w:rFonts w:hint="eastAsia" w:ascii="宋体" w:hAnsi="宋体" w:eastAsia="宋体" w:cs="宋体"/>
                <w:sz w:val="21"/>
                <w:szCs w:val="21"/>
              </w:rPr>
              <w:t>提供了机械伤害应急预案、火灾应急预案、其中包括目的、适用范围、职责、应急处理细则、演习、必备资料等，相关内容基本充分。</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应急设施配置：在院内、办公场所内、车间内、仓库内均配备了灭火器、消防栓等消防设施，均在有效期内，状态良好。</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查2020.6.15日的《火灾事故应急救援预案演练记录》，参加人员各岗位人员；记录演练过程、急救措施等内容。</w:t>
            </w:r>
          </w:p>
          <w:p>
            <w:pPr>
              <w:spacing w:line="360" w:lineRule="auto"/>
              <w:rPr>
                <w:rFonts w:hint="eastAsia" w:ascii="宋体" w:hAnsi="宋体" w:eastAsia="宋体" w:cs="宋体"/>
                <w:sz w:val="21"/>
                <w:szCs w:val="21"/>
              </w:rPr>
            </w:pPr>
            <w:r>
              <w:rPr>
                <w:rFonts w:hint="eastAsia" w:ascii="宋体" w:hAnsi="宋体" w:eastAsia="宋体" w:cs="宋体"/>
                <w:sz w:val="21"/>
                <w:szCs w:val="21"/>
              </w:rPr>
              <w:t>评价：组织指挥有序，项目岗位配合较好，达到了预定目标，演练的效果较好。人员的速度较快，及时按照预定方案对事故处理人员进行保护。</w:t>
            </w:r>
          </w:p>
          <w:p>
            <w:pPr>
              <w:spacing w:line="360" w:lineRule="auto"/>
              <w:ind w:firstLine="315" w:firstLineChars="150"/>
              <w:rPr>
                <w:rFonts w:hint="eastAsia" w:ascii="宋体" w:hAnsi="宋体" w:eastAsia="宋体" w:cs="宋体"/>
                <w:bCs/>
                <w:sz w:val="21"/>
                <w:szCs w:val="21"/>
              </w:rPr>
            </w:pPr>
            <w:r>
              <w:rPr>
                <w:rFonts w:hint="eastAsia" w:ascii="宋体" w:hAnsi="宋体" w:eastAsia="宋体" w:cs="宋体"/>
                <w:sz w:val="21"/>
                <w:szCs w:val="21"/>
              </w:rPr>
              <w:t>现场巡视办公区有灭火器，均有效；车间配有多个灭火器，</w:t>
            </w:r>
            <w:r>
              <w:rPr>
                <w:rFonts w:hint="eastAsia" w:ascii="宋体" w:hAnsi="宋体" w:eastAsia="宋体" w:cs="宋体"/>
                <w:sz w:val="21"/>
                <w:szCs w:val="21"/>
                <w:lang w:val="en-US" w:eastAsia="zh-CN"/>
              </w:rPr>
              <w:t>部分已经失效</w:t>
            </w:r>
            <w:r>
              <w:rPr>
                <w:rFonts w:hint="eastAsia" w:ascii="宋体" w:hAnsi="宋体" w:eastAsia="宋体" w:cs="宋体"/>
                <w:sz w:val="21"/>
                <w:szCs w:val="21"/>
              </w:rPr>
              <w:t>。</w:t>
            </w:r>
            <w:r>
              <w:rPr>
                <w:rFonts w:hint="eastAsia" w:ascii="宋体" w:hAnsi="宋体" w:eastAsia="宋体" w:cs="宋体"/>
                <w:sz w:val="21"/>
                <w:szCs w:val="21"/>
                <w:lang w:val="en-US" w:eastAsia="zh-CN"/>
              </w:rPr>
              <w:t>见生产部8.1记录</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自体系运行以来尚未发生紧急情况。</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24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内部审核</w:t>
            </w:r>
          </w:p>
        </w:tc>
        <w:tc>
          <w:tcPr>
            <w:tcW w:w="1276"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E9.2</w:t>
            </w:r>
          </w:p>
        </w:tc>
        <w:tc>
          <w:tcPr>
            <w:tcW w:w="10606" w:type="dxa"/>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由组长</w:t>
            </w:r>
            <w:r>
              <w:rPr>
                <w:rFonts w:hint="eastAsia" w:ascii="宋体" w:hAnsi="宋体" w:eastAsia="宋体" w:cs="宋体"/>
                <w:sz w:val="21"/>
                <w:szCs w:val="21"/>
                <w:lang w:val="en-US" w:eastAsia="zh-CN"/>
              </w:rPr>
              <w:t>王鲜梅</w:t>
            </w:r>
            <w:r>
              <w:rPr>
                <w:rFonts w:hint="eastAsia" w:ascii="宋体" w:hAnsi="宋体" w:eastAsia="宋体" w:cs="宋体"/>
                <w:sz w:val="21"/>
                <w:szCs w:val="21"/>
              </w:rPr>
              <w:t>组织内部审核，查年度审核计划：提供《内部审核计划》，其内容已包括了审核目的、范围、依据。</w:t>
            </w:r>
          </w:p>
          <w:p>
            <w:pPr>
              <w:spacing w:line="360" w:lineRule="auto"/>
              <w:rPr>
                <w:rFonts w:hint="eastAsia" w:ascii="宋体" w:hAnsi="宋体" w:eastAsia="宋体" w:cs="宋体"/>
                <w:sz w:val="21"/>
                <w:szCs w:val="21"/>
              </w:rPr>
            </w:pPr>
            <w:r>
              <w:rPr>
                <w:rFonts w:hint="eastAsia" w:ascii="宋体" w:hAnsi="宋体" w:eastAsia="宋体" w:cs="宋体"/>
                <w:sz w:val="21"/>
                <w:szCs w:val="21"/>
              </w:rPr>
              <w:t>审核组构成：组长</w:t>
            </w:r>
            <w:r>
              <w:rPr>
                <w:rFonts w:hint="eastAsia" w:ascii="宋体" w:hAnsi="宋体" w:eastAsia="宋体" w:cs="宋体"/>
                <w:sz w:val="21"/>
                <w:szCs w:val="21"/>
                <w:lang w:val="en-US" w:eastAsia="zh-CN"/>
              </w:rPr>
              <w:t>王鲜梅</w:t>
            </w:r>
            <w:r>
              <w:rPr>
                <w:rFonts w:hint="eastAsia" w:ascii="宋体" w:hAnsi="宋体" w:eastAsia="宋体" w:cs="宋体"/>
                <w:sz w:val="21"/>
                <w:szCs w:val="21"/>
              </w:rPr>
              <w:t>、组员</w:t>
            </w:r>
            <w:r>
              <w:rPr>
                <w:rFonts w:hint="eastAsia" w:ascii="宋体" w:hAnsi="宋体" w:eastAsia="宋体" w:cs="宋体"/>
                <w:sz w:val="21"/>
                <w:szCs w:val="21"/>
                <w:lang w:val="en-US" w:eastAsia="zh-CN"/>
              </w:rPr>
              <w:t>张伟丽</w:t>
            </w:r>
            <w:r>
              <w:rPr>
                <w:rFonts w:hint="eastAsia" w:ascii="宋体" w:hAnsi="宋体" w:eastAsia="宋体" w:cs="宋体"/>
                <w:sz w:val="21"/>
                <w:szCs w:val="21"/>
              </w:rPr>
              <w:t>。</w:t>
            </w:r>
          </w:p>
          <w:p>
            <w:pPr>
              <w:spacing w:line="360" w:lineRule="auto"/>
              <w:rPr>
                <w:rFonts w:hint="eastAsia" w:ascii="宋体" w:hAnsi="宋体" w:eastAsia="宋体" w:cs="宋体"/>
                <w:sz w:val="21"/>
                <w:szCs w:val="21"/>
              </w:rPr>
            </w:pPr>
            <w:r>
              <w:rPr>
                <w:rFonts w:hint="eastAsia" w:ascii="宋体" w:hAnsi="宋体" w:eastAsia="宋体" w:cs="宋体"/>
                <w:sz w:val="21"/>
                <w:szCs w:val="21"/>
              </w:rPr>
              <w:t>1. 审核时间20</w:t>
            </w:r>
            <w:r>
              <w:rPr>
                <w:rFonts w:hint="eastAsia" w:ascii="宋体" w:hAnsi="宋体" w:cs="宋体"/>
                <w:sz w:val="21"/>
                <w:szCs w:val="21"/>
                <w:lang w:val="en-US" w:eastAsia="zh-CN"/>
              </w:rPr>
              <w:t>20</w:t>
            </w:r>
            <w:r>
              <w:rPr>
                <w:rFonts w:hint="eastAsia" w:ascii="宋体" w:hAnsi="宋体" w:eastAsia="宋体" w:cs="宋体"/>
                <w:sz w:val="21"/>
                <w:szCs w:val="21"/>
              </w:rPr>
              <w:t>年</w:t>
            </w:r>
            <w:r>
              <w:rPr>
                <w:rFonts w:hint="eastAsia" w:ascii="宋体" w:hAnsi="宋体" w:cs="宋体"/>
                <w:sz w:val="21"/>
                <w:szCs w:val="21"/>
                <w:lang w:val="en-US" w:eastAsia="zh-CN"/>
              </w:rPr>
              <w:t>11</w:t>
            </w:r>
            <w:r>
              <w:rPr>
                <w:rFonts w:hint="eastAsia" w:ascii="宋体" w:hAnsi="宋体" w:eastAsia="宋体" w:cs="宋体"/>
                <w:sz w:val="21"/>
                <w:szCs w:val="21"/>
              </w:rPr>
              <w:t>月</w:t>
            </w:r>
            <w:r>
              <w:rPr>
                <w:rFonts w:hint="eastAsia" w:ascii="宋体" w:hAnsi="宋体" w:cs="宋体"/>
                <w:sz w:val="21"/>
                <w:szCs w:val="21"/>
                <w:lang w:val="en-US" w:eastAsia="zh-CN"/>
              </w:rPr>
              <w:t>8</w:t>
            </w:r>
            <w:r>
              <w:rPr>
                <w:rFonts w:hint="eastAsia" w:ascii="宋体" w:hAnsi="宋体" w:eastAsia="宋体" w:cs="宋体"/>
                <w:sz w:val="21"/>
                <w:szCs w:val="21"/>
              </w:rPr>
              <w:t>日——20</w:t>
            </w:r>
            <w:r>
              <w:rPr>
                <w:rFonts w:hint="eastAsia" w:ascii="宋体" w:hAnsi="宋体" w:cs="宋体"/>
                <w:sz w:val="21"/>
                <w:szCs w:val="21"/>
                <w:lang w:val="en-US" w:eastAsia="zh-CN"/>
              </w:rPr>
              <w:t>20</w:t>
            </w:r>
            <w:r>
              <w:rPr>
                <w:rFonts w:hint="eastAsia" w:ascii="宋体" w:hAnsi="宋体" w:eastAsia="宋体" w:cs="宋体"/>
                <w:sz w:val="21"/>
                <w:szCs w:val="21"/>
              </w:rPr>
              <w:t>年</w:t>
            </w:r>
            <w:r>
              <w:rPr>
                <w:rFonts w:hint="eastAsia" w:ascii="宋体" w:hAnsi="宋体" w:cs="宋体"/>
                <w:sz w:val="21"/>
                <w:szCs w:val="21"/>
                <w:lang w:val="en-US" w:eastAsia="zh-CN"/>
              </w:rPr>
              <w:t>11</w:t>
            </w:r>
            <w:r>
              <w:rPr>
                <w:rFonts w:hint="eastAsia" w:ascii="宋体" w:hAnsi="宋体" w:eastAsia="宋体" w:cs="宋体"/>
                <w:sz w:val="21"/>
                <w:szCs w:val="21"/>
              </w:rPr>
              <w:t>月</w:t>
            </w:r>
            <w:r>
              <w:rPr>
                <w:rFonts w:hint="eastAsia" w:ascii="宋体" w:hAnsi="宋体" w:cs="宋体"/>
                <w:sz w:val="21"/>
                <w:szCs w:val="21"/>
                <w:lang w:val="en-US" w:eastAsia="zh-CN"/>
              </w:rPr>
              <w:t>9</w:t>
            </w:r>
            <w:r>
              <w:rPr>
                <w:rFonts w:hint="eastAsia" w:ascii="宋体" w:hAnsi="宋体" w:eastAsia="宋体" w:cs="宋体"/>
                <w:sz w:val="21"/>
                <w:szCs w:val="21"/>
              </w:rPr>
              <w:t>日，</w:t>
            </w:r>
          </w:p>
          <w:p>
            <w:pPr>
              <w:spacing w:line="360" w:lineRule="auto"/>
              <w:rPr>
                <w:rFonts w:hint="eastAsia" w:ascii="宋体" w:hAnsi="宋体" w:eastAsia="宋体" w:cs="宋体"/>
                <w:sz w:val="21"/>
                <w:szCs w:val="21"/>
              </w:rPr>
            </w:pPr>
            <w:r>
              <w:rPr>
                <w:rFonts w:hint="eastAsia" w:ascii="宋体" w:hAnsi="宋体" w:eastAsia="宋体" w:cs="宋体"/>
                <w:sz w:val="21"/>
                <w:szCs w:val="21"/>
              </w:rPr>
              <w:t>2.审核按计划进行，抽查检查表</w:t>
            </w:r>
            <w:r>
              <w:rPr>
                <w:rFonts w:hint="eastAsia" w:ascii="宋体" w:hAnsi="宋体" w:eastAsia="宋体" w:cs="宋体"/>
                <w:sz w:val="21"/>
                <w:szCs w:val="21"/>
                <w:lang w:val="en-US" w:eastAsia="zh-CN"/>
              </w:rPr>
              <w:t>综合部</w:t>
            </w:r>
            <w:r>
              <w:rPr>
                <w:rFonts w:hint="eastAsia" w:ascii="宋体" w:hAnsi="宋体" w:eastAsia="宋体" w:cs="宋体"/>
                <w:sz w:val="21"/>
                <w:szCs w:val="21"/>
              </w:rPr>
              <w:t>、</w:t>
            </w:r>
            <w:r>
              <w:rPr>
                <w:rFonts w:hint="eastAsia" w:ascii="宋体" w:hAnsi="宋体" w:eastAsia="宋体" w:cs="宋体"/>
                <w:sz w:val="21"/>
                <w:szCs w:val="21"/>
                <w:lang w:val="en-US" w:eastAsia="zh-CN"/>
              </w:rPr>
              <w:t>财务部</w:t>
            </w:r>
            <w:r>
              <w:rPr>
                <w:rFonts w:hint="eastAsia" w:ascii="宋体" w:hAnsi="宋体" w:eastAsia="宋体" w:cs="宋体"/>
                <w:sz w:val="21"/>
                <w:szCs w:val="21"/>
              </w:rPr>
              <w:t>、生产部审核记录与计划相一致，内审员经内部培训合格，能力还需加强；</w:t>
            </w:r>
          </w:p>
          <w:p>
            <w:pPr>
              <w:spacing w:line="360" w:lineRule="auto"/>
              <w:rPr>
                <w:rFonts w:hint="eastAsia" w:ascii="宋体" w:hAnsi="宋体" w:eastAsia="宋体" w:cs="宋体"/>
                <w:sz w:val="21"/>
                <w:szCs w:val="21"/>
              </w:rPr>
            </w:pPr>
            <w:r>
              <w:rPr>
                <w:rFonts w:hint="eastAsia" w:ascii="宋体" w:hAnsi="宋体" w:eastAsia="宋体" w:cs="宋体"/>
                <w:sz w:val="21"/>
                <w:szCs w:val="21"/>
              </w:rPr>
              <w:t>审核计划已考虑到互查的公正性，无审核员审核本部门的工作，计划内容涉及各部门，条款覆盖整个体系。本次内审发现1个一般不符合项，针对不合格，责任部门已分析了原因并采取了纠正措施，按要求进行了整改，最后内审员进行了验证，纠正措施实施有效。</w:t>
            </w:r>
          </w:p>
          <w:p>
            <w:pPr>
              <w:spacing w:line="360" w:lineRule="auto"/>
              <w:rPr>
                <w:rFonts w:hint="eastAsia" w:ascii="宋体" w:hAnsi="宋体" w:eastAsia="宋体" w:cs="宋体"/>
                <w:sz w:val="21"/>
                <w:szCs w:val="21"/>
              </w:rPr>
            </w:pPr>
            <w:r>
              <w:rPr>
                <w:rFonts w:hint="eastAsia" w:ascii="宋体" w:hAnsi="宋体" w:eastAsia="宋体" w:cs="宋体"/>
                <w:sz w:val="21"/>
                <w:szCs w:val="21"/>
              </w:rPr>
              <w:t>内部审核结论：提供了《内部审核报告》，对现场审核进行了综述，对质量环境安全管理体系进行了符合性的综合评价，最后结论为：公司的质量环境安全管理体系基本符合标准要求，运行有效。</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124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不合格和纠正措施</w:t>
            </w:r>
          </w:p>
        </w:tc>
        <w:tc>
          <w:tcPr>
            <w:tcW w:w="1276"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E10.2</w:t>
            </w:r>
          </w:p>
          <w:p>
            <w:pPr>
              <w:spacing w:line="360" w:lineRule="auto"/>
              <w:rPr>
                <w:rFonts w:hint="eastAsia" w:ascii="宋体" w:hAnsi="宋体" w:eastAsia="宋体" w:cs="宋体"/>
                <w:sz w:val="21"/>
                <w:szCs w:val="21"/>
              </w:rPr>
            </w:pPr>
          </w:p>
        </w:tc>
        <w:tc>
          <w:tcPr>
            <w:tcW w:w="10606" w:type="dxa"/>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保持实施《纠正措施和预防措施控制程序》、《事故调查处置控制程序》，对纠正预防措施识别、评审、验证，事故事件报告、调查、处理等作了规定，其内容符合组织实际及标准要求。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对内审中提出不合格项进行了原因分析,并制定、实施了纠正措施，并由内审员对所采取的纠正措施进行了验证，纠正措施有效，管理评审中发现的薄弱环节，分析了原因，采取了纠正措施（参见管理评审记录）。</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体系运行以来公司按照体系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生环境事件和投诉处罚。</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企业纠正和预防措施的管理符合标准规定要求。</w:t>
            </w:r>
          </w:p>
        </w:tc>
        <w:tc>
          <w:tcPr>
            <w:tcW w:w="1585" w:type="dxa"/>
          </w:tcPr>
          <w:p>
            <w:pPr>
              <w:spacing w:line="360" w:lineRule="auto"/>
              <w:rPr>
                <w:rFonts w:hint="eastAsia" w:ascii="宋体" w:hAnsi="宋体" w:eastAsia="宋体" w:cs="宋体"/>
                <w:sz w:val="21"/>
                <w:szCs w:val="21"/>
              </w:rPr>
            </w:pPr>
          </w:p>
        </w:tc>
      </w:tr>
    </w:tbl>
    <w:p>
      <w:pPr>
        <w:spacing w:line="480" w:lineRule="exact"/>
        <w:jc w:val="center"/>
        <w:rPr>
          <w:rFonts w:ascii="楷体" w:hAnsi="楷体" w:eastAsia="楷体"/>
          <w:bCs/>
          <w:sz w:val="36"/>
          <w:szCs w:val="36"/>
        </w:rPr>
      </w:pPr>
      <w:bookmarkStart w:id="4" w:name="_GoBack"/>
      <w:r>
        <w:rPr>
          <w:rFonts w:hint="eastAsia" w:ascii="楷体" w:hAnsi="楷体" w:eastAsia="楷体"/>
          <w:bCs/>
          <w:sz w:val="36"/>
          <w:szCs w:val="36"/>
        </w:rPr>
        <w:t>管理体系审核记录表</w:t>
      </w:r>
    </w:p>
    <w:bookmarkEnd w:id="4"/>
    <w:p>
      <w:pPr>
        <w:rPr>
          <w:rFonts w:ascii="楷体" w:hAnsi="楷体" w:eastAsia="楷体"/>
        </w:rPr>
      </w:pPr>
      <w:r>
        <w:rPr>
          <w:rFonts w:ascii="楷体" w:hAnsi="楷体" w:eastAsia="楷体"/>
        </w:rPr>
        <w:ptab w:relativeTo="margin" w:alignment="center" w:leader="none"/>
      </w:r>
    </w:p>
    <w:p>
      <w:pPr>
        <w:pStyle w:val="7"/>
        <w:rPr>
          <w:rFonts w:ascii="楷体" w:hAnsi="楷体" w:eastAsia="楷体"/>
        </w:rPr>
      </w:pPr>
      <w:r>
        <w:rPr>
          <w:rFonts w:hint="eastAsia" w:ascii="楷体" w:hAnsi="楷体" w:eastAsia="楷体"/>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Book Antiqua">
    <w:altName w:val="Segoe Print"/>
    <w:panose1 w:val="02040602050305030304"/>
    <w:charset w:val="00"/>
    <w:family w:val="roman"/>
    <w:pitch w:val="default"/>
    <w:sig w:usb0="00000000" w:usb1="00000000" w:usb2="00000000" w:usb3="00000000" w:csb0="0000009F" w:csb1="00000000"/>
  </w:font>
  <w:font w:name="Sim Sun+ 2">
    <w:altName w:val="Microsoft YaHei UI"/>
    <w:panose1 w:val="020B0604020202020204"/>
    <w:charset w:val="00"/>
    <w:family w:val="swiss"/>
    <w:pitch w:val="default"/>
    <w:sig w:usb0="00000000" w:usb1="00000000" w:usb2="00000000" w:usb3="00000000" w:csb0="00040001" w:csb1="00000000"/>
  </w:font>
  <w:font w:name="方正兰亭超细黑简体">
    <w:panose1 w:val="02000000000000000000"/>
    <w:charset w:val="86"/>
    <w:family w:val="swiss"/>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20</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ISC-B-II-31 管理体系审核记录表(03版)</w:t>
                </w:r>
              </w:p>
            </w:txbxContent>
          </v:textbox>
        </v:shape>
      </w:pict>
    </w:r>
    <w:r>
      <w:rPr>
        <w:rStyle w:val="16"/>
        <w:rFonts w:hint="default"/>
      </w:rPr>
      <w:t xml:space="preserve">        </w:t>
    </w:r>
    <w:r>
      <w:rPr>
        <w:rStyle w:val="16"/>
        <w:rFonts w:hint="default"/>
        <w:w w:val="90"/>
      </w:rPr>
      <w:t>Beijing International Standard united Certification Co.,Ltd.</w:t>
    </w:r>
    <w:r>
      <w:rPr>
        <w:rStyle w:val="16"/>
        <w:rFonts w:hint="default"/>
        <w:w w:val="90"/>
        <w:szCs w:val="21"/>
      </w:rPr>
      <w:t xml:space="preserve">  </w:t>
    </w:r>
    <w:r>
      <w:rPr>
        <w:rStyle w:val="16"/>
        <w:rFonts w:hint="default"/>
        <w:w w:val="90"/>
        <w:sz w:val="20"/>
      </w:rPr>
      <w:t xml:space="preserve"> </w:t>
    </w:r>
    <w:r>
      <w:rPr>
        <w:rStyle w:val="16"/>
        <w:rFonts w:hint="default"/>
        <w:w w:val="90"/>
      </w:rPr>
      <w:t xml:space="preserve">                   </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38DC"/>
    <w:rsid w:val="00004817"/>
    <w:rsid w:val="00005351"/>
    <w:rsid w:val="000146B2"/>
    <w:rsid w:val="00014A12"/>
    <w:rsid w:val="000214B6"/>
    <w:rsid w:val="00023EF2"/>
    <w:rsid w:val="00024498"/>
    <w:rsid w:val="0002531E"/>
    <w:rsid w:val="000277D0"/>
    <w:rsid w:val="0003138C"/>
    <w:rsid w:val="000313D2"/>
    <w:rsid w:val="0003373A"/>
    <w:rsid w:val="00035EE6"/>
    <w:rsid w:val="00035FB9"/>
    <w:rsid w:val="000412F6"/>
    <w:rsid w:val="0005199E"/>
    <w:rsid w:val="00052202"/>
    <w:rsid w:val="00053F56"/>
    <w:rsid w:val="0005697E"/>
    <w:rsid w:val="000579CF"/>
    <w:rsid w:val="00060270"/>
    <w:rsid w:val="00061F6E"/>
    <w:rsid w:val="00082216"/>
    <w:rsid w:val="00082398"/>
    <w:rsid w:val="000849D2"/>
    <w:rsid w:val="00084DAD"/>
    <w:rsid w:val="000870FB"/>
    <w:rsid w:val="00094791"/>
    <w:rsid w:val="000A067A"/>
    <w:rsid w:val="000A30F9"/>
    <w:rsid w:val="000A5E44"/>
    <w:rsid w:val="000B1394"/>
    <w:rsid w:val="000B2F9B"/>
    <w:rsid w:val="000B40BD"/>
    <w:rsid w:val="000B69C3"/>
    <w:rsid w:val="000B6EAD"/>
    <w:rsid w:val="000C123B"/>
    <w:rsid w:val="000C2D5B"/>
    <w:rsid w:val="000D4F09"/>
    <w:rsid w:val="000D5401"/>
    <w:rsid w:val="000D697A"/>
    <w:rsid w:val="000D7C2E"/>
    <w:rsid w:val="000E2B69"/>
    <w:rsid w:val="000E355F"/>
    <w:rsid w:val="000E4402"/>
    <w:rsid w:val="000E7EF7"/>
    <w:rsid w:val="000F35F1"/>
    <w:rsid w:val="000F7D53"/>
    <w:rsid w:val="000F7DB7"/>
    <w:rsid w:val="001022F1"/>
    <w:rsid w:val="001037D5"/>
    <w:rsid w:val="001068A0"/>
    <w:rsid w:val="00106F20"/>
    <w:rsid w:val="00110E50"/>
    <w:rsid w:val="0011531E"/>
    <w:rsid w:val="00123A35"/>
    <w:rsid w:val="00126D95"/>
    <w:rsid w:val="00132572"/>
    <w:rsid w:val="00135F92"/>
    <w:rsid w:val="00145688"/>
    <w:rsid w:val="001456CB"/>
    <w:rsid w:val="00147EDB"/>
    <w:rsid w:val="001677C1"/>
    <w:rsid w:val="00170B6A"/>
    <w:rsid w:val="00174C08"/>
    <w:rsid w:val="00176B5D"/>
    <w:rsid w:val="001825AD"/>
    <w:rsid w:val="00187C5A"/>
    <w:rsid w:val="001918ED"/>
    <w:rsid w:val="00192A7F"/>
    <w:rsid w:val="00194D96"/>
    <w:rsid w:val="00194E5B"/>
    <w:rsid w:val="001972C0"/>
    <w:rsid w:val="001A2D7F"/>
    <w:rsid w:val="001A3DF8"/>
    <w:rsid w:val="001A572D"/>
    <w:rsid w:val="001B1B11"/>
    <w:rsid w:val="001B324E"/>
    <w:rsid w:val="001B6887"/>
    <w:rsid w:val="001B6E5E"/>
    <w:rsid w:val="001B700E"/>
    <w:rsid w:val="001C0776"/>
    <w:rsid w:val="001C2BC9"/>
    <w:rsid w:val="001C39CB"/>
    <w:rsid w:val="001C3F50"/>
    <w:rsid w:val="001C51A9"/>
    <w:rsid w:val="001C7693"/>
    <w:rsid w:val="001D1D7C"/>
    <w:rsid w:val="001D4AD8"/>
    <w:rsid w:val="001D54FF"/>
    <w:rsid w:val="001D5787"/>
    <w:rsid w:val="001E1974"/>
    <w:rsid w:val="001E72C1"/>
    <w:rsid w:val="001F71E8"/>
    <w:rsid w:val="00202BC2"/>
    <w:rsid w:val="0021168C"/>
    <w:rsid w:val="00214113"/>
    <w:rsid w:val="00215081"/>
    <w:rsid w:val="00222532"/>
    <w:rsid w:val="00235ED5"/>
    <w:rsid w:val="00237445"/>
    <w:rsid w:val="00245047"/>
    <w:rsid w:val="002555AC"/>
    <w:rsid w:val="002651A6"/>
    <w:rsid w:val="002715B5"/>
    <w:rsid w:val="002760CB"/>
    <w:rsid w:val="0027659A"/>
    <w:rsid w:val="002769EB"/>
    <w:rsid w:val="0029464B"/>
    <w:rsid w:val="002973F0"/>
    <w:rsid w:val="002975C1"/>
    <w:rsid w:val="002A0E6E"/>
    <w:rsid w:val="002A33CC"/>
    <w:rsid w:val="002B1808"/>
    <w:rsid w:val="002C1ACE"/>
    <w:rsid w:val="002C3E0D"/>
    <w:rsid w:val="002D41FB"/>
    <w:rsid w:val="002E0587"/>
    <w:rsid w:val="002E1E1D"/>
    <w:rsid w:val="002F030C"/>
    <w:rsid w:val="002F1DCE"/>
    <w:rsid w:val="003002BB"/>
    <w:rsid w:val="003120F5"/>
    <w:rsid w:val="00313F8D"/>
    <w:rsid w:val="00317401"/>
    <w:rsid w:val="00317FAF"/>
    <w:rsid w:val="0032112D"/>
    <w:rsid w:val="00325BFD"/>
    <w:rsid w:val="003264F9"/>
    <w:rsid w:val="00326FC1"/>
    <w:rsid w:val="00327EB6"/>
    <w:rsid w:val="00330DBC"/>
    <w:rsid w:val="00337922"/>
    <w:rsid w:val="00340867"/>
    <w:rsid w:val="00341CA5"/>
    <w:rsid w:val="00342857"/>
    <w:rsid w:val="003504E8"/>
    <w:rsid w:val="00351CD4"/>
    <w:rsid w:val="003608CB"/>
    <w:rsid w:val="003627B6"/>
    <w:rsid w:val="003675FE"/>
    <w:rsid w:val="003708D5"/>
    <w:rsid w:val="0037587D"/>
    <w:rsid w:val="0038061A"/>
    <w:rsid w:val="0038063B"/>
    <w:rsid w:val="00380837"/>
    <w:rsid w:val="00382EDD"/>
    <w:rsid w:val="003836CA"/>
    <w:rsid w:val="00386171"/>
    <w:rsid w:val="00386A98"/>
    <w:rsid w:val="00392D5A"/>
    <w:rsid w:val="003A1E9C"/>
    <w:rsid w:val="003A57BB"/>
    <w:rsid w:val="003A5B31"/>
    <w:rsid w:val="003B4391"/>
    <w:rsid w:val="003B63F4"/>
    <w:rsid w:val="003B686D"/>
    <w:rsid w:val="003B6EB8"/>
    <w:rsid w:val="003C7699"/>
    <w:rsid w:val="003D1723"/>
    <w:rsid w:val="003D470D"/>
    <w:rsid w:val="003D6BE3"/>
    <w:rsid w:val="003E0907"/>
    <w:rsid w:val="003E0E52"/>
    <w:rsid w:val="003E2C93"/>
    <w:rsid w:val="003F20A5"/>
    <w:rsid w:val="003F6B8B"/>
    <w:rsid w:val="00400B96"/>
    <w:rsid w:val="00405D5F"/>
    <w:rsid w:val="00410914"/>
    <w:rsid w:val="00415AA3"/>
    <w:rsid w:val="00420650"/>
    <w:rsid w:val="00420C60"/>
    <w:rsid w:val="00430432"/>
    <w:rsid w:val="00432E49"/>
    <w:rsid w:val="00433759"/>
    <w:rsid w:val="0043494E"/>
    <w:rsid w:val="004414A5"/>
    <w:rsid w:val="00441B50"/>
    <w:rsid w:val="0044209C"/>
    <w:rsid w:val="004428CE"/>
    <w:rsid w:val="00450792"/>
    <w:rsid w:val="00456697"/>
    <w:rsid w:val="00463AD4"/>
    <w:rsid w:val="00463F22"/>
    <w:rsid w:val="00465FE1"/>
    <w:rsid w:val="00475491"/>
    <w:rsid w:val="004869FB"/>
    <w:rsid w:val="00487DDC"/>
    <w:rsid w:val="00491735"/>
    <w:rsid w:val="00493760"/>
    <w:rsid w:val="00494A46"/>
    <w:rsid w:val="00497CEF"/>
    <w:rsid w:val="004A1070"/>
    <w:rsid w:val="004A38FC"/>
    <w:rsid w:val="004A4739"/>
    <w:rsid w:val="004A7106"/>
    <w:rsid w:val="004B217F"/>
    <w:rsid w:val="004B3E7F"/>
    <w:rsid w:val="004C07FE"/>
    <w:rsid w:val="004C3A73"/>
    <w:rsid w:val="004C5731"/>
    <w:rsid w:val="004C5BFE"/>
    <w:rsid w:val="004C5C5A"/>
    <w:rsid w:val="004C78A9"/>
    <w:rsid w:val="004D3E4C"/>
    <w:rsid w:val="004D55E7"/>
    <w:rsid w:val="004D62EF"/>
    <w:rsid w:val="004D7A97"/>
    <w:rsid w:val="004E5609"/>
    <w:rsid w:val="004E61BC"/>
    <w:rsid w:val="004F185D"/>
    <w:rsid w:val="005052B3"/>
    <w:rsid w:val="005056ED"/>
    <w:rsid w:val="00505819"/>
    <w:rsid w:val="005064D2"/>
    <w:rsid w:val="00515C94"/>
    <w:rsid w:val="00517E4C"/>
    <w:rsid w:val="00521CF0"/>
    <w:rsid w:val="00527341"/>
    <w:rsid w:val="0053208B"/>
    <w:rsid w:val="0053404C"/>
    <w:rsid w:val="00534814"/>
    <w:rsid w:val="00535EB3"/>
    <w:rsid w:val="00536930"/>
    <w:rsid w:val="00541AE2"/>
    <w:rsid w:val="00546D5F"/>
    <w:rsid w:val="00552785"/>
    <w:rsid w:val="00552BDE"/>
    <w:rsid w:val="005571F6"/>
    <w:rsid w:val="005577AD"/>
    <w:rsid w:val="00560A2A"/>
    <w:rsid w:val="00564E53"/>
    <w:rsid w:val="005652DC"/>
    <w:rsid w:val="005675B7"/>
    <w:rsid w:val="005706CE"/>
    <w:rsid w:val="00576C70"/>
    <w:rsid w:val="00580B9E"/>
    <w:rsid w:val="00583277"/>
    <w:rsid w:val="00592C3E"/>
    <w:rsid w:val="005978E6"/>
    <w:rsid w:val="005A000F"/>
    <w:rsid w:val="005A5268"/>
    <w:rsid w:val="005B173D"/>
    <w:rsid w:val="005B6888"/>
    <w:rsid w:val="005D1D88"/>
    <w:rsid w:val="005D59EB"/>
    <w:rsid w:val="005F6C65"/>
    <w:rsid w:val="00600F02"/>
    <w:rsid w:val="00604098"/>
    <w:rsid w:val="0060444D"/>
    <w:rsid w:val="00611393"/>
    <w:rsid w:val="00615924"/>
    <w:rsid w:val="006223EE"/>
    <w:rsid w:val="00624222"/>
    <w:rsid w:val="00633AC5"/>
    <w:rsid w:val="00642776"/>
    <w:rsid w:val="00644FE2"/>
    <w:rsid w:val="00645FB8"/>
    <w:rsid w:val="00651986"/>
    <w:rsid w:val="006545E8"/>
    <w:rsid w:val="006629CC"/>
    <w:rsid w:val="00664736"/>
    <w:rsid w:val="00665980"/>
    <w:rsid w:val="006676DD"/>
    <w:rsid w:val="0067640C"/>
    <w:rsid w:val="00681DFF"/>
    <w:rsid w:val="006836D9"/>
    <w:rsid w:val="00683914"/>
    <w:rsid w:val="0068548D"/>
    <w:rsid w:val="00686182"/>
    <w:rsid w:val="00692812"/>
    <w:rsid w:val="006946B4"/>
    <w:rsid w:val="00695256"/>
    <w:rsid w:val="00695570"/>
    <w:rsid w:val="006969F1"/>
    <w:rsid w:val="00696AF1"/>
    <w:rsid w:val="006A3B31"/>
    <w:rsid w:val="006A68F3"/>
    <w:rsid w:val="006A7352"/>
    <w:rsid w:val="006B182C"/>
    <w:rsid w:val="006B4127"/>
    <w:rsid w:val="006C058B"/>
    <w:rsid w:val="006C24BF"/>
    <w:rsid w:val="006C36AB"/>
    <w:rsid w:val="006C40B9"/>
    <w:rsid w:val="006C4CFB"/>
    <w:rsid w:val="006D265F"/>
    <w:rsid w:val="006D4DF7"/>
    <w:rsid w:val="006D5BDA"/>
    <w:rsid w:val="006E678B"/>
    <w:rsid w:val="006F2682"/>
    <w:rsid w:val="0070367F"/>
    <w:rsid w:val="00710655"/>
    <w:rsid w:val="00712F3C"/>
    <w:rsid w:val="007170AA"/>
    <w:rsid w:val="007175F5"/>
    <w:rsid w:val="0072638A"/>
    <w:rsid w:val="00726642"/>
    <w:rsid w:val="00732B66"/>
    <w:rsid w:val="007378E4"/>
    <w:rsid w:val="00737C8F"/>
    <w:rsid w:val="007406DE"/>
    <w:rsid w:val="00743E79"/>
    <w:rsid w:val="00744BEA"/>
    <w:rsid w:val="00751532"/>
    <w:rsid w:val="00751C37"/>
    <w:rsid w:val="00754C46"/>
    <w:rsid w:val="0075769B"/>
    <w:rsid w:val="007618BC"/>
    <w:rsid w:val="00772340"/>
    <w:rsid w:val="007757F3"/>
    <w:rsid w:val="007815DC"/>
    <w:rsid w:val="007839F5"/>
    <w:rsid w:val="00783C4A"/>
    <w:rsid w:val="00787C80"/>
    <w:rsid w:val="00790D5E"/>
    <w:rsid w:val="00790FC6"/>
    <w:rsid w:val="00794D01"/>
    <w:rsid w:val="00795FA6"/>
    <w:rsid w:val="007A2C5A"/>
    <w:rsid w:val="007A47FB"/>
    <w:rsid w:val="007A6299"/>
    <w:rsid w:val="007B106B"/>
    <w:rsid w:val="007B275D"/>
    <w:rsid w:val="007C24A1"/>
    <w:rsid w:val="007E03E9"/>
    <w:rsid w:val="007E6AEB"/>
    <w:rsid w:val="007E7C11"/>
    <w:rsid w:val="007F01EC"/>
    <w:rsid w:val="007F0EA0"/>
    <w:rsid w:val="007F1DD4"/>
    <w:rsid w:val="007F3AD5"/>
    <w:rsid w:val="007F6A62"/>
    <w:rsid w:val="007F7DF2"/>
    <w:rsid w:val="00803706"/>
    <w:rsid w:val="0080433F"/>
    <w:rsid w:val="008079FA"/>
    <w:rsid w:val="00810D58"/>
    <w:rsid w:val="00812C6B"/>
    <w:rsid w:val="00815AF5"/>
    <w:rsid w:val="008160E3"/>
    <w:rsid w:val="00827CD6"/>
    <w:rsid w:val="008343CB"/>
    <w:rsid w:val="00834F70"/>
    <w:rsid w:val="00835B31"/>
    <w:rsid w:val="00850591"/>
    <w:rsid w:val="008638DE"/>
    <w:rsid w:val="00863B20"/>
    <w:rsid w:val="008646DE"/>
    <w:rsid w:val="00864902"/>
    <w:rsid w:val="00864BE7"/>
    <w:rsid w:val="00865200"/>
    <w:rsid w:val="00871695"/>
    <w:rsid w:val="0088174B"/>
    <w:rsid w:val="00881C64"/>
    <w:rsid w:val="00885631"/>
    <w:rsid w:val="00886006"/>
    <w:rsid w:val="00891C25"/>
    <w:rsid w:val="00894200"/>
    <w:rsid w:val="008973EE"/>
    <w:rsid w:val="008A4AC0"/>
    <w:rsid w:val="008A7C7E"/>
    <w:rsid w:val="008B028C"/>
    <w:rsid w:val="008B21BA"/>
    <w:rsid w:val="008B4EE2"/>
    <w:rsid w:val="008B7990"/>
    <w:rsid w:val="008C199E"/>
    <w:rsid w:val="008C1CA5"/>
    <w:rsid w:val="008C53BD"/>
    <w:rsid w:val="008D089D"/>
    <w:rsid w:val="008E792C"/>
    <w:rsid w:val="008F0B04"/>
    <w:rsid w:val="008F6DB9"/>
    <w:rsid w:val="008F7C55"/>
    <w:rsid w:val="00901BAF"/>
    <w:rsid w:val="0091272B"/>
    <w:rsid w:val="00930694"/>
    <w:rsid w:val="00932193"/>
    <w:rsid w:val="0093521F"/>
    <w:rsid w:val="0093786C"/>
    <w:rsid w:val="00945677"/>
    <w:rsid w:val="0095571F"/>
    <w:rsid w:val="00955B84"/>
    <w:rsid w:val="0095689B"/>
    <w:rsid w:val="00962F78"/>
    <w:rsid w:val="00965A0E"/>
    <w:rsid w:val="0096609F"/>
    <w:rsid w:val="00971600"/>
    <w:rsid w:val="00984342"/>
    <w:rsid w:val="00993632"/>
    <w:rsid w:val="00996B0D"/>
    <w:rsid w:val="009973B4"/>
    <w:rsid w:val="009A1279"/>
    <w:rsid w:val="009A4B5C"/>
    <w:rsid w:val="009A6F79"/>
    <w:rsid w:val="009B16F4"/>
    <w:rsid w:val="009B4D68"/>
    <w:rsid w:val="009B6785"/>
    <w:rsid w:val="009B6AB3"/>
    <w:rsid w:val="009B7EB8"/>
    <w:rsid w:val="009C131F"/>
    <w:rsid w:val="009D1075"/>
    <w:rsid w:val="009D1A3F"/>
    <w:rsid w:val="009D2F66"/>
    <w:rsid w:val="009D57CF"/>
    <w:rsid w:val="009E2238"/>
    <w:rsid w:val="009E30DA"/>
    <w:rsid w:val="009E3D68"/>
    <w:rsid w:val="009E3FDC"/>
    <w:rsid w:val="009E6193"/>
    <w:rsid w:val="009E7DD1"/>
    <w:rsid w:val="009F6386"/>
    <w:rsid w:val="009F7BFC"/>
    <w:rsid w:val="009F7EED"/>
    <w:rsid w:val="00A0721A"/>
    <w:rsid w:val="00A138EC"/>
    <w:rsid w:val="00A378F6"/>
    <w:rsid w:val="00A41F32"/>
    <w:rsid w:val="00A50B4B"/>
    <w:rsid w:val="00A57E86"/>
    <w:rsid w:val="00A64722"/>
    <w:rsid w:val="00A743CD"/>
    <w:rsid w:val="00A801DE"/>
    <w:rsid w:val="00A80C1F"/>
    <w:rsid w:val="00A81FD7"/>
    <w:rsid w:val="00A86BDD"/>
    <w:rsid w:val="00A90A22"/>
    <w:rsid w:val="00A969B9"/>
    <w:rsid w:val="00A97734"/>
    <w:rsid w:val="00AA1858"/>
    <w:rsid w:val="00AA5451"/>
    <w:rsid w:val="00AA6131"/>
    <w:rsid w:val="00AA6A45"/>
    <w:rsid w:val="00AA7F40"/>
    <w:rsid w:val="00AB41FC"/>
    <w:rsid w:val="00AB7D2F"/>
    <w:rsid w:val="00AC1D8B"/>
    <w:rsid w:val="00AC24B1"/>
    <w:rsid w:val="00AC260E"/>
    <w:rsid w:val="00AD145D"/>
    <w:rsid w:val="00AD20E6"/>
    <w:rsid w:val="00AD6F34"/>
    <w:rsid w:val="00AE020D"/>
    <w:rsid w:val="00AF0AAB"/>
    <w:rsid w:val="00AF156F"/>
    <w:rsid w:val="00AF616B"/>
    <w:rsid w:val="00B034AD"/>
    <w:rsid w:val="00B0685B"/>
    <w:rsid w:val="00B0721E"/>
    <w:rsid w:val="00B14B87"/>
    <w:rsid w:val="00B22D22"/>
    <w:rsid w:val="00B23030"/>
    <w:rsid w:val="00B237B9"/>
    <w:rsid w:val="00B23CAA"/>
    <w:rsid w:val="00B2489D"/>
    <w:rsid w:val="00B410EE"/>
    <w:rsid w:val="00B427EC"/>
    <w:rsid w:val="00B546C0"/>
    <w:rsid w:val="00B565BF"/>
    <w:rsid w:val="00B73843"/>
    <w:rsid w:val="00B73B0E"/>
    <w:rsid w:val="00B73EA8"/>
    <w:rsid w:val="00B8202D"/>
    <w:rsid w:val="00B91271"/>
    <w:rsid w:val="00B91605"/>
    <w:rsid w:val="00B929FD"/>
    <w:rsid w:val="00B95B99"/>
    <w:rsid w:val="00B95F69"/>
    <w:rsid w:val="00BA5B19"/>
    <w:rsid w:val="00BC0122"/>
    <w:rsid w:val="00BC2015"/>
    <w:rsid w:val="00BC71B0"/>
    <w:rsid w:val="00BD3E2B"/>
    <w:rsid w:val="00BD4E08"/>
    <w:rsid w:val="00BD6DBC"/>
    <w:rsid w:val="00BE512D"/>
    <w:rsid w:val="00BF597E"/>
    <w:rsid w:val="00C03098"/>
    <w:rsid w:val="00C10EF3"/>
    <w:rsid w:val="00C14685"/>
    <w:rsid w:val="00C31C73"/>
    <w:rsid w:val="00C31C8D"/>
    <w:rsid w:val="00C431C9"/>
    <w:rsid w:val="00C513CB"/>
    <w:rsid w:val="00C51A36"/>
    <w:rsid w:val="00C548BE"/>
    <w:rsid w:val="00C55228"/>
    <w:rsid w:val="00C619C1"/>
    <w:rsid w:val="00C62031"/>
    <w:rsid w:val="00C67E19"/>
    <w:rsid w:val="00C67E47"/>
    <w:rsid w:val="00C71E85"/>
    <w:rsid w:val="00C750BE"/>
    <w:rsid w:val="00C76A3E"/>
    <w:rsid w:val="00C85E49"/>
    <w:rsid w:val="00C86F9B"/>
    <w:rsid w:val="00C87FEE"/>
    <w:rsid w:val="00C90930"/>
    <w:rsid w:val="00C920A9"/>
    <w:rsid w:val="00C93340"/>
    <w:rsid w:val="00C9447D"/>
    <w:rsid w:val="00CB0154"/>
    <w:rsid w:val="00CB0D49"/>
    <w:rsid w:val="00CB127F"/>
    <w:rsid w:val="00CB1FBC"/>
    <w:rsid w:val="00CB260B"/>
    <w:rsid w:val="00CB3729"/>
    <w:rsid w:val="00CB43FE"/>
    <w:rsid w:val="00CC0969"/>
    <w:rsid w:val="00CC2A01"/>
    <w:rsid w:val="00CC3BF9"/>
    <w:rsid w:val="00CD394A"/>
    <w:rsid w:val="00CD68C2"/>
    <w:rsid w:val="00CD6C83"/>
    <w:rsid w:val="00CE0AA5"/>
    <w:rsid w:val="00CE2A9E"/>
    <w:rsid w:val="00CE315A"/>
    <w:rsid w:val="00CE4B8A"/>
    <w:rsid w:val="00CE7BE1"/>
    <w:rsid w:val="00CF147A"/>
    <w:rsid w:val="00CF1726"/>
    <w:rsid w:val="00CF5473"/>
    <w:rsid w:val="00CF6C5C"/>
    <w:rsid w:val="00D004F0"/>
    <w:rsid w:val="00D06F59"/>
    <w:rsid w:val="00D071AB"/>
    <w:rsid w:val="00D3392D"/>
    <w:rsid w:val="00D379ED"/>
    <w:rsid w:val="00D37D1B"/>
    <w:rsid w:val="00D41F5E"/>
    <w:rsid w:val="00D429D7"/>
    <w:rsid w:val="00D42D53"/>
    <w:rsid w:val="00D548EE"/>
    <w:rsid w:val="00D55E69"/>
    <w:rsid w:val="00D562F6"/>
    <w:rsid w:val="00D74FBF"/>
    <w:rsid w:val="00D75463"/>
    <w:rsid w:val="00D75EFF"/>
    <w:rsid w:val="00D80770"/>
    <w:rsid w:val="00D83050"/>
    <w:rsid w:val="00D8388C"/>
    <w:rsid w:val="00D97182"/>
    <w:rsid w:val="00DA0DF0"/>
    <w:rsid w:val="00DA657E"/>
    <w:rsid w:val="00DB2382"/>
    <w:rsid w:val="00DB756E"/>
    <w:rsid w:val="00DC330A"/>
    <w:rsid w:val="00DD10DC"/>
    <w:rsid w:val="00DD1C8E"/>
    <w:rsid w:val="00DD1D21"/>
    <w:rsid w:val="00DD48B3"/>
    <w:rsid w:val="00DE146D"/>
    <w:rsid w:val="00DE2D80"/>
    <w:rsid w:val="00DE33EC"/>
    <w:rsid w:val="00DE6FCE"/>
    <w:rsid w:val="00DF6570"/>
    <w:rsid w:val="00DF76DB"/>
    <w:rsid w:val="00DF7D02"/>
    <w:rsid w:val="00E01EE2"/>
    <w:rsid w:val="00E038E4"/>
    <w:rsid w:val="00E0521C"/>
    <w:rsid w:val="00E11CD7"/>
    <w:rsid w:val="00E13D9A"/>
    <w:rsid w:val="00E14BA9"/>
    <w:rsid w:val="00E221C3"/>
    <w:rsid w:val="00E32D13"/>
    <w:rsid w:val="00E34F47"/>
    <w:rsid w:val="00E420B7"/>
    <w:rsid w:val="00E43822"/>
    <w:rsid w:val="00E54035"/>
    <w:rsid w:val="00E5717A"/>
    <w:rsid w:val="00E62996"/>
    <w:rsid w:val="00E63714"/>
    <w:rsid w:val="00E64A51"/>
    <w:rsid w:val="00E676F9"/>
    <w:rsid w:val="00E7279B"/>
    <w:rsid w:val="00E84C02"/>
    <w:rsid w:val="00E90BBC"/>
    <w:rsid w:val="00E910C0"/>
    <w:rsid w:val="00E95637"/>
    <w:rsid w:val="00E97424"/>
    <w:rsid w:val="00EA04FF"/>
    <w:rsid w:val="00EA55F7"/>
    <w:rsid w:val="00EB0164"/>
    <w:rsid w:val="00EB5DF5"/>
    <w:rsid w:val="00EB65F7"/>
    <w:rsid w:val="00EB7607"/>
    <w:rsid w:val="00EC3DBA"/>
    <w:rsid w:val="00EC42F5"/>
    <w:rsid w:val="00EC6620"/>
    <w:rsid w:val="00ED0F62"/>
    <w:rsid w:val="00ED7F2E"/>
    <w:rsid w:val="00EE5CD9"/>
    <w:rsid w:val="00EE6713"/>
    <w:rsid w:val="00EE71F4"/>
    <w:rsid w:val="00EF29B6"/>
    <w:rsid w:val="00EF36E7"/>
    <w:rsid w:val="00F06B25"/>
    <w:rsid w:val="00F06D09"/>
    <w:rsid w:val="00F11201"/>
    <w:rsid w:val="00F115BF"/>
    <w:rsid w:val="00F14D99"/>
    <w:rsid w:val="00F2038C"/>
    <w:rsid w:val="00F25AFF"/>
    <w:rsid w:val="00F31E8A"/>
    <w:rsid w:val="00F32CB9"/>
    <w:rsid w:val="00F33729"/>
    <w:rsid w:val="00F3372A"/>
    <w:rsid w:val="00F35CD7"/>
    <w:rsid w:val="00F3666E"/>
    <w:rsid w:val="00F44D4E"/>
    <w:rsid w:val="00F46C3F"/>
    <w:rsid w:val="00F47508"/>
    <w:rsid w:val="00F47878"/>
    <w:rsid w:val="00F55DB9"/>
    <w:rsid w:val="00F606E1"/>
    <w:rsid w:val="00F60CA3"/>
    <w:rsid w:val="00F6739D"/>
    <w:rsid w:val="00F83639"/>
    <w:rsid w:val="00F840C3"/>
    <w:rsid w:val="00F856F5"/>
    <w:rsid w:val="00F8598C"/>
    <w:rsid w:val="00F956F5"/>
    <w:rsid w:val="00F97087"/>
    <w:rsid w:val="00FA0833"/>
    <w:rsid w:val="00FA2467"/>
    <w:rsid w:val="00FA25E4"/>
    <w:rsid w:val="00FA2988"/>
    <w:rsid w:val="00FA350D"/>
    <w:rsid w:val="00FB03C3"/>
    <w:rsid w:val="00FB5A65"/>
    <w:rsid w:val="00FB6C45"/>
    <w:rsid w:val="00FC01AB"/>
    <w:rsid w:val="00FD2869"/>
    <w:rsid w:val="00FD3F5E"/>
    <w:rsid w:val="00FD5EE5"/>
    <w:rsid w:val="00FD72A6"/>
    <w:rsid w:val="00FE09C9"/>
    <w:rsid w:val="00FE1887"/>
    <w:rsid w:val="00FE3DB1"/>
    <w:rsid w:val="0423580F"/>
    <w:rsid w:val="09823A81"/>
    <w:rsid w:val="0B5D2A46"/>
    <w:rsid w:val="0BCD30C0"/>
    <w:rsid w:val="0C330209"/>
    <w:rsid w:val="0C8D088B"/>
    <w:rsid w:val="0E3C7889"/>
    <w:rsid w:val="10362650"/>
    <w:rsid w:val="108219C2"/>
    <w:rsid w:val="12181E20"/>
    <w:rsid w:val="14386473"/>
    <w:rsid w:val="16E617EC"/>
    <w:rsid w:val="19AF3B35"/>
    <w:rsid w:val="1C0D2307"/>
    <w:rsid w:val="1FD8518C"/>
    <w:rsid w:val="21AA1D77"/>
    <w:rsid w:val="22CB1CFC"/>
    <w:rsid w:val="23007E86"/>
    <w:rsid w:val="28C96F4B"/>
    <w:rsid w:val="28F77006"/>
    <w:rsid w:val="2AB47E30"/>
    <w:rsid w:val="2FA21266"/>
    <w:rsid w:val="376B464C"/>
    <w:rsid w:val="3F8B40D5"/>
    <w:rsid w:val="4019524D"/>
    <w:rsid w:val="41191C85"/>
    <w:rsid w:val="461B62D8"/>
    <w:rsid w:val="50F21C40"/>
    <w:rsid w:val="53C63335"/>
    <w:rsid w:val="5B695242"/>
    <w:rsid w:val="5EA12B9A"/>
    <w:rsid w:val="62380F6D"/>
    <w:rsid w:val="69E35148"/>
    <w:rsid w:val="6D580F57"/>
    <w:rsid w:val="6D587F49"/>
    <w:rsid w:val="70A57D3D"/>
    <w:rsid w:val="796C5351"/>
    <w:rsid w:val="7D5F7B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9"/>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w:basedOn w:val="1"/>
    <w:link w:val="20"/>
    <w:unhideWhenUsed/>
    <w:qFormat/>
    <w:uiPriority w:val="99"/>
    <w:pPr>
      <w:spacing w:line="420" w:lineRule="exact"/>
    </w:pPr>
    <w:rPr>
      <w:sz w:val="24"/>
    </w:rPr>
  </w:style>
  <w:style w:type="paragraph" w:styleId="5">
    <w:name w:val="Plain Text"/>
    <w:basedOn w:val="1"/>
    <w:link w:val="22"/>
    <w:qFormat/>
    <w:uiPriority w:val="0"/>
    <w:rPr>
      <w:rFonts w:ascii="宋体" w:hAnsi="Courier New"/>
    </w:r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link w:val="23"/>
    <w:qFormat/>
    <w:uiPriority w:val="0"/>
    <w:pPr>
      <w:widowControl/>
      <w:jc w:val="center"/>
    </w:pPr>
    <w:rPr>
      <w:rFonts w:ascii="Book Antiqua" w:hAnsi="Book Antiqua"/>
      <w:b/>
      <w:kern w:val="0"/>
      <w:sz w:val="31"/>
      <w:szCs w:val="31"/>
      <w:u w:val="single"/>
      <w:lang w:eastAsia="en-US"/>
    </w:rPr>
  </w:style>
  <w:style w:type="table" w:styleId="11">
    <w:name w:val="Table Grid"/>
    <w:basedOn w:val="10"/>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Char"/>
    <w:basedOn w:val="12"/>
    <w:link w:val="8"/>
    <w:qFormat/>
    <w:uiPriority w:val="99"/>
    <w:rPr>
      <w:rFonts w:ascii="Times New Roman" w:hAnsi="Times New Roman" w:eastAsia="宋体" w:cs="Times New Roman"/>
      <w:sz w:val="18"/>
      <w:szCs w:val="18"/>
    </w:rPr>
  </w:style>
  <w:style w:type="character" w:customStyle="1" w:styleId="14">
    <w:name w:val="页脚 Char"/>
    <w:basedOn w:val="12"/>
    <w:link w:val="7"/>
    <w:qFormat/>
    <w:uiPriority w:val="99"/>
    <w:rPr>
      <w:rFonts w:ascii="Times New Roman" w:hAnsi="Times New Roman" w:eastAsia="宋体" w:cs="Times New Roman"/>
      <w:sz w:val="18"/>
      <w:szCs w:val="18"/>
    </w:rPr>
  </w:style>
  <w:style w:type="character" w:customStyle="1" w:styleId="15">
    <w:name w:val="批注框文本 Char"/>
    <w:basedOn w:val="12"/>
    <w:link w:val="6"/>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character" w:customStyle="1" w:styleId="17">
    <w:name w:val="fontstyle01"/>
    <w:basedOn w:val="12"/>
    <w:qFormat/>
    <w:uiPriority w:val="0"/>
    <w:rPr>
      <w:rFonts w:hint="eastAsia" w:ascii="宋体" w:hAnsi="宋体" w:eastAsia="宋体"/>
      <w:color w:val="000000"/>
      <w:sz w:val="24"/>
      <w:szCs w:val="24"/>
    </w:rPr>
  </w:style>
  <w:style w:type="character" w:customStyle="1" w:styleId="18">
    <w:name w:val="fontstyle21"/>
    <w:basedOn w:val="12"/>
    <w:qFormat/>
    <w:uiPriority w:val="0"/>
    <w:rPr>
      <w:rFonts w:hint="default" w:ascii="Times New Roman" w:hAnsi="Times New Roman" w:cs="Times New Roman"/>
      <w:color w:val="000000"/>
      <w:sz w:val="24"/>
      <w:szCs w:val="24"/>
    </w:rPr>
  </w:style>
  <w:style w:type="character" w:customStyle="1" w:styleId="19">
    <w:name w:val="标题 2 Char"/>
    <w:basedOn w:val="12"/>
    <w:link w:val="2"/>
    <w:qFormat/>
    <w:uiPriority w:val="9"/>
    <w:rPr>
      <w:rFonts w:asciiTheme="majorHAnsi" w:hAnsiTheme="majorHAnsi" w:eastAsiaTheme="majorEastAsia" w:cstheme="majorBidi"/>
      <w:b/>
      <w:bCs/>
      <w:kern w:val="2"/>
      <w:sz w:val="32"/>
      <w:szCs w:val="32"/>
    </w:rPr>
  </w:style>
  <w:style w:type="character" w:customStyle="1" w:styleId="20">
    <w:name w:val="正文文本 Char"/>
    <w:basedOn w:val="12"/>
    <w:link w:val="4"/>
    <w:qFormat/>
    <w:uiPriority w:val="99"/>
    <w:rPr>
      <w:rFonts w:ascii="Times New Roman" w:hAnsi="Times New Roman" w:eastAsia="宋体" w:cs="Times New Roman"/>
      <w:kern w:val="2"/>
      <w:sz w:val="24"/>
    </w:rPr>
  </w:style>
  <w:style w:type="paragraph" w:customStyle="1" w:styleId="21">
    <w:name w:val="表格文字"/>
    <w:basedOn w:val="1"/>
    <w:qFormat/>
    <w:uiPriority w:val="0"/>
    <w:pPr>
      <w:spacing w:before="25" w:after="25"/>
    </w:pPr>
    <w:rPr>
      <w:bCs/>
      <w:spacing w:val="10"/>
    </w:rPr>
  </w:style>
  <w:style w:type="character" w:customStyle="1" w:styleId="22">
    <w:name w:val="纯文本 Char"/>
    <w:basedOn w:val="12"/>
    <w:link w:val="5"/>
    <w:qFormat/>
    <w:uiPriority w:val="0"/>
    <w:rPr>
      <w:rFonts w:ascii="宋体" w:hAnsi="Courier New" w:eastAsia="宋体" w:cs="Times New Roman"/>
      <w:kern w:val="2"/>
      <w:sz w:val="21"/>
    </w:rPr>
  </w:style>
  <w:style w:type="character" w:customStyle="1" w:styleId="23">
    <w:name w:val="标题 Char"/>
    <w:basedOn w:val="12"/>
    <w:link w:val="9"/>
    <w:qFormat/>
    <w:uiPriority w:val="0"/>
    <w:rPr>
      <w:rFonts w:ascii="Book Antiqua" w:hAnsi="Book Antiqua" w:eastAsia="宋体" w:cs="Times New Roman"/>
      <w:b/>
      <w:sz w:val="31"/>
      <w:szCs w:val="31"/>
      <w:u w:val="single"/>
      <w:lang w:eastAsia="en-US"/>
    </w:rPr>
  </w:style>
  <w:style w:type="paragraph" w:styleId="24">
    <w:name w:val="List Paragraph"/>
    <w:basedOn w:val="1"/>
    <w:unhideWhenUsed/>
    <w:qFormat/>
    <w:uiPriority w:val="99"/>
    <w:pPr>
      <w:ind w:firstLine="420" w:firstLineChars="200"/>
    </w:pPr>
  </w:style>
  <w:style w:type="paragraph" w:customStyle="1" w:styleId="25">
    <w:name w:val="Default"/>
    <w:qFormat/>
    <w:uiPriority w:val="6"/>
    <w:pPr>
      <w:widowControl w:val="0"/>
    </w:pPr>
    <w:rPr>
      <w:rFonts w:ascii="Sim Sun+ 2" w:hAnsi="Sim Sun+ 2" w:eastAsia="方正兰亭超细黑简体" w:cs="Times New Roman"/>
      <w:color w:val="000000"/>
      <w:sz w:val="24"/>
      <w:szCs w:val="24"/>
      <w:lang w:val="en-US" w:eastAsia="zh-CN" w:bidi="ar-SA"/>
    </w:rPr>
  </w:style>
  <w:style w:type="paragraph" w:customStyle="1" w:styleId="26">
    <w:name w:val="封面标准名称"/>
    <w:qFormat/>
    <w:uiPriority w:val="1664"/>
    <w:pPr>
      <w:widowControl w:val="0"/>
      <w:spacing w:line="680" w:lineRule="exact"/>
      <w:jc w:val="center"/>
    </w:pPr>
    <w:rPr>
      <w:rFonts w:ascii="黑体" w:hAnsi="黑体" w:eastAsia="黑体" w:cs="黑体"/>
      <w:color w:val="000000"/>
      <w:sz w:val="5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1492</Words>
  <Characters>8506</Characters>
  <Lines>70</Lines>
  <Paragraphs>19</Paragraphs>
  <TotalTime>22</TotalTime>
  <ScaleCrop>false</ScaleCrop>
  <LinksUpToDate>false</LinksUpToDate>
  <CharactersWithSpaces>9979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2020-12-22T22:48:01Z</dcterms:modified>
  <cp:revision>857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