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color w:val="000000"/>
          <w:sz w:val="36"/>
          <w:szCs w:val="36"/>
        </w:rPr>
      </w:pPr>
      <w:r>
        <w:rPr>
          <w:rFonts w:hint="eastAsia" w:ascii="楷体" w:hAnsi="楷体" w:eastAsia="楷体"/>
          <w:bCs/>
          <w:color w:val="000000"/>
          <w:sz w:val="36"/>
          <w:szCs w:val="36"/>
        </w:rPr>
        <w:t>管理体系审核记录表</w:t>
      </w:r>
    </w:p>
    <w:tbl>
      <w:tblPr>
        <w:tblStyle w:val="8"/>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ascii="楷体" w:hAnsi="楷体" w:eastAsia="楷体"/>
                <w:sz w:val="24"/>
                <w:szCs w:val="24"/>
              </w:rPr>
            </w:pPr>
            <w:r>
              <w:rPr>
                <w:rFonts w:hint="eastAsia" w:ascii="楷体" w:hAnsi="楷体" w:eastAsia="楷体"/>
                <w:sz w:val="24"/>
                <w:szCs w:val="24"/>
              </w:rPr>
              <w:t>过程与活动、</w:t>
            </w:r>
          </w:p>
          <w:p>
            <w:pPr>
              <w:spacing w:line="360" w:lineRule="auto"/>
              <w:jc w:val="center"/>
              <w:rPr>
                <w:rFonts w:ascii="楷体" w:hAnsi="楷体" w:eastAsia="楷体"/>
                <w:sz w:val="24"/>
                <w:szCs w:val="24"/>
              </w:rPr>
            </w:pPr>
            <w:r>
              <w:rPr>
                <w:rFonts w:hint="eastAsia" w:ascii="楷体" w:hAnsi="楷体" w:eastAsia="楷体"/>
                <w:sz w:val="24"/>
                <w:szCs w:val="24"/>
              </w:rPr>
              <w:t>抽样计划</w:t>
            </w:r>
          </w:p>
        </w:tc>
        <w:tc>
          <w:tcPr>
            <w:tcW w:w="1311"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涉及条款</w:t>
            </w:r>
          </w:p>
        </w:tc>
        <w:tc>
          <w:tcPr>
            <w:tcW w:w="10004" w:type="dxa"/>
            <w:vAlign w:val="center"/>
          </w:tcPr>
          <w:p>
            <w:pPr>
              <w:spacing w:line="360" w:lineRule="auto"/>
              <w:rPr>
                <w:rFonts w:hint="default" w:ascii="楷体" w:hAnsi="楷体" w:eastAsia="楷体"/>
                <w:sz w:val="24"/>
                <w:szCs w:val="24"/>
                <w:lang w:val="en-US" w:eastAsia="zh-CN"/>
              </w:rPr>
            </w:pPr>
            <w:r>
              <w:rPr>
                <w:rFonts w:hint="eastAsia" w:ascii="楷体" w:hAnsi="楷体" w:eastAsia="楷体"/>
                <w:sz w:val="24"/>
                <w:szCs w:val="24"/>
              </w:rPr>
              <w:t>受审核部门：管理层  主管领导：</w:t>
            </w:r>
            <w:r>
              <w:rPr>
                <w:rFonts w:hint="eastAsia" w:ascii="楷体" w:hAnsi="楷体" w:eastAsia="楷体" w:cs="楷体"/>
                <w:sz w:val="24"/>
                <w:lang w:val="en-US" w:eastAsia="zh-CN"/>
              </w:rPr>
              <w:t>欧阳炜煌</w:t>
            </w:r>
            <w:r>
              <w:rPr>
                <w:rFonts w:hint="eastAsia" w:ascii="楷体" w:hAnsi="楷体" w:eastAsia="楷体" w:cs="楷体"/>
                <w:sz w:val="24"/>
                <w:szCs w:val="24"/>
              </w:rPr>
              <w:t xml:space="preserve">      陪同人员：</w:t>
            </w:r>
            <w:r>
              <w:rPr>
                <w:rFonts w:hint="eastAsia" w:ascii="楷体" w:hAnsi="楷体" w:eastAsia="楷体" w:cs="楷体"/>
                <w:sz w:val="24"/>
                <w:lang w:val="en-US" w:eastAsia="zh-CN"/>
              </w:rPr>
              <w:t>杨志达</w:t>
            </w:r>
          </w:p>
        </w:tc>
        <w:tc>
          <w:tcPr>
            <w:tcW w:w="1585"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spacing w:before="120" w:line="360" w:lineRule="auto"/>
              <w:rPr>
                <w:rFonts w:hint="eastAsia" w:ascii="楷体" w:hAnsi="楷体" w:eastAsia="楷体"/>
                <w:sz w:val="24"/>
                <w:szCs w:val="24"/>
                <w:lang w:val="en-US" w:eastAsia="zh-CN"/>
              </w:rPr>
            </w:pPr>
            <w:r>
              <w:rPr>
                <w:rFonts w:hint="eastAsia" w:ascii="楷体" w:hAnsi="楷体" w:eastAsia="楷体"/>
                <w:sz w:val="24"/>
                <w:szCs w:val="24"/>
                <w:lang w:val="en-US" w:eastAsia="zh-CN"/>
              </w:rPr>
              <w:t xml:space="preserve">远程审核： </w:t>
            </w:r>
            <w:r>
              <w:rPr>
                <w:rFonts w:hint="eastAsia" w:ascii="楷体" w:hAnsi="楷体" w:eastAsia="楷体"/>
                <w:sz w:val="24"/>
                <w:szCs w:val="24"/>
              </w:rPr>
              <w:t>审核员：</w:t>
            </w:r>
            <w:r>
              <w:rPr>
                <w:rFonts w:hint="eastAsia" w:ascii="楷体" w:hAnsi="楷体" w:eastAsia="楷体"/>
                <w:sz w:val="24"/>
                <w:szCs w:val="24"/>
                <w:lang w:val="en-US" w:eastAsia="zh-CN"/>
              </w:rPr>
              <w:t>伍光华</w:t>
            </w:r>
            <w:r>
              <w:rPr>
                <w:rFonts w:ascii="楷体" w:hAnsi="楷体" w:eastAsia="楷体"/>
                <w:sz w:val="24"/>
                <w:szCs w:val="24"/>
              </w:rPr>
              <w:t xml:space="preserve">    </w:t>
            </w:r>
            <w:r>
              <w:rPr>
                <w:rFonts w:hint="eastAsia" w:ascii="楷体" w:hAnsi="楷体" w:eastAsia="楷体"/>
                <w:sz w:val="24"/>
                <w:szCs w:val="24"/>
              </w:rPr>
              <w:t>审核时间：</w:t>
            </w:r>
            <w:r>
              <w:rPr>
                <w:rFonts w:hint="eastAsia" w:ascii="楷体" w:hAnsi="楷体" w:eastAsia="楷体"/>
                <w:sz w:val="24"/>
                <w:szCs w:val="24"/>
                <w:lang w:val="en-US" w:eastAsia="zh-CN"/>
              </w:rPr>
              <w:t>2020</w:t>
            </w:r>
            <w:bookmarkStart w:id="2" w:name="_GoBack"/>
            <w:bookmarkEnd w:id="2"/>
            <w:r>
              <w:rPr>
                <w:rFonts w:hint="eastAsia" w:ascii="楷体" w:hAnsi="楷体" w:eastAsia="楷体"/>
                <w:sz w:val="24"/>
                <w:szCs w:val="24"/>
                <w:lang w:val="en-US" w:eastAsia="zh-CN"/>
              </w:rPr>
              <w:t>.3.23</w:t>
            </w:r>
          </w:p>
          <w:p>
            <w:pPr>
              <w:spacing w:before="120" w:line="360" w:lineRule="auto"/>
              <w:rPr>
                <w:rFonts w:hint="eastAsia" w:ascii="楷体" w:hAnsi="楷体" w:eastAsia="楷体"/>
                <w:color w:val="FF0000"/>
                <w:sz w:val="24"/>
                <w:szCs w:val="24"/>
                <w:lang w:val="en-US" w:eastAsia="zh-CN"/>
              </w:rPr>
            </w:pPr>
            <w:r>
              <w:rPr>
                <w:rFonts w:hint="default" w:ascii="楷体" w:hAnsi="楷体" w:eastAsia="楷体"/>
                <w:color w:val="FF0000"/>
                <w:sz w:val="24"/>
                <w:szCs w:val="24"/>
                <w:lang w:val="en-US" w:eastAsia="zh-CN"/>
              </w:rPr>
              <w:t>补充现场审核</w:t>
            </w:r>
            <w:r>
              <w:rPr>
                <w:rFonts w:hint="eastAsia" w:ascii="楷体" w:hAnsi="楷体" w:eastAsia="楷体"/>
                <w:color w:val="FF0000"/>
                <w:sz w:val="24"/>
                <w:szCs w:val="24"/>
                <w:lang w:val="en-US" w:eastAsia="zh-CN"/>
              </w:rPr>
              <w:t xml:space="preserve">：审核员：张磊  </w:t>
            </w:r>
          </w:p>
          <w:p>
            <w:pPr>
              <w:spacing w:before="120" w:line="360" w:lineRule="auto"/>
              <w:rPr>
                <w:rFonts w:hint="default" w:ascii="楷体" w:hAnsi="楷体" w:eastAsia="楷体"/>
                <w:sz w:val="24"/>
                <w:szCs w:val="24"/>
                <w:lang w:val="en-US" w:eastAsia="zh-CN"/>
              </w:rPr>
            </w:pPr>
            <w:r>
              <w:rPr>
                <w:rFonts w:hint="eastAsia" w:ascii="楷体" w:hAnsi="楷体" w:eastAsia="楷体"/>
                <w:color w:val="FF0000"/>
                <w:sz w:val="24"/>
                <w:szCs w:val="24"/>
                <w:lang w:val="en-US" w:eastAsia="zh-CN"/>
              </w:rPr>
              <w:t>审核时间：</w:t>
            </w:r>
            <w:r>
              <w:rPr>
                <w:rFonts w:hint="default" w:ascii="楷体" w:hAnsi="楷体" w:eastAsia="楷体"/>
                <w:color w:val="FF0000"/>
                <w:sz w:val="24"/>
                <w:szCs w:val="24"/>
                <w:lang w:val="en-US" w:eastAsia="zh-CN"/>
              </w:rPr>
              <w:t>于</w:t>
            </w:r>
            <w:bookmarkStart w:id="0" w:name="审核日期安排"/>
            <w:r>
              <w:rPr>
                <w:rFonts w:hint="default" w:ascii="楷体" w:hAnsi="楷体" w:eastAsia="楷体"/>
                <w:color w:val="FF0000"/>
                <w:sz w:val="24"/>
                <w:szCs w:val="24"/>
                <w:lang w:val="en-US" w:eastAsia="zh-CN"/>
              </w:rPr>
              <w:t>2020年12月20日 上午至2020年12月20日 下午 (共1.0天)</w:t>
            </w:r>
            <w:bookmarkEnd w:id="0"/>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adjustRightInd w:val="0"/>
              <w:snapToGrid w:val="0"/>
              <w:ind w:right="105" w:rightChars="50"/>
              <w:textAlignment w:val="baseline"/>
              <w:rPr>
                <w:rFonts w:hint="eastAsia" w:ascii="楷体" w:hAnsi="楷体" w:eastAsia="楷体" w:cs="楷体"/>
                <w:spacing w:val="-6"/>
                <w:sz w:val="24"/>
                <w:szCs w:val="24"/>
              </w:rPr>
            </w:pPr>
            <w:r>
              <w:rPr>
                <w:rFonts w:hint="eastAsia" w:ascii="楷体" w:hAnsi="楷体" w:eastAsia="楷体"/>
                <w:szCs w:val="21"/>
              </w:rPr>
              <w:t>审核条款：</w:t>
            </w:r>
            <w:r>
              <w:rPr>
                <w:rFonts w:hint="eastAsia" w:ascii="楷体" w:hAnsi="楷体" w:eastAsia="楷体" w:cs="楷体"/>
                <w:spacing w:val="-6"/>
                <w:sz w:val="24"/>
                <w:szCs w:val="24"/>
              </w:rPr>
              <w:t>E</w:t>
            </w:r>
            <w:r>
              <w:rPr>
                <w:rFonts w:hint="eastAsia" w:ascii="楷体" w:hAnsi="楷体" w:eastAsia="楷体" w:cs="楷体"/>
                <w:spacing w:val="-6"/>
                <w:sz w:val="24"/>
                <w:szCs w:val="24"/>
                <w:lang w:val="en-US" w:eastAsia="zh-CN"/>
              </w:rPr>
              <w:t>/</w:t>
            </w:r>
            <w:r>
              <w:rPr>
                <w:rFonts w:hint="eastAsia" w:ascii="楷体" w:hAnsi="楷体" w:eastAsia="楷体" w:cs="楷体"/>
                <w:spacing w:val="-6"/>
                <w:sz w:val="24"/>
                <w:szCs w:val="24"/>
              </w:rPr>
              <w:t>O:4.1理解组织及其环境、4.2理解相关方的需求和期望、4.3 确定管理体系的范围、4.4环境/</w:t>
            </w:r>
            <w:r>
              <w:rPr>
                <w:rFonts w:hint="eastAsia" w:ascii="楷体" w:hAnsi="楷体" w:eastAsia="楷体" w:cs="楷体"/>
                <w:sz w:val="24"/>
                <w:szCs w:val="24"/>
              </w:rPr>
              <w:t>职业健康</w:t>
            </w:r>
            <w:r>
              <w:rPr>
                <w:rFonts w:hint="eastAsia" w:ascii="楷体" w:hAnsi="楷体" w:eastAsia="楷体" w:cs="楷体"/>
                <w:spacing w:val="-6"/>
                <w:sz w:val="24"/>
                <w:szCs w:val="24"/>
              </w:rPr>
              <w:t>安全管理体系及其过程、5.1领导作用和承诺、5.2环境/</w:t>
            </w:r>
            <w:r>
              <w:rPr>
                <w:rFonts w:hint="eastAsia" w:ascii="楷体" w:hAnsi="楷体" w:eastAsia="楷体" w:cs="楷体"/>
                <w:sz w:val="24"/>
                <w:szCs w:val="24"/>
              </w:rPr>
              <w:t>职业健康</w:t>
            </w:r>
            <w:r>
              <w:rPr>
                <w:rFonts w:hint="eastAsia" w:ascii="楷体" w:hAnsi="楷体" w:eastAsia="楷体" w:cs="楷体"/>
                <w:spacing w:val="-6"/>
                <w:sz w:val="24"/>
                <w:szCs w:val="24"/>
              </w:rPr>
              <w:t>安全方针、5.3组织的岗位、职责和权限、O5.4协商与参与、6.1应对风险和机遇的措施、6.2环境/</w:t>
            </w:r>
            <w:r>
              <w:rPr>
                <w:rFonts w:hint="eastAsia" w:ascii="楷体" w:hAnsi="楷体" w:eastAsia="楷体" w:cs="楷体"/>
                <w:sz w:val="24"/>
                <w:szCs w:val="24"/>
              </w:rPr>
              <w:t>职业健康</w:t>
            </w:r>
            <w:r>
              <w:rPr>
                <w:rFonts w:hint="eastAsia" w:ascii="楷体" w:hAnsi="楷体" w:eastAsia="楷体" w:cs="楷体"/>
                <w:spacing w:val="-6"/>
                <w:sz w:val="24"/>
                <w:szCs w:val="24"/>
              </w:rPr>
              <w:t>安全目标及其实现的策划、7.1.1（EO7.1）资源总则、7.4沟通/信息交流、9.3管理评审、10.1改进、10.3持续改进，</w:t>
            </w:r>
          </w:p>
          <w:p>
            <w:pPr>
              <w:ind w:firstLine="456" w:firstLineChars="200"/>
              <w:rPr>
                <w:rFonts w:hint="eastAsia" w:ascii="楷体" w:hAnsi="楷体" w:eastAsia="楷体" w:cs="楷体"/>
                <w:spacing w:val="-6"/>
                <w:sz w:val="24"/>
                <w:szCs w:val="24"/>
              </w:rPr>
            </w:pPr>
            <w:r>
              <w:rPr>
                <w:rFonts w:hint="eastAsia" w:ascii="楷体" w:hAnsi="楷体" w:eastAsia="楷体" w:cs="楷体"/>
                <w:spacing w:val="-6"/>
                <w:sz w:val="24"/>
                <w:szCs w:val="24"/>
              </w:rPr>
              <w:t>国家/地方监督抽查情况；顾客满意、相关方投诉及处理情况；一阶段问题验证，</w:t>
            </w:r>
          </w:p>
          <w:p>
            <w:pPr>
              <w:rPr>
                <w:rFonts w:ascii="楷体" w:hAnsi="楷体" w:eastAsia="楷体"/>
                <w:szCs w:val="21"/>
              </w:rPr>
            </w:pPr>
            <w:r>
              <w:rPr>
                <w:rFonts w:hint="eastAsia" w:ascii="楷体" w:hAnsi="楷体" w:eastAsia="楷体" w:cs="楷体"/>
                <w:spacing w:val="-6"/>
                <w:sz w:val="24"/>
                <w:szCs w:val="24"/>
              </w:rPr>
              <w:t>验证企业相关资质证明的有效性；</w:t>
            </w:r>
            <w:r>
              <w:rPr>
                <w:rFonts w:hint="eastAsia" w:ascii="楷体" w:hAnsi="楷体" w:eastAsia="楷体" w:cs="楷体"/>
                <w:sz w:val="24"/>
                <w:szCs w:val="24"/>
              </w:rPr>
              <w:t xml:space="preserve"> </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企业基本信息</w:t>
            </w:r>
          </w:p>
        </w:tc>
        <w:tc>
          <w:tcPr>
            <w:tcW w:w="1311" w:type="dxa"/>
            <w:vAlign w:val="center"/>
          </w:tcPr>
          <w:p>
            <w:pPr>
              <w:spacing w:line="360" w:lineRule="auto"/>
              <w:rPr>
                <w:rFonts w:ascii="楷体" w:hAnsi="楷体" w:eastAsia="楷体"/>
                <w:b/>
                <w:sz w:val="24"/>
                <w:szCs w:val="24"/>
              </w:rPr>
            </w:pPr>
          </w:p>
        </w:tc>
        <w:tc>
          <w:tcPr>
            <w:tcW w:w="10004" w:type="dxa"/>
            <w:vAlign w:val="center"/>
          </w:tcPr>
          <w:p>
            <w:pPr>
              <w:spacing w:line="360" w:lineRule="auto"/>
              <w:rPr>
                <w:rFonts w:ascii="楷体" w:hAnsi="楷体" w:eastAsia="楷体"/>
                <w:sz w:val="24"/>
                <w:szCs w:val="24"/>
              </w:rPr>
            </w:pPr>
            <w:r>
              <w:rPr>
                <w:rFonts w:hint="eastAsia" w:ascii="楷体" w:hAnsi="楷体" w:eastAsia="楷体"/>
                <w:sz w:val="24"/>
                <w:szCs w:val="24"/>
              </w:rPr>
              <w:t>面谈人员：最管理者</w:t>
            </w:r>
            <w:r>
              <w:rPr>
                <w:rFonts w:hint="eastAsia" w:ascii="楷体" w:hAnsi="楷体" w:eastAsia="楷体"/>
                <w:sz w:val="24"/>
                <w:szCs w:val="24"/>
                <w:lang w:eastAsia="zh-CN"/>
              </w:rPr>
              <w:t>：</w:t>
            </w:r>
            <w:r>
              <w:rPr>
                <w:rFonts w:hint="eastAsia" w:ascii="楷体" w:hAnsi="楷体" w:eastAsia="楷体" w:cs="楷体"/>
                <w:sz w:val="24"/>
                <w:lang w:val="en-US" w:eastAsia="zh-CN"/>
              </w:rPr>
              <w:t>何清鑫</w:t>
            </w:r>
            <w:r>
              <w:rPr>
                <w:rFonts w:hint="eastAsia" w:ascii="楷体" w:hAnsi="楷体" w:eastAsia="楷体"/>
                <w:sz w:val="24"/>
                <w:szCs w:val="24"/>
                <w:lang w:val="en-US" w:eastAsia="zh-CN"/>
              </w:rPr>
              <w:t>，</w:t>
            </w:r>
            <w:r>
              <w:rPr>
                <w:rFonts w:hint="eastAsia" w:ascii="楷体" w:hAnsi="楷体" w:eastAsia="楷体"/>
                <w:sz w:val="24"/>
                <w:szCs w:val="24"/>
              </w:rPr>
              <w:t>管代</w:t>
            </w:r>
            <w:r>
              <w:rPr>
                <w:rFonts w:hint="eastAsia" w:ascii="楷体" w:hAnsi="楷体" w:eastAsia="楷体" w:cs="楷体"/>
                <w:sz w:val="24"/>
                <w:lang w:val="en-US" w:eastAsia="zh-CN"/>
              </w:rPr>
              <w:t>欧阳炜煌</w:t>
            </w:r>
            <w:r>
              <w:rPr>
                <w:rFonts w:hint="eastAsia" w:ascii="楷体" w:hAnsi="楷体" w:eastAsia="楷体"/>
                <w:sz w:val="24"/>
                <w:szCs w:val="24"/>
              </w:rPr>
              <w:t>，</w:t>
            </w:r>
          </w:p>
          <w:p>
            <w:pPr>
              <w:spacing w:line="360" w:lineRule="auto"/>
              <w:rPr>
                <w:rFonts w:hint="eastAsia" w:ascii="楷体" w:hAnsi="楷体" w:eastAsia="楷体" w:cs="楷体"/>
                <w:spacing w:val="20"/>
                <w:sz w:val="24"/>
                <w:szCs w:val="24"/>
                <w:lang w:val="de-DE"/>
              </w:rPr>
            </w:pPr>
            <w:r>
              <w:rPr>
                <w:rFonts w:hint="eastAsia" w:ascii="楷体" w:hAnsi="楷体" w:eastAsia="楷体"/>
                <w:sz w:val="24"/>
                <w:szCs w:val="24"/>
              </w:rPr>
              <w:t>公司成立于</w:t>
            </w:r>
            <w:r>
              <w:rPr>
                <w:rFonts w:ascii="楷体" w:hAnsi="楷体" w:eastAsia="楷体"/>
                <w:sz w:val="24"/>
                <w:szCs w:val="24"/>
              </w:rPr>
              <w:t>2</w:t>
            </w:r>
            <w:r>
              <w:rPr>
                <w:rFonts w:hint="eastAsia" w:ascii="楷体" w:hAnsi="楷体" w:eastAsia="楷体"/>
                <w:sz w:val="24"/>
                <w:szCs w:val="24"/>
              </w:rPr>
              <w:t>0</w:t>
            </w:r>
            <w:r>
              <w:rPr>
                <w:rFonts w:hint="eastAsia" w:ascii="楷体" w:hAnsi="楷体" w:eastAsia="楷体"/>
                <w:sz w:val="24"/>
                <w:szCs w:val="24"/>
                <w:lang w:val="en-US" w:eastAsia="zh-CN"/>
              </w:rPr>
              <w:t>18</w:t>
            </w:r>
            <w:r>
              <w:rPr>
                <w:rFonts w:hint="eastAsia" w:ascii="楷体" w:hAnsi="楷体" w:eastAsia="楷体"/>
                <w:sz w:val="24"/>
                <w:szCs w:val="24"/>
              </w:rPr>
              <w:t>年</w:t>
            </w:r>
            <w:r>
              <w:rPr>
                <w:rFonts w:hint="eastAsia" w:ascii="楷体" w:hAnsi="楷体" w:eastAsia="楷体"/>
                <w:sz w:val="24"/>
                <w:szCs w:val="24"/>
                <w:lang w:val="en-US" w:eastAsia="zh-CN"/>
              </w:rPr>
              <w:t>6</w:t>
            </w:r>
            <w:r>
              <w:rPr>
                <w:rFonts w:hint="eastAsia" w:ascii="楷体" w:hAnsi="楷体" w:eastAsia="楷体"/>
                <w:sz w:val="24"/>
                <w:szCs w:val="24"/>
              </w:rPr>
              <w:t>月</w:t>
            </w:r>
            <w:r>
              <w:rPr>
                <w:rFonts w:hint="eastAsia" w:ascii="楷体" w:hAnsi="楷体" w:eastAsia="楷体"/>
                <w:sz w:val="24"/>
                <w:szCs w:val="24"/>
                <w:lang w:val="en-US" w:eastAsia="zh-CN"/>
              </w:rPr>
              <w:t>13</w:t>
            </w:r>
            <w:r>
              <w:rPr>
                <w:rFonts w:hint="eastAsia" w:ascii="楷体" w:hAnsi="楷体" w:eastAsia="楷体"/>
                <w:sz w:val="24"/>
                <w:szCs w:val="24"/>
              </w:rPr>
              <w:t>日，法人代表</w:t>
            </w:r>
            <w:r>
              <w:rPr>
                <w:rFonts w:hint="eastAsia" w:ascii="楷体" w:hAnsi="楷体" w:eastAsia="楷体"/>
                <w:sz w:val="24"/>
                <w:szCs w:val="24"/>
                <w:lang w:val="en-US" w:eastAsia="zh-CN"/>
              </w:rPr>
              <w:t>吕敦煌</w:t>
            </w:r>
            <w:r>
              <w:rPr>
                <w:rFonts w:hint="eastAsia" w:ascii="楷体" w:hAnsi="楷体" w:eastAsia="楷体"/>
                <w:sz w:val="24"/>
                <w:szCs w:val="24"/>
              </w:rPr>
              <w:t>，注册地址：</w:t>
            </w:r>
            <w:bookmarkStart w:id="1" w:name="生产地址"/>
            <w:r>
              <w:rPr>
                <w:rFonts w:hint="eastAsia" w:ascii="楷体" w:hAnsi="楷体" w:eastAsia="楷体" w:cs="楷体"/>
                <w:sz w:val="24"/>
                <w:szCs w:val="24"/>
              </w:rPr>
              <w:t>福建省泉州市南安市东田镇宏茂科技园</w:t>
            </w:r>
            <w:bookmarkEnd w:id="1"/>
            <w:r>
              <w:rPr>
                <w:rFonts w:hint="eastAsia" w:ascii="楷体" w:hAnsi="楷体" w:eastAsia="楷体" w:cs="楷体"/>
                <w:color w:val="000000"/>
                <w:sz w:val="24"/>
                <w:szCs w:val="24"/>
              </w:rPr>
              <w:t>。</w:t>
            </w:r>
            <w:r>
              <w:rPr>
                <w:rFonts w:hint="eastAsia" w:ascii="楷体" w:hAnsi="楷体" w:eastAsia="楷体" w:cs="楷体"/>
                <w:spacing w:val="20"/>
                <w:sz w:val="24"/>
                <w:szCs w:val="24"/>
                <w:lang w:val="de-DE"/>
              </w:rPr>
              <w:t>经营范围</w:t>
            </w:r>
            <w:r>
              <w:rPr>
                <w:rFonts w:hint="eastAsia" w:ascii="楷体" w:hAnsi="楷体" w:eastAsia="楷体" w:cs="楷体"/>
                <w:sz w:val="24"/>
                <w:szCs w:val="24"/>
              </w:rPr>
              <w:t>环保固液分离设备（压滤机、柱塞泵）的销售。</w:t>
            </w:r>
          </w:p>
          <w:p>
            <w:pPr>
              <w:spacing w:line="360" w:lineRule="auto"/>
              <w:ind w:firstLine="560" w:firstLineChars="200"/>
              <w:rPr>
                <w:rFonts w:ascii="楷体" w:hAnsi="楷体" w:eastAsia="楷体"/>
                <w:spacing w:val="20"/>
                <w:sz w:val="24"/>
                <w:szCs w:val="24"/>
                <w:lang w:val="de-DE"/>
              </w:rPr>
            </w:pPr>
            <w:r>
              <w:rPr>
                <w:rFonts w:hint="eastAsia" w:ascii="楷体" w:hAnsi="楷体" w:eastAsia="楷体"/>
                <w:spacing w:val="20"/>
                <w:sz w:val="24"/>
                <w:szCs w:val="24"/>
                <w:lang w:val="de-DE"/>
              </w:rPr>
              <w:t>查到了企业的营业执照，</w:t>
            </w:r>
          </w:p>
          <w:p>
            <w:pPr>
              <w:spacing w:line="360" w:lineRule="auto"/>
              <w:ind w:firstLine="560" w:firstLineChars="200"/>
              <w:rPr>
                <w:rFonts w:ascii="楷体" w:hAnsi="楷体" w:eastAsia="楷体"/>
                <w:spacing w:val="20"/>
                <w:sz w:val="24"/>
                <w:szCs w:val="24"/>
                <w:lang w:val="de-DE"/>
              </w:rPr>
            </w:pPr>
            <w:r>
              <w:rPr>
                <w:rFonts w:hint="eastAsia" w:ascii="楷体" w:hAnsi="楷体" w:eastAsia="楷体"/>
                <w:spacing w:val="20"/>
                <w:sz w:val="24"/>
                <w:szCs w:val="24"/>
                <w:lang w:val="de-DE"/>
              </w:rPr>
              <w:t>查到了企业</w:t>
            </w:r>
            <w:r>
              <w:rPr>
                <w:rFonts w:hint="eastAsia" w:ascii="楷体" w:hAnsi="楷体" w:eastAsia="楷体"/>
                <w:spacing w:val="20"/>
                <w:sz w:val="24"/>
                <w:szCs w:val="24"/>
                <w:lang w:val="en-US" w:eastAsia="zh-CN"/>
              </w:rPr>
              <w:t>检验检测</w:t>
            </w:r>
            <w:r>
              <w:rPr>
                <w:rFonts w:hint="eastAsia" w:ascii="楷体" w:hAnsi="楷体" w:eastAsia="楷体"/>
                <w:spacing w:val="20"/>
                <w:sz w:val="24"/>
                <w:szCs w:val="24"/>
                <w:lang w:val="de-DE"/>
              </w:rPr>
              <w:t>资质证书有效期至</w:t>
            </w:r>
            <w:r>
              <w:rPr>
                <w:rFonts w:hint="eastAsia" w:ascii="楷体" w:hAnsi="楷体" w:eastAsia="楷体"/>
                <w:spacing w:val="20"/>
                <w:sz w:val="24"/>
                <w:szCs w:val="24"/>
                <w:lang w:val="en-US" w:eastAsia="zh-CN"/>
              </w:rPr>
              <w:t>长期</w:t>
            </w:r>
            <w:r>
              <w:rPr>
                <w:rFonts w:hint="eastAsia" w:ascii="楷体" w:hAnsi="楷体" w:eastAsia="楷体"/>
                <w:spacing w:val="20"/>
                <w:sz w:val="24"/>
                <w:szCs w:val="24"/>
                <w:lang w:val="de-DE"/>
              </w:rPr>
              <w:t>。</w:t>
            </w:r>
          </w:p>
          <w:p>
            <w:pPr>
              <w:spacing w:line="360" w:lineRule="auto"/>
              <w:ind w:firstLine="560" w:firstLineChars="200"/>
              <w:rPr>
                <w:rFonts w:ascii="楷体" w:hAnsi="楷体" w:eastAsia="楷体"/>
                <w:sz w:val="24"/>
                <w:szCs w:val="24"/>
              </w:rPr>
            </w:pPr>
            <w:r>
              <w:rPr>
                <w:rFonts w:hint="eastAsia" w:ascii="楷体" w:hAnsi="楷体" w:eastAsia="楷体"/>
                <w:spacing w:val="20"/>
                <w:sz w:val="24"/>
                <w:szCs w:val="24"/>
                <w:lang w:val="de-DE"/>
              </w:rPr>
              <w:t>经营范围包括了认证范围内产品。</w:t>
            </w:r>
          </w:p>
        </w:tc>
        <w:tc>
          <w:tcPr>
            <w:tcW w:w="1585" w:type="dxa"/>
          </w:tcPr>
          <w:p>
            <w:pPr>
              <w:spacing w:line="360" w:lineRule="auto"/>
              <w:rPr>
                <w:rFonts w:ascii="楷体" w:hAnsi="楷体" w:eastAsia="楷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领导作用和承诺、组织的岗位职责和权限</w:t>
            </w:r>
          </w:p>
        </w:tc>
        <w:tc>
          <w:tcPr>
            <w:tcW w:w="1311" w:type="dxa"/>
            <w:vAlign w:val="center"/>
          </w:tcPr>
          <w:p>
            <w:pPr>
              <w:spacing w:line="360" w:lineRule="auto"/>
              <w:rPr>
                <w:rFonts w:ascii="楷体" w:hAnsi="楷体" w:eastAsia="楷体"/>
                <w:b/>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5.1</w:t>
            </w:r>
            <w:r>
              <w:rPr>
                <w:rFonts w:hint="eastAsia" w:ascii="楷体" w:hAnsi="楷体" w:eastAsia="楷体"/>
                <w:sz w:val="24"/>
                <w:szCs w:val="24"/>
              </w:rPr>
              <w:t>，</w:t>
            </w:r>
            <w:r>
              <w:rPr>
                <w:rFonts w:ascii="楷体" w:hAnsi="楷体" w:eastAsia="楷体"/>
                <w:sz w:val="24"/>
                <w:szCs w:val="24"/>
              </w:rPr>
              <w:t xml:space="preserve">5.3  </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据管代</w:t>
            </w:r>
            <w:r>
              <w:rPr>
                <w:rFonts w:hint="eastAsia" w:ascii="楷体" w:hAnsi="楷体" w:eastAsia="楷体" w:cs="楷体"/>
                <w:sz w:val="24"/>
                <w:lang w:val="en-US" w:eastAsia="zh-CN"/>
              </w:rPr>
              <w:t>欧阳炜煌</w:t>
            </w:r>
            <w:r>
              <w:rPr>
                <w:rFonts w:hint="eastAsia" w:ascii="楷体" w:hAnsi="楷体" w:eastAsia="楷体"/>
                <w:sz w:val="24"/>
                <w:szCs w:val="24"/>
              </w:rPr>
              <w:t>介绍，公司管理体系运行已满</w:t>
            </w:r>
            <w:r>
              <w:rPr>
                <w:rFonts w:hint="eastAsia" w:ascii="楷体" w:hAnsi="楷体" w:eastAsia="楷体"/>
                <w:sz w:val="24"/>
                <w:szCs w:val="24"/>
                <w:lang w:val="en-US" w:eastAsia="zh-CN"/>
              </w:rPr>
              <w:t>6</w:t>
            </w:r>
            <w:r>
              <w:rPr>
                <w:rFonts w:hint="eastAsia" w:ascii="楷体" w:hAnsi="楷体" w:eastAsia="楷体"/>
                <w:sz w:val="24"/>
                <w:szCs w:val="24"/>
              </w:rPr>
              <w:t>个多月。对部门及其职责进行了规定，设有</w:t>
            </w:r>
            <w:r>
              <w:rPr>
                <w:rFonts w:hint="eastAsia" w:ascii="楷体" w:hAnsi="楷体" w:eastAsia="楷体"/>
                <w:sz w:val="24"/>
                <w:szCs w:val="24"/>
                <w:lang w:val="en-US" w:eastAsia="zh-CN"/>
              </w:rPr>
              <w:t>综合部、销售部</w:t>
            </w:r>
            <w:r>
              <w:rPr>
                <w:rFonts w:hint="eastAsia" w:ascii="楷体" w:hAnsi="楷体" w:eastAsia="楷体"/>
                <w:sz w:val="24"/>
                <w:szCs w:val="24"/>
              </w:rPr>
              <w:t>，编制了岗位职责汇编，以文件上发的形式沟通各部门的职责及各部门之间工作的联系。</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总经理</w:t>
            </w:r>
            <w:r>
              <w:rPr>
                <w:rFonts w:hint="eastAsia" w:ascii="楷体" w:hAnsi="楷体" w:eastAsia="楷体" w:cs="楷体"/>
                <w:sz w:val="24"/>
                <w:lang w:val="en-US" w:eastAsia="zh-CN"/>
              </w:rPr>
              <w:t>何清鑫</w:t>
            </w:r>
            <w:r>
              <w:rPr>
                <w:rFonts w:hint="eastAsia" w:ascii="楷体" w:hAnsi="楷体" w:eastAsia="楷体"/>
                <w:sz w:val="24"/>
                <w:szCs w:val="24"/>
              </w:rPr>
              <w:t>，主要负责公司全面工作，</w:t>
            </w:r>
            <w:r>
              <w:rPr>
                <w:rFonts w:hint="eastAsia" w:ascii="楷体" w:hAnsi="楷体" w:eastAsia="楷体"/>
                <w:color w:val="000000"/>
                <w:sz w:val="24"/>
                <w:szCs w:val="24"/>
              </w:rPr>
              <w:t>日常主要侧重于公司财务及市场工作，根据体系的要求，负责组织制定方针、目标，管理评审等工作；</w:t>
            </w:r>
            <w:r>
              <w:rPr>
                <w:rFonts w:hint="eastAsia" w:ascii="楷体" w:hAnsi="楷体" w:eastAsia="楷体"/>
                <w:sz w:val="24"/>
                <w:szCs w:val="24"/>
              </w:rPr>
              <w:t>确保本公司</w:t>
            </w:r>
            <w:r>
              <w:rPr>
                <w:rFonts w:hint="eastAsia" w:ascii="楷体" w:hAnsi="楷体" w:eastAsia="楷体"/>
                <w:sz w:val="24"/>
                <w:szCs w:val="24"/>
                <w:lang w:val="en-US" w:eastAsia="zh-CN"/>
              </w:rPr>
              <w:t>管理</w:t>
            </w:r>
            <w:r>
              <w:rPr>
                <w:rFonts w:hint="eastAsia" w:ascii="楷体" w:hAnsi="楷体" w:eastAsia="楷体"/>
                <w:sz w:val="24"/>
                <w:szCs w:val="24"/>
              </w:rPr>
              <w:t>体系所需的过程得到建立、实施和保持；在全公司范围内促进满足顾客要求意识、环境保护意识、职业健康安全意识的形成和提高；就体系有关事宜对外联系。</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总经理主持建立了环境职业健康安全管理体系，对管理体系的运行和保持进行了适当的授权，提供了必需的资源，能履行其管理承诺。</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组织从</w:t>
            </w:r>
            <w:r>
              <w:rPr>
                <w:rFonts w:ascii="楷体" w:hAnsi="楷体" w:eastAsia="楷体"/>
                <w:sz w:val="24"/>
                <w:szCs w:val="24"/>
              </w:rPr>
              <w:t>2019</w:t>
            </w:r>
            <w:r>
              <w:rPr>
                <w:rFonts w:hint="eastAsia" w:ascii="楷体" w:hAnsi="楷体" w:eastAsia="楷体"/>
                <w:sz w:val="24"/>
                <w:szCs w:val="24"/>
              </w:rPr>
              <w:t>年</w:t>
            </w:r>
            <w:r>
              <w:rPr>
                <w:rFonts w:hint="eastAsia" w:ascii="楷体" w:hAnsi="楷体" w:eastAsia="楷体"/>
                <w:sz w:val="24"/>
                <w:szCs w:val="24"/>
                <w:lang w:val="en-US" w:eastAsia="zh-CN"/>
              </w:rPr>
              <w:t>9</w:t>
            </w:r>
            <w:r>
              <w:rPr>
                <w:rFonts w:hint="eastAsia" w:ascii="楷体" w:hAnsi="楷体" w:eastAsia="楷体"/>
                <w:sz w:val="24"/>
                <w:szCs w:val="24"/>
              </w:rPr>
              <w:t>月开始运行三体系，组织了内审员培训，识别了生产的过程及其相互关系，企业提供编号：</w:t>
            </w:r>
            <w:r>
              <w:rPr>
                <w:rFonts w:hint="eastAsia" w:ascii="楷体" w:hAnsi="楷体" w:eastAsia="楷体" w:cs="楷体"/>
                <w:b w:val="0"/>
                <w:bCs w:val="0"/>
                <w:color w:val="000000"/>
                <w:kern w:val="11"/>
                <w:sz w:val="24"/>
                <w:szCs w:val="24"/>
                <w:lang w:val="en-US" w:eastAsia="zh-CN"/>
              </w:rPr>
              <w:t>SY-EM-01</w:t>
            </w:r>
            <w:r>
              <w:rPr>
                <w:rFonts w:hint="eastAsia" w:ascii="楷体" w:hAnsi="楷体" w:eastAsia="楷体"/>
                <w:sz w:val="24"/>
                <w:szCs w:val="24"/>
              </w:rPr>
              <w:t>《管理手册》，依据</w:t>
            </w:r>
            <w:r>
              <w:rPr>
                <w:rFonts w:ascii="楷体" w:hAnsi="楷体" w:eastAsia="楷体"/>
                <w:sz w:val="24"/>
                <w:szCs w:val="24"/>
              </w:rPr>
              <w:t>GB/T24001-2016/IS014001:2015</w:t>
            </w:r>
            <w:r>
              <w:rPr>
                <w:rFonts w:hint="eastAsia" w:ascii="楷体" w:hAnsi="楷体" w:eastAsia="楷体"/>
                <w:sz w:val="24"/>
                <w:szCs w:val="24"/>
              </w:rPr>
              <w:t>、</w:t>
            </w:r>
            <w:r>
              <w:rPr>
                <w:rFonts w:ascii="楷体" w:hAnsi="楷体" w:eastAsia="楷体"/>
                <w:sz w:val="24"/>
                <w:szCs w:val="24"/>
              </w:rPr>
              <w:t>ISO45001:2018</w:t>
            </w:r>
            <w:r>
              <w:rPr>
                <w:rFonts w:hint="eastAsia" w:ascii="楷体" w:hAnsi="楷体" w:eastAsia="楷体"/>
                <w:sz w:val="24"/>
                <w:szCs w:val="24"/>
              </w:rPr>
              <w:t>标准。</w:t>
            </w:r>
            <w:r>
              <w:rPr>
                <w:rFonts w:ascii="楷体" w:hAnsi="楷体" w:eastAsia="楷体"/>
                <w:sz w:val="24"/>
                <w:szCs w:val="24"/>
              </w:rPr>
              <w:t>2019.</w:t>
            </w:r>
            <w:r>
              <w:rPr>
                <w:rFonts w:hint="eastAsia" w:ascii="楷体" w:hAnsi="楷体" w:eastAsia="楷体"/>
                <w:sz w:val="24"/>
                <w:szCs w:val="24"/>
                <w:lang w:val="en-US" w:eastAsia="zh-CN"/>
              </w:rPr>
              <w:t>9</w:t>
            </w:r>
            <w:r>
              <w:rPr>
                <w:rFonts w:ascii="楷体" w:hAnsi="楷体" w:eastAsia="楷体"/>
                <w:sz w:val="24"/>
                <w:szCs w:val="24"/>
              </w:rPr>
              <w:t>.2</w:t>
            </w:r>
            <w:r>
              <w:rPr>
                <w:rFonts w:hint="eastAsia" w:ascii="楷体" w:hAnsi="楷体" w:eastAsia="楷体"/>
                <w:sz w:val="24"/>
                <w:szCs w:val="24"/>
              </w:rPr>
              <w:t>发布，</w:t>
            </w:r>
            <w:r>
              <w:rPr>
                <w:rFonts w:ascii="楷体" w:hAnsi="楷体" w:eastAsia="楷体"/>
                <w:sz w:val="24"/>
                <w:szCs w:val="24"/>
              </w:rPr>
              <w:t>2019.</w:t>
            </w:r>
            <w:r>
              <w:rPr>
                <w:rFonts w:hint="eastAsia" w:ascii="楷体" w:hAnsi="楷体" w:eastAsia="楷体"/>
                <w:sz w:val="24"/>
                <w:szCs w:val="24"/>
                <w:lang w:val="en-US" w:eastAsia="zh-CN"/>
              </w:rPr>
              <w:t>9</w:t>
            </w:r>
            <w:r>
              <w:rPr>
                <w:rFonts w:ascii="楷体" w:hAnsi="楷体" w:eastAsia="楷体"/>
                <w:sz w:val="24"/>
                <w:szCs w:val="24"/>
              </w:rPr>
              <w:t>.2</w:t>
            </w:r>
            <w:r>
              <w:rPr>
                <w:rFonts w:hint="eastAsia" w:ascii="楷体" w:hAnsi="楷体" w:eastAsia="楷体"/>
                <w:sz w:val="24"/>
                <w:szCs w:val="24"/>
              </w:rPr>
              <w:t>实施；总经理</w:t>
            </w:r>
            <w:r>
              <w:rPr>
                <w:rFonts w:hint="eastAsia" w:ascii="楷体" w:hAnsi="楷体" w:eastAsia="楷体" w:cs="楷体"/>
                <w:sz w:val="24"/>
                <w:lang w:val="en-US" w:eastAsia="zh-CN"/>
              </w:rPr>
              <w:t>何清鑫</w:t>
            </w:r>
            <w:r>
              <w:rPr>
                <w:rFonts w:hint="eastAsia" w:ascii="楷体" w:hAnsi="楷体" w:eastAsia="楷体"/>
                <w:sz w:val="24"/>
                <w:szCs w:val="24"/>
              </w:rPr>
              <w:t>批准。任命管代：</w:t>
            </w:r>
            <w:r>
              <w:rPr>
                <w:rFonts w:hint="eastAsia" w:ascii="楷体" w:hAnsi="楷体" w:eastAsia="楷体" w:cs="楷体"/>
                <w:sz w:val="24"/>
                <w:lang w:val="en-US" w:eastAsia="zh-CN"/>
              </w:rPr>
              <w:t>欧阳炜煌</w:t>
            </w:r>
            <w:r>
              <w:rPr>
                <w:rFonts w:hint="eastAsia" w:ascii="楷体" w:hAnsi="楷体" w:eastAsia="楷体"/>
                <w:sz w:val="24"/>
                <w:szCs w:val="24"/>
              </w:rPr>
              <w:t>；职业健康安全事务代表：</w:t>
            </w:r>
            <w:r>
              <w:rPr>
                <w:rFonts w:hint="eastAsia" w:ascii="楷体" w:hAnsi="楷体" w:eastAsia="楷体" w:cs="楷体"/>
                <w:sz w:val="24"/>
                <w:lang w:val="en-US" w:eastAsia="zh-CN"/>
              </w:rPr>
              <w:t>吕吉顺</w:t>
            </w:r>
            <w:r>
              <w:rPr>
                <w:rFonts w:hint="eastAsia" w:ascii="楷体" w:hAnsi="楷体" w:eastAsia="楷体"/>
                <w:sz w:val="24"/>
                <w:szCs w:val="24"/>
              </w:rPr>
              <w:t>，现有手册从发布实施以来已经运行</w:t>
            </w:r>
            <w:r>
              <w:rPr>
                <w:rFonts w:ascii="楷体" w:hAnsi="楷体" w:eastAsia="楷体"/>
                <w:sz w:val="24"/>
                <w:szCs w:val="24"/>
              </w:rPr>
              <w:t xml:space="preserve"> </w:t>
            </w:r>
            <w:r>
              <w:rPr>
                <w:rFonts w:hint="eastAsia" w:ascii="楷体" w:hAnsi="楷体" w:eastAsia="楷体"/>
                <w:sz w:val="24"/>
                <w:szCs w:val="24"/>
                <w:lang w:val="en-US" w:eastAsia="zh-CN"/>
              </w:rPr>
              <w:t>6</w:t>
            </w:r>
            <w:r>
              <w:rPr>
                <w:rFonts w:hint="eastAsia" w:ascii="楷体" w:hAnsi="楷体" w:eastAsia="楷体"/>
                <w:sz w:val="24"/>
                <w:szCs w:val="24"/>
              </w:rPr>
              <w:t>个月以上。</w:t>
            </w:r>
          </w:p>
        </w:tc>
        <w:tc>
          <w:tcPr>
            <w:tcW w:w="1585" w:type="dxa"/>
          </w:tcPr>
          <w:p>
            <w:pPr>
              <w:spacing w:line="360" w:lineRule="auto"/>
              <w:rPr>
                <w:rFonts w:ascii="楷体" w:hAnsi="楷体" w:eastAsia="楷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理解组织及其环境</w:t>
            </w:r>
          </w:p>
        </w:tc>
        <w:tc>
          <w:tcPr>
            <w:tcW w:w="1311" w:type="dxa"/>
            <w:vAlign w:val="center"/>
          </w:tcPr>
          <w:p>
            <w:pPr>
              <w:spacing w:line="360" w:lineRule="auto"/>
              <w:rPr>
                <w:rFonts w:ascii="楷体" w:hAnsi="楷体" w:eastAsia="楷体"/>
                <w:b/>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4.1</w:t>
            </w:r>
          </w:p>
        </w:tc>
        <w:tc>
          <w:tcPr>
            <w:tcW w:w="10004" w:type="dxa"/>
            <w:vAlign w:val="center"/>
          </w:tcPr>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提供《管理手册</w:t>
            </w:r>
            <w:r>
              <w:rPr>
                <w:rFonts w:hint="eastAsia" w:ascii="楷体" w:hAnsi="楷体" w:eastAsia="楷体" w:cs="楷体"/>
                <w:b w:val="0"/>
                <w:bCs w:val="0"/>
                <w:color w:val="000000"/>
                <w:kern w:val="11"/>
                <w:sz w:val="24"/>
                <w:szCs w:val="24"/>
                <w:lang w:val="en-US" w:eastAsia="zh-CN"/>
              </w:rPr>
              <w:t>SY-EM-01</w:t>
            </w:r>
            <w:r>
              <w:rPr>
                <w:rFonts w:hint="eastAsia" w:ascii="楷体" w:hAnsi="楷体" w:eastAsia="楷体"/>
                <w:color w:val="000000"/>
                <w:sz w:val="24"/>
                <w:szCs w:val="24"/>
              </w:rPr>
              <w:t>》，对公司地理位置、国内市场地位、法律法规要求、公司内部文化观价值观、内外部环境变化等均作出描述。</w:t>
            </w:r>
            <w:r>
              <w:rPr>
                <w:rFonts w:ascii="楷体" w:hAnsi="楷体" w:eastAsia="楷体"/>
                <w:color w:val="000000"/>
                <w:sz w:val="24"/>
                <w:szCs w:val="24"/>
              </w:rPr>
              <w:t xml:space="preserve"> </w:t>
            </w:r>
          </w:p>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与总经理</w:t>
            </w:r>
            <w:r>
              <w:rPr>
                <w:rFonts w:hint="eastAsia" w:ascii="楷体" w:hAnsi="楷体" w:eastAsia="楷体" w:cs="楷体"/>
                <w:sz w:val="24"/>
                <w:lang w:val="en-US" w:eastAsia="zh-CN"/>
              </w:rPr>
              <w:t>何清鑫</w:t>
            </w:r>
            <w:r>
              <w:rPr>
                <w:rFonts w:hint="eastAsia" w:ascii="楷体" w:hAnsi="楷体" w:eastAsia="楷体"/>
                <w:color w:val="000000"/>
                <w:sz w:val="24"/>
                <w:szCs w:val="24"/>
              </w:rPr>
              <w:t>沟通，简单介绍了公司发展历程、公司文化的形成与发展、长短期发展目标、价值观的沟通，并对如何创造公司良好的内部环境提出要求，对公司目前所处的外部环境也做了简单分析。公司介绍，</w:t>
            </w:r>
            <w:r>
              <w:rPr>
                <w:rFonts w:hint="eastAsia" w:ascii="楷体" w:hAnsi="楷体" w:eastAsia="楷体"/>
                <w:color w:val="000000"/>
                <w:sz w:val="24"/>
                <w:szCs w:val="24"/>
                <w:lang w:val="en-US" w:eastAsia="zh-CN"/>
              </w:rPr>
              <w:t>服务项目</w:t>
            </w:r>
            <w:r>
              <w:rPr>
                <w:rFonts w:hint="eastAsia" w:ascii="楷体" w:hAnsi="楷体" w:eastAsia="楷体"/>
                <w:color w:val="000000"/>
                <w:sz w:val="24"/>
                <w:szCs w:val="24"/>
              </w:rPr>
              <w:t>在国内居于领先地位，在行业内占据一定市场地位。</w:t>
            </w:r>
          </w:p>
          <w:p>
            <w:pPr>
              <w:spacing w:line="360" w:lineRule="auto"/>
              <w:ind w:firstLine="480" w:firstLineChars="200"/>
              <w:rPr>
                <w:rFonts w:ascii="楷体" w:hAnsi="楷体" w:eastAsia="楷体"/>
                <w:sz w:val="24"/>
                <w:szCs w:val="24"/>
              </w:rPr>
            </w:pPr>
            <w:r>
              <w:rPr>
                <w:rFonts w:hint="eastAsia" w:ascii="楷体" w:hAnsi="楷体" w:eastAsia="楷体"/>
                <w:color w:val="000000"/>
                <w:sz w:val="24"/>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pPr>
              <w:spacing w:line="360" w:lineRule="auto"/>
              <w:rPr>
                <w:rFonts w:ascii="楷体" w:hAnsi="楷体" w:eastAsia="楷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理解相关方的需求和期望</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4.2</w:t>
            </w:r>
          </w:p>
        </w:tc>
        <w:tc>
          <w:tcPr>
            <w:tcW w:w="10004" w:type="dxa"/>
            <w:vAlign w:val="center"/>
          </w:tcPr>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相关方包括顾客、股东、员工、供应商、竞争对手、社会团体等。相关方期望和要求为价格、安全性、合同协议、行业规范标准等。识别的方法为：主动调查、水平对比等。</w:t>
            </w:r>
            <w:r>
              <w:rPr>
                <w:rFonts w:hint="eastAsia" w:ascii="楷体" w:hAnsi="楷体" w:eastAsia="楷体"/>
                <w:color w:val="000000"/>
                <w:sz w:val="24"/>
                <w:szCs w:val="24"/>
                <w:lang w:val="en-US" w:eastAsia="zh-CN"/>
              </w:rPr>
              <w:t>销售</w:t>
            </w:r>
            <w:r>
              <w:rPr>
                <w:rFonts w:hint="eastAsia" w:ascii="楷体" w:hAnsi="楷体" w:eastAsia="楷体"/>
                <w:color w:val="000000"/>
                <w:sz w:val="24"/>
                <w:szCs w:val="24"/>
              </w:rPr>
              <w:t>指标或项目：顾客满意度、客户投诉率、供方评价表等。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基本识别了与组织管理体系有关的相关方和要求</w:t>
            </w:r>
            <w:r>
              <w:rPr>
                <w:rFonts w:hint="eastAsia" w:ascii="楷体" w:hAnsi="楷体" w:eastAsia="楷体"/>
                <w:sz w:val="24"/>
                <w:szCs w:val="24"/>
                <w:lang w:val="zh-CN"/>
              </w:rPr>
              <w:t>。</w:t>
            </w:r>
          </w:p>
        </w:tc>
        <w:tc>
          <w:tcPr>
            <w:tcW w:w="1585" w:type="dxa"/>
          </w:tcPr>
          <w:p>
            <w:pPr>
              <w:spacing w:line="360" w:lineRule="auto"/>
              <w:rPr>
                <w:rFonts w:ascii="楷体" w:hAnsi="楷体" w:eastAsia="楷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环境</w:t>
            </w:r>
            <w:r>
              <w:rPr>
                <w:rFonts w:ascii="楷体" w:hAnsi="楷体" w:eastAsia="楷体"/>
                <w:sz w:val="24"/>
                <w:szCs w:val="24"/>
              </w:rPr>
              <w:t>/</w:t>
            </w:r>
            <w:r>
              <w:rPr>
                <w:rFonts w:hint="eastAsia" w:ascii="楷体" w:hAnsi="楷体" w:eastAsia="楷体"/>
                <w:sz w:val="24"/>
                <w:szCs w:val="24"/>
              </w:rPr>
              <w:t>职业健康安全</w:t>
            </w:r>
            <w:r>
              <w:rPr>
                <w:rFonts w:ascii="楷体" w:hAnsi="楷体" w:eastAsia="楷体"/>
                <w:sz w:val="24"/>
                <w:szCs w:val="24"/>
              </w:rPr>
              <w:t>/</w:t>
            </w:r>
            <w:r>
              <w:rPr>
                <w:rFonts w:hint="eastAsia" w:ascii="楷体" w:hAnsi="楷体" w:eastAsia="楷体"/>
                <w:sz w:val="24"/>
                <w:szCs w:val="24"/>
              </w:rPr>
              <w:t>职业健康安全管理体系的范围</w:t>
            </w:r>
          </w:p>
        </w:tc>
        <w:tc>
          <w:tcPr>
            <w:tcW w:w="1311" w:type="dxa"/>
            <w:vAlign w:val="center"/>
          </w:tcPr>
          <w:p>
            <w:pPr>
              <w:spacing w:line="360" w:lineRule="auto"/>
              <w:rPr>
                <w:rFonts w:ascii="楷体" w:hAnsi="楷体" w:eastAsia="楷体"/>
                <w:color w:val="000000"/>
                <w:sz w:val="24"/>
                <w:szCs w:val="24"/>
              </w:rPr>
            </w:pPr>
            <w:r>
              <w:rPr>
                <w:rFonts w:ascii="楷体" w:hAnsi="楷体" w:eastAsia="楷体"/>
                <w:color w:val="000000"/>
                <w:sz w:val="24"/>
                <w:szCs w:val="24"/>
              </w:rPr>
              <w:t>EO</w:t>
            </w:r>
            <w:r>
              <w:rPr>
                <w:rFonts w:hint="eastAsia" w:ascii="楷体" w:hAnsi="楷体" w:eastAsia="楷体"/>
                <w:color w:val="000000"/>
                <w:sz w:val="24"/>
                <w:szCs w:val="24"/>
              </w:rPr>
              <w:t>：</w:t>
            </w:r>
            <w:r>
              <w:rPr>
                <w:rFonts w:ascii="楷体" w:hAnsi="楷体" w:eastAsia="楷体"/>
                <w:color w:val="000000"/>
                <w:sz w:val="24"/>
                <w:szCs w:val="24"/>
              </w:rPr>
              <w:t xml:space="preserve">4.3 </w:t>
            </w:r>
          </w:p>
        </w:tc>
        <w:tc>
          <w:tcPr>
            <w:tcW w:w="10004" w:type="dxa"/>
            <w:vAlign w:val="center"/>
          </w:tcPr>
          <w:p>
            <w:pPr>
              <w:spacing w:line="360" w:lineRule="auto"/>
              <w:jc w:val="left"/>
              <w:rPr>
                <w:rFonts w:ascii="楷体" w:hAnsi="楷体" w:eastAsia="楷体"/>
                <w:color w:val="000000"/>
                <w:sz w:val="24"/>
                <w:szCs w:val="24"/>
              </w:rPr>
            </w:pPr>
            <w:r>
              <w:rPr>
                <w:rFonts w:hint="eastAsia" w:ascii="楷体" w:hAnsi="楷体" w:eastAsia="楷体"/>
                <w:color w:val="000000"/>
                <w:sz w:val="24"/>
                <w:szCs w:val="24"/>
              </w:rPr>
              <w:t>经确认企业的管理体系范围是：</w:t>
            </w:r>
          </w:p>
          <w:p>
            <w:pPr>
              <w:rPr>
                <w:rFonts w:hint="eastAsia" w:ascii="楷体" w:hAnsi="楷体" w:eastAsia="楷体" w:cs="楷体"/>
                <w:sz w:val="24"/>
                <w:szCs w:val="24"/>
              </w:rPr>
            </w:pPr>
            <w:r>
              <w:rPr>
                <w:rFonts w:hint="eastAsia" w:ascii="楷体" w:hAnsi="楷体" w:eastAsia="楷体" w:cs="楷体"/>
                <w:sz w:val="24"/>
                <w:szCs w:val="24"/>
                <w:lang w:val="en-US" w:eastAsia="zh-CN"/>
              </w:rPr>
              <w:t>E：</w:t>
            </w:r>
            <w:r>
              <w:rPr>
                <w:rFonts w:hint="eastAsia" w:ascii="楷体" w:hAnsi="楷体" w:eastAsia="楷体" w:cs="楷体"/>
                <w:sz w:val="24"/>
                <w:szCs w:val="24"/>
              </w:rPr>
              <w:t>环保固液分离设备（压滤机、柱塞泵）的销售（法规强制要求范围除外）所涉及的相关环境管理活动。</w:t>
            </w:r>
          </w:p>
          <w:p>
            <w:pPr>
              <w:spacing w:line="360" w:lineRule="auto"/>
              <w:rPr>
                <w:rFonts w:ascii="楷体" w:hAnsi="楷体" w:eastAsia="楷体"/>
                <w:color w:val="000000"/>
                <w:sz w:val="24"/>
                <w:szCs w:val="24"/>
              </w:rPr>
            </w:pPr>
            <w:r>
              <w:rPr>
                <w:rFonts w:hint="eastAsia" w:ascii="楷体" w:hAnsi="楷体" w:eastAsia="楷体" w:cs="楷体"/>
                <w:sz w:val="24"/>
                <w:szCs w:val="24"/>
              </w:rPr>
              <w:t>O：环保固液分离设备（压滤机、柱塞泵）的销售（法规强制要求范围除外）所涉及的相关职业健康安全管理活</w:t>
            </w:r>
            <w:r>
              <w:rPr>
                <w:sz w:val="20"/>
              </w:rPr>
              <w:t>动。</w:t>
            </w:r>
            <w:r>
              <w:rPr>
                <w:rFonts w:hint="eastAsia" w:ascii="楷体" w:hAnsi="楷体" w:eastAsia="楷体"/>
                <w:color w:val="000000"/>
                <w:sz w:val="24"/>
                <w:szCs w:val="24"/>
              </w:rPr>
              <w:t>公司按照国标和客户要求进行</w:t>
            </w:r>
            <w:r>
              <w:rPr>
                <w:rFonts w:hint="eastAsia" w:ascii="楷体" w:hAnsi="楷体" w:eastAsia="楷体"/>
                <w:color w:val="000000"/>
                <w:sz w:val="24"/>
                <w:szCs w:val="24"/>
                <w:lang w:val="en-US" w:eastAsia="zh-CN"/>
              </w:rPr>
              <w:t>销售。</w:t>
            </w:r>
          </w:p>
        </w:tc>
        <w:tc>
          <w:tcPr>
            <w:tcW w:w="1585" w:type="dxa"/>
          </w:tcPr>
          <w:p>
            <w:pPr>
              <w:spacing w:line="360" w:lineRule="auto"/>
              <w:rPr>
                <w:rFonts w:ascii="楷体" w:hAnsi="楷体" w:eastAsia="楷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环境</w:t>
            </w:r>
            <w:r>
              <w:rPr>
                <w:rFonts w:ascii="楷体" w:hAnsi="楷体" w:eastAsia="楷体"/>
                <w:sz w:val="24"/>
                <w:szCs w:val="24"/>
              </w:rPr>
              <w:t>/</w:t>
            </w:r>
            <w:r>
              <w:rPr>
                <w:rFonts w:hint="eastAsia" w:ascii="楷体" w:hAnsi="楷体" w:eastAsia="楷体"/>
                <w:sz w:val="24"/>
                <w:szCs w:val="24"/>
              </w:rPr>
              <w:t>职业健康安全管理体系及其过程</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 xml:space="preserve">4.4  </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公司按照</w:t>
            </w:r>
            <w:r>
              <w:rPr>
                <w:rFonts w:ascii="楷体" w:hAnsi="楷体" w:eastAsia="楷体"/>
                <w:sz w:val="24"/>
                <w:szCs w:val="24"/>
              </w:rPr>
              <w:t xml:space="preserve"> GB/T24001-2016</w:t>
            </w:r>
            <w:r>
              <w:rPr>
                <w:rFonts w:hint="eastAsia" w:ascii="楷体" w:hAnsi="楷体" w:eastAsia="楷体"/>
                <w:sz w:val="24"/>
                <w:szCs w:val="24"/>
              </w:rPr>
              <w:t>和</w:t>
            </w:r>
            <w:r>
              <w:rPr>
                <w:rFonts w:ascii="楷体" w:hAnsi="楷体" w:eastAsia="楷体"/>
                <w:sz w:val="24"/>
                <w:szCs w:val="24"/>
              </w:rPr>
              <w:t xml:space="preserve">ISO45001:2018 </w:t>
            </w:r>
            <w:r>
              <w:rPr>
                <w:rFonts w:hint="eastAsia" w:ascii="楷体" w:hAnsi="楷体" w:eastAsia="楷体"/>
                <w:sz w:val="24"/>
                <w:szCs w:val="24"/>
              </w:rPr>
              <w:t>标准的要求识别了环境</w:t>
            </w:r>
            <w:r>
              <w:rPr>
                <w:rFonts w:ascii="楷体" w:hAnsi="楷体" w:eastAsia="楷体"/>
                <w:sz w:val="24"/>
                <w:szCs w:val="24"/>
              </w:rPr>
              <w:t>/</w:t>
            </w:r>
            <w:r>
              <w:rPr>
                <w:rFonts w:hint="eastAsia" w:ascii="楷体" w:hAnsi="楷体" w:eastAsia="楷体"/>
                <w:sz w:val="24"/>
                <w:szCs w:val="24"/>
              </w:rPr>
              <w:t>职业健康安全管理所需的过程及相互作用，识别了环境、职业健康安全管理体系涉及的各个过程：</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a) </w:t>
            </w:r>
            <w:r>
              <w:rPr>
                <w:rFonts w:hint="eastAsia" w:ascii="楷体" w:hAnsi="楷体" w:eastAsia="楷体"/>
                <w:sz w:val="24"/>
                <w:szCs w:val="24"/>
              </w:rPr>
              <w:t>确定这些过程所需的输入和期望的输出；</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b) </w:t>
            </w:r>
            <w:r>
              <w:rPr>
                <w:rFonts w:hint="eastAsia" w:ascii="楷体" w:hAnsi="楷体" w:eastAsia="楷体"/>
                <w:sz w:val="24"/>
                <w:szCs w:val="24"/>
              </w:rPr>
              <w:t>确定这些过程的顺序和相互作用；</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c) </w:t>
            </w:r>
            <w:r>
              <w:rPr>
                <w:rFonts w:hint="eastAsia" w:ascii="楷体" w:hAnsi="楷体" w:eastAsia="楷体"/>
                <w:sz w:val="24"/>
                <w:szCs w:val="24"/>
              </w:rPr>
              <w:t>建立了程序文件、管理制度、作业指导书、检验规程等明确了各个过程所需的准则和方法，并明确了目标。</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d) </w:t>
            </w:r>
            <w:r>
              <w:rPr>
                <w:rFonts w:hint="eastAsia" w:ascii="楷体" w:hAnsi="楷体" w:eastAsia="楷体"/>
                <w:sz w:val="24"/>
                <w:szCs w:val="24"/>
              </w:rPr>
              <w:t>规定了每个过程所需的资源；</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e) </w:t>
            </w:r>
            <w:r>
              <w:rPr>
                <w:rFonts w:hint="eastAsia" w:ascii="楷体" w:hAnsi="楷体" w:eastAsia="楷体"/>
                <w:sz w:val="24"/>
                <w:szCs w:val="24"/>
              </w:rPr>
              <w:t>规定与这些过程相关的责任和权限；</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  f) </w:t>
            </w:r>
            <w:r>
              <w:rPr>
                <w:rFonts w:hint="eastAsia" w:ascii="楷体" w:hAnsi="楷体" w:eastAsia="楷体"/>
                <w:sz w:val="24"/>
                <w:szCs w:val="24"/>
              </w:rPr>
              <w:t>针对这些过程识别和确定了质量管理活动的风险、机会以及所需的措施；</w:t>
            </w:r>
          </w:p>
          <w:p>
            <w:pPr>
              <w:spacing w:line="360" w:lineRule="auto"/>
              <w:ind w:firstLine="480" w:firstLineChars="200"/>
              <w:rPr>
                <w:rFonts w:ascii="楷体" w:hAnsi="楷体" w:eastAsia="楷体"/>
                <w:sz w:val="24"/>
                <w:szCs w:val="24"/>
              </w:rPr>
            </w:pPr>
            <w:r>
              <w:rPr>
                <w:rFonts w:ascii="楷体" w:hAnsi="楷体" w:eastAsia="楷体"/>
                <w:sz w:val="24"/>
                <w:szCs w:val="24"/>
              </w:rPr>
              <w:t xml:space="preserve">g) </w:t>
            </w:r>
            <w:r>
              <w:rPr>
                <w:rFonts w:hint="eastAsia" w:ascii="楷体" w:hAnsi="楷体" w:eastAsia="楷体"/>
                <w:sz w:val="24"/>
                <w:szCs w:val="24"/>
              </w:rPr>
              <w:t>对这些过程进行了评价，暂无所需的变更；</w:t>
            </w:r>
          </w:p>
          <w:p>
            <w:pPr>
              <w:spacing w:line="360" w:lineRule="auto"/>
              <w:ind w:firstLine="480" w:firstLineChars="200"/>
              <w:rPr>
                <w:rFonts w:ascii="楷体" w:hAnsi="楷体" w:eastAsia="楷体"/>
                <w:sz w:val="24"/>
                <w:szCs w:val="24"/>
              </w:rPr>
            </w:pPr>
            <w:r>
              <w:rPr>
                <w:rFonts w:ascii="楷体" w:hAnsi="楷体" w:eastAsia="楷体"/>
                <w:sz w:val="24"/>
                <w:szCs w:val="24"/>
              </w:rPr>
              <w:t xml:space="preserve">h) </w:t>
            </w:r>
            <w:r>
              <w:rPr>
                <w:rFonts w:hint="eastAsia" w:ascii="楷体" w:hAnsi="楷体" w:eastAsia="楷体"/>
                <w:sz w:val="24"/>
                <w:szCs w:val="24"/>
              </w:rPr>
              <w:t>公司通过绩效评价、内部审核、管理评审等以期对环境</w:t>
            </w:r>
            <w:r>
              <w:rPr>
                <w:rFonts w:ascii="楷体" w:hAnsi="楷体" w:eastAsia="楷体"/>
                <w:sz w:val="24"/>
                <w:szCs w:val="24"/>
              </w:rPr>
              <w:t>/</w:t>
            </w:r>
            <w:r>
              <w:rPr>
                <w:rFonts w:hint="eastAsia" w:ascii="楷体" w:hAnsi="楷体" w:eastAsia="楷体"/>
                <w:sz w:val="24"/>
                <w:szCs w:val="24"/>
              </w:rPr>
              <w:t>职业健康安全管理管理体系得到改进。</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公司按照标准建立了文件化的环境</w:t>
            </w:r>
            <w:r>
              <w:rPr>
                <w:rFonts w:ascii="楷体" w:hAnsi="楷体" w:eastAsia="楷体"/>
                <w:sz w:val="24"/>
                <w:szCs w:val="24"/>
              </w:rPr>
              <w:t>/</w:t>
            </w:r>
            <w:r>
              <w:rPr>
                <w:rFonts w:hint="eastAsia" w:ascii="楷体" w:hAnsi="楷体" w:eastAsia="楷体"/>
                <w:sz w:val="24"/>
                <w:szCs w:val="24"/>
              </w:rPr>
              <w:t>职业健康安全管理体系，编制了环境</w:t>
            </w:r>
            <w:r>
              <w:rPr>
                <w:rFonts w:ascii="楷体" w:hAnsi="楷体" w:eastAsia="楷体"/>
                <w:sz w:val="24"/>
                <w:szCs w:val="24"/>
              </w:rPr>
              <w:t>/</w:t>
            </w:r>
            <w:r>
              <w:rPr>
                <w:rFonts w:hint="eastAsia" w:ascii="楷体" w:hAnsi="楷体" w:eastAsia="楷体"/>
                <w:sz w:val="24"/>
                <w:szCs w:val="24"/>
              </w:rPr>
              <w:t>职业健康安全手册，流程性文件、管理制度、作业指导书、检验规程等；并对各个过程的监控进行了记录，形成了相关文件化信息，为过程运行提供了支持，以证实过程按照策划执行。</w:t>
            </w:r>
          </w:p>
        </w:tc>
        <w:tc>
          <w:tcPr>
            <w:tcW w:w="1585" w:type="dxa"/>
          </w:tcPr>
          <w:p>
            <w:pPr>
              <w:spacing w:line="360" w:lineRule="auto"/>
              <w:rPr>
                <w:rFonts w:ascii="楷体" w:hAnsi="楷体" w:eastAsia="楷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方针</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 xml:space="preserve">5.2 </w:t>
            </w:r>
          </w:p>
        </w:tc>
        <w:tc>
          <w:tcPr>
            <w:tcW w:w="10004" w:type="dxa"/>
            <w:vAlign w:val="center"/>
          </w:tcPr>
          <w:p>
            <w:pPr>
              <w:spacing w:line="360" w:lineRule="auto"/>
              <w:rPr>
                <w:rFonts w:ascii="楷体" w:hAnsi="楷体" w:eastAsia="楷体"/>
                <w:sz w:val="24"/>
                <w:szCs w:val="24"/>
              </w:rPr>
            </w:pPr>
            <w:r>
              <w:rPr>
                <w:rFonts w:hint="eastAsia" w:ascii="楷体" w:hAnsi="楷体" w:eastAsia="楷体"/>
                <w:sz w:val="24"/>
                <w:szCs w:val="24"/>
              </w:rPr>
              <w:t>企业已经制定环境、安全方针，具体包含在《管理手册》，公司的环境、职业健康安全方针是：</w:t>
            </w:r>
          </w:p>
          <w:p>
            <w:pPr>
              <w:pStyle w:val="2"/>
              <w:spacing w:line="410" w:lineRule="exact"/>
              <w:ind w:firstLine="480" w:firstLineChars="200"/>
              <w:jc w:val="both"/>
              <w:rPr>
                <w:rFonts w:hint="eastAsia" w:ascii="楷体" w:hAnsi="楷体" w:eastAsia="楷体" w:cs="楷体"/>
                <w:b w:val="0"/>
                <w:bCs/>
                <w:spacing w:val="20"/>
                <w:sz w:val="24"/>
                <w:szCs w:val="24"/>
              </w:rPr>
            </w:pPr>
            <w:r>
              <w:rPr>
                <w:rFonts w:hint="eastAsia" w:ascii="楷体" w:hAnsi="楷体" w:eastAsia="楷体" w:cs="楷体"/>
                <w:b w:val="0"/>
                <w:bCs/>
                <w:sz w:val="24"/>
                <w:szCs w:val="24"/>
              </w:rPr>
              <w:t>遵纪守法，爱护环境。安全第一，持续改进。</w:t>
            </w:r>
          </w:p>
          <w:p>
            <w:pPr>
              <w:spacing w:line="360" w:lineRule="auto"/>
              <w:rPr>
                <w:rFonts w:ascii="楷体" w:hAnsi="楷体" w:eastAsia="楷体"/>
                <w:sz w:val="24"/>
                <w:szCs w:val="24"/>
              </w:rPr>
            </w:pPr>
            <w:r>
              <w:rPr>
                <w:rFonts w:hint="eastAsia" w:ascii="楷体" w:hAnsi="楷体" w:eastAsia="楷体"/>
                <w:sz w:val="24"/>
                <w:szCs w:val="24"/>
              </w:rPr>
              <w:t>查领导层参与制定管理体系方针的情况，是否熟悉组织的管理体系方针内容、含义：</w:t>
            </w:r>
          </w:p>
          <w:p>
            <w:pPr>
              <w:spacing w:line="360" w:lineRule="auto"/>
              <w:rPr>
                <w:rFonts w:ascii="楷体" w:hAnsi="楷体" w:eastAsia="楷体"/>
                <w:sz w:val="24"/>
                <w:szCs w:val="24"/>
              </w:rPr>
            </w:pPr>
            <w:r>
              <w:rPr>
                <w:rFonts w:hint="eastAsia" w:ascii="楷体" w:hAnsi="楷体" w:eastAsia="楷体"/>
                <w:sz w:val="24"/>
                <w:szCs w:val="24"/>
              </w:rPr>
              <w:t>总经理</w:t>
            </w:r>
            <w:r>
              <w:rPr>
                <w:rFonts w:hint="eastAsia" w:ascii="楷体" w:hAnsi="楷体" w:eastAsia="楷体"/>
                <w:sz w:val="24"/>
                <w:szCs w:val="24"/>
                <w:lang w:eastAsia="zh-CN"/>
              </w:rPr>
              <w:t>：</w:t>
            </w:r>
            <w:r>
              <w:rPr>
                <w:rFonts w:hint="eastAsia" w:ascii="楷体" w:hAnsi="楷体" w:eastAsia="楷体" w:cs="楷体"/>
                <w:sz w:val="24"/>
                <w:lang w:val="en-US" w:eastAsia="zh-CN"/>
              </w:rPr>
              <w:t>何清鑫</w:t>
            </w:r>
            <w:r>
              <w:rPr>
                <w:rFonts w:hint="eastAsia" w:ascii="楷体" w:hAnsi="楷体" w:eastAsia="楷体"/>
                <w:sz w:val="24"/>
                <w:szCs w:val="24"/>
                <w:lang w:val="en-US" w:eastAsia="zh-CN"/>
              </w:rPr>
              <w:t>，</w:t>
            </w:r>
            <w:r>
              <w:rPr>
                <w:rFonts w:hint="eastAsia" w:ascii="楷体" w:hAnsi="楷体" w:eastAsia="楷体"/>
                <w:sz w:val="24"/>
                <w:szCs w:val="24"/>
              </w:rPr>
              <w:t>管代</w:t>
            </w:r>
            <w:r>
              <w:rPr>
                <w:rFonts w:ascii="楷体" w:hAnsi="楷体" w:eastAsia="楷体"/>
                <w:sz w:val="24"/>
                <w:szCs w:val="24"/>
              </w:rPr>
              <w:t>:</w:t>
            </w:r>
            <w:r>
              <w:rPr>
                <w:rFonts w:hint="eastAsia" w:ascii="楷体" w:hAnsi="楷体" w:eastAsia="楷体" w:cs="楷体"/>
                <w:sz w:val="24"/>
                <w:lang w:val="en-US" w:eastAsia="zh-CN"/>
              </w:rPr>
              <w:t>欧阳炜煌</w:t>
            </w:r>
            <w:r>
              <w:rPr>
                <w:rFonts w:hint="eastAsia" w:ascii="楷体" w:hAnsi="楷体" w:eastAsia="楷体"/>
                <w:sz w:val="24"/>
                <w:szCs w:val="24"/>
              </w:rPr>
              <w:t>，按照标准要求制订的方针，并介绍了方针的含义，对体系知识的学习还需加强。管理评审对环境、职业健康安全方针的适宜性作了评审，判定适宜，适合公司的发展需求。环境和职业健康安全方针符合标准要求。</w:t>
            </w:r>
          </w:p>
        </w:tc>
        <w:tc>
          <w:tcPr>
            <w:tcW w:w="1585" w:type="dxa"/>
          </w:tcPr>
          <w:p>
            <w:pPr>
              <w:spacing w:line="360" w:lineRule="auto"/>
              <w:rPr>
                <w:rFonts w:ascii="楷体" w:hAnsi="楷体" w:eastAsia="楷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组织的角色、职责和权限</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 xml:space="preserve">5.3  </w:t>
            </w:r>
          </w:p>
        </w:tc>
        <w:tc>
          <w:tcPr>
            <w:tcW w:w="10004" w:type="dxa"/>
            <w:vAlign w:val="center"/>
          </w:tcPr>
          <w:p>
            <w:pPr>
              <w:spacing w:line="360" w:lineRule="auto"/>
              <w:ind w:firstLine="480" w:firstLineChars="200"/>
              <w:rPr>
                <w:rFonts w:ascii="楷体" w:hAnsi="楷体" w:eastAsia="楷体"/>
                <w:color w:val="000000"/>
                <w:sz w:val="24"/>
                <w:szCs w:val="24"/>
              </w:rPr>
            </w:pPr>
            <w:r>
              <w:rPr>
                <w:rFonts w:hint="eastAsia" w:ascii="楷体" w:hAnsi="楷体" w:eastAsia="楷体"/>
                <w:sz w:val="24"/>
                <w:szCs w:val="24"/>
              </w:rPr>
              <w:t>最高管理者明确了各部门和各岗位的职责和权限，以确保管理体系符合各项标准的要求，并确保各个过程获得其预期输出，向最高管理者报告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tc>
        <w:tc>
          <w:tcPr>
            <w:tcW w:w="1585" w:type="dxa"/>
          </w:tcPr>
          <w:p>
            <w:pPr>
              <w:spacing w:line="360" w:lineRule="auto"/>
              <w:rPr>
                <w:rFonts w:ascii="楷体" w:hAnsi="楷体" w:eastAsia="楷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应对风险和机会的措施</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 xml:space="preserve"> 6.1.1</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编制有《风险和机遇的应对控制程序》，对组织内外的风险和机遇进行了策划。提供《风险和机遇评估分析表》，识别了风险和机遇来源、风险和机遇内容、管理措施、责任部门、实时时间、评价措施等，应对措施：与风险、机遇相适应。</w:t>
            </w:r>
          </w:p>
        </w:tc>
        <w:tc>
          <w:tcPr>
            <w:tcW w:w="1585" w:type="dxa"/>
          </w:tcPr>
          <w:p>
            <w:pPr>
              <w:spacing w:line="360" w:lineRule="auto"/>
              <w:rPr>
                <w:rFonts w:ascii="楷体" w:hAnsi="楷体" w:eastAsia="楷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目标和措施计划（管理方案）</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 xml:space="preserve">6.2  </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spacing w:line="360" w:lineRule="auto"/>
              <w:rPr>
                <w:rFonts w:ascii="楷体" w:hAnsi="楷体" w:eastAsia="楷体"/>
                <w:sz w:val="24"/>
                <w:szCs w:val="24"/>
              </w:rPr>
            </w:pPr>
            <w:r>
              <w:rPr>
                <w:rFonts w:hint="eastAsia" w:ascii="楷体" w:hAnsi="楷体" w:eastAsia="楷体"/>
                <w:sz w:val="24"/>
                <w:szCs w:val="24"/>
              </w:rPr>
              <w:t>安全环境目标：</w:t>
            </w:r>
          </w:p>
          <w:p>
            <w:pPr>
              <w:spacing w:line="410" w:lineRule="exact"/>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环境目标：</w:t>
            </w:r>
          </w:p>
          <w:p>
            <w:pPr>
              <w:spacing w:line="41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1.固体废弃物分类管理，处置率100%；</w:t>
            </w:r>
          </w:p>
          <w:p>
            <w:pPr>
              <w:spacing w:line="41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2.杜绝火灾事故。</w:t>
            </w:r>
          </w:p>
          <w:p>
            <w:pPr>
              <w:spacing w:line="410" w:lineRule="exact"/>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职业健康安全目标：</w:t>
            </w:r>
          </w:p>
          <w:p>
            <w:pPr>
              <w:numPr>
                <w:ilvl w:val="0"/>
                <w:numId w:val="1"/>
              </w:numPr>
              <w:spacing w:line="41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触电</w:t>
            </w:r>
            <w:r>
              <w:rPr>
                <w:rFonts w:hint="eastAsia" w:ascii="楷体" w:hAnsi="楷体" w:eastAsia="楷体" w:cs="楷体"/>
                <w:sz w:val="24"/>
                <w:szCs w:val="24"/>
                <w:lang w:val="en-US" w:eastAsia="zh-CN"/>
              </w:rPr>
              <w:t>事故为0次/年;</w:t>
            </w:r>
          </w:p>
          <w:p>
            <w:pPr>
              <w:numPr>
                <w:ilvl w:val="0"/>
                <w:numId w:val="1"/>
              </w:numPr>
              <w:spacing w:line="41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火灾事故</w:t>
            </w:r>
            <w:r>
              <w:rPr>
                <w:rFonts w:hint="eastAsia" w:ascii="楷体" w:hAnsi="楷体" w:eastAsia="楷体" w:cs="楷体"/>
                <w:sz w:val="24"/>
                <w:szCs w:val="24"/>
                <w:lang w:val="en-US" w:eastAsia="zh-CN"/>
              </w:rPr>
              <w:t>为0次/年</w:t>
            </w:r>
            <w:r>
              <w:rPr>
                <w:rFonts w:hint="eastAsia" w:ascii="楷体" w:hAnsi="楷体" w:eastAsia="楷体" w:cs="楷体"/>
                <w:sz w:val="24"/>
                <w:szCs w:val="24"/>
              </w:rPr>
              <w:t>；</w:t>
            </w:r>
          </w:p>
          <w:p>
            <w:pPr>
              <w:spacing w:line="410" w:lineRule="exact"/>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3.交通意外事故为0次/年。</w:t>
            </w:r>
          </w:p>
          <w:p>
            <w:pPr>
              <w:spacing w:line="220" w:lineRule="atLeast"/>
              <w:ind w:firstLine="480" w:firstLineChars="200"/>
              <w:jc w:val="left"/>
              <w:rPr>
                <w:rFonts w:ascii="楷体" w:hAnsi="楷体" w:eastAsia="楷体"/>
                <w:color w:val="000000"/>
                <w:sz w:val="24"/>
                <w:szCs w:val="24"/>
              </w:rPr>
            </w:pPr>
            <w:r>
              <w:rPr>
                <w:rFonts w:hint="eastAsia" w:ascii="楷体" w:hAnsi="楷体" w:eastAsia="楷体"/>
                <w:sz w:val="24"/>
                <w:szCs w:val="24"/>
              </w:rPr>
              <w:t>组织</w:t>
            </w:r>
            <w:r>
              <w:rPr>
                <w:rFonts w:hint="eastAsia" w:ascii="楷体" w:hAnsi="楷体" w:eastAsia="楷体"/>
                <w:color w:val="000000"/>
                <w:sz w:val="24"/>
                <w:szCs w:val="24"/>
              </w:rPr>
              <w:t>对公司环境、职业健康安全目标、指标予以分解，并在相关职能层次部门建立分目标，查见《环境</w:t>
            </w:r>
            <w:r>
              <w:rPr>
                <w:rFonts w:ascii="楷体" w:hAnsi="楷体" w:eastAsia="楷体"/>
                <w:color w:val="000000"/>
                <w:sz w:val="24"/>
                <w:szCs w:val="24"/>
              </w:rPr>
              <w:t>\</w:t>
            </w:r>
            <w:r>
              <w:rPr>
                <w:rFonts w:hint="eastAsia" w:ascii="楷体" w:hAnsi="楷体" w:eastAsia="楷体"/>
                <w:color w:val="000000"/>
                <w:sz w:val="24"/>
                <w:szCs w:val="24"/>
              </w:rPr>
              <w:t>职业健康安全目标分解考核表》，2019.</w:t>
            </w:r>
            <w:r>
              <w:rPr>
                <w:rFonts w:hint="eastAsia" w:ascii="楷体" w:hAnsi="楷体" w:eastAsia="楷体"/>
                <w:color w:val="000000"/>
                <w:sz w:val="24"/>
                <w:szCs w:val="24"/>
                <w:lang w:val="en-US" w:eastAsia="zh-CN"/>
              </w:rPr>
              <w:t>12.31</w:t>
            </w:r>
            <w:r>
              <w:rPr>
                <w:rFonts w:hint="eastAsia" w:ascii="楷体" w:hAnsi="楷体" w:eastAsia="楷体"/>
                <w:color w:val="000000"/>
                <w:sz w:val="24"/>
                <w:szCs w:val="24"/>
              </w:rPr>
              <w:t>完成情况：</w:t>
            </w:r>
          </w:p>
          <w:p>
            <w:pPr>
              <w:jc w:val="center"/>
              <w:rPr>
                <w:rFonts w:hint="eastAsia" w:ascii="楷体" w:hAnsi="楷体" w:eastAsia="楷体" w:cs="楷体"/>
                <w:b/>
                <w:bCs/>
                <w:sz w:val="24"/>
                <w:szCs w:val="24"/>
              </w:rPr>
            </w:pPr>
            <w:r>
              <w:rPr>
                <w:rFonts w:hint="eastAsia"/>
                <w:b/>
                <w:bCs/>
                <w:sz w:val="32"/>
                <w:szCs w:val="32"/>
              </w:rPr>
              <w:t xml:space="preserve"> </w:t>
            </w:r>
            <w:r>
              <w:rPr>
                <w:rFonts w:hint="eastAsia" w:ascii="楷体" w:hAnsi="楷体" w:eastAsia="楷体" w:cs="楷体"/>
                <w:b/>
                <w:bCs/>
                <w:sz w:val="24"/>
                <w:szCs w:val="24"/>
                <w:lang w:val="en-US" w:eastAsia="zh-CN"/>
              </w:rPr>
              <w:t>2019年</w:t>
            </w:r>
            <w:r>
              <w:rPr>
                <w:rFonts w:hint="eastAsia" w:ascii="楷体" w:hAnsi="楷体" w:eastAsia="楷体" w:cs="楷体"/>
                <w:b/>
                <w:bCs/>
                <w:sz w:val="24"/>
                <w:szCs w:val="24"/>
              </w:rPr>
              <w:t>质量目标达成统计表</w:t>
            </w:r>
          </w:p>
          <w:tbl>
            <w:tblPr>
              <w:tblStyle w:val="8"/>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3094"/>
              <w:gridCol w:w="973"/>
              <w:gridCol w:w="735"/>
              <w:gridCol w:w="821"/>
              <w:gridCol w:w="867"/>
              <w:gridCol w:w="884"/>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After w:w="8574" w:type="dxa"/>
                <w:cantSplit/>
                <w:trHeight w:val="340" w:hRule="exact"/>
                <w:jc w:val="center"/>
              </w:trPr>
              <w:tc>
                <w:tcPr>
                  <w:tcW w:w="1311" w:type="dxa"/>
                  <w:noWrap w:val="0"/>
                  <w:vAlign w:val="center"/>
                </w:tcPr>
                <w:p>
                  <w:pPr>
                    <w:jc w:val="center"/>
                    <w:rPr>
                      <w:rFonts w:hint="eastAsia"/>
                      <w:sz w:val="18"/>
                      <w:szCs w:val="18"/>
                    </w:rPr>
                  </w:pPr>
                  <w:r>
                    <w:rPr>
                      <w:rFonts w:hint="eastAsia"/>
                      <w:sz w:val="18"/>
                      <w:szCs w:val="18"/>
                    </w:rPr>
                    <w:t>统计时间段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311" w:type="dxa"/>
                  <w:noWrap w:val="0"/>
                  <w:vAlign w:val="center"/>
                </w:tcPr>
                <w:p>
                  <w:pPr>
                    <w:jc w:val="center"/>
                    <w:rPr>
                      <w:rFonts w:hint="eastAsia"/>
                      <w:sz w:val="18"/>
                      <w:szCs w:val="18"/>
                    </w:rPr>
                  </w:pPr>
                  <w:r>
                    <w:rPr>
                      <w:rFonts w:hint="eastAsia"/>
                      <w:sz w:val="18"/>
                      <w:szCs w:val="18"/>
                    </w:rPr>
                    <w:t>部门</w:t>
                  </w:r>
                </w:p>
              </w:tc>
              <w:tc>
                <w:tcPr>
                  <w:tcW w:w="3094" w:type="dxa"/>
                  <w:noWrap w:val="0"/>
                  <w:vAlign w:val="center"/>
                </w:tcPr>
                <w:p>
                  <w:pPr>
                    <w:jc w:val="center"/>
                    <w:rPr>
                      <w:rFonts w:hint="eastAsia"/>
                      <w:sz w:val="18"/>
                      <w:szCs w:val="18"/>
                    </w:rPr>
                  </w:pPr>
                  <w:r>
                    <w:rPr>
                      <w:rFonts w:hint="eastAsia"/>
                      <w:sz w:val="18"/>
                      <w:szCs w:val="18"/>
                    </w:rPr>
                    <w:t>目标内容</w:t>
                  </w:r>
                </w:p>
              </w:tc>
              <w:tc>
                <w:tcPr>
                  <w:tcW w:w="973" w:type="dxa"/>
                  <w:noWrap w:val="0"/>
                  <w:vAlign w:val="center"/>
                </w:tcPr>
                <w:p>
                  <w:pPr>
                    <w:jc w:val="center"/>
                    <w:rPr>
                      <w:rFonts w:hint="eastAsia"/>
                      <w:sz w:val="18"/>
                      <w:szCs w:val="18"/>
                    </w:rPr>
                  </w:pPr>
                  <w:r>
                    <w:rPr>
                      <w:rFonts w:hint="eastAsia"/>
                      <w:sz w:val="18"/>
                      <w:szCs w:val="18"/>
                    </w:rPr>
                    <w:t>目标值</w:t>
                  </w:r>
                </w:p>
              </w:tc>
              <w:tc>
                <w:tcPr>
                  <w:tcW w:w="735" w:type="dxa"/>
                  <w:noWrap w:val="0"/>
                  <w:vAlign w:val="center"/>
                </w:tcPr>
                <w:p>
                  <w:pPr>
                    <w:jc w:val="center"/>
                    <w:rPr>
                      <w:rFonts w:hint="eastAsia"/>
                      <w:sz w:val="18"/>
                      <w:szCs w:val="18"/>
                    </w:rPr>
                  </w:pPr>
                  <w:r>
                    <w:rPr>
                      <w:rFonts w:hint="eastAsia"/>
                      <w:sz w:val="18"/>
                      <w:szCs w:val="18"/>
                    </w:rPr>
                    <w:t>9月</w:t>
                  </w:r>
                </w:p>
              </w:tc>
              <w:tc>
                <w:tcPr>
                  <w:tcW w:w="821" w:type="dxa"/>
                  <w:noWrap w:val="0"/>
                  <w:vAlign w:val="center"/>
                </w:tcPr>
                <w:p>
                  <w:pPr>
                    <w:jc w:val="center"/>
                    <w:rPr>
                      <w:rFonts w:hint="default" w:eastAsia="宋体"/>
                      <w:sz w:val="18"/>
                      <w:szCs w:val="18"/>
                      <w:lang w:val="en-US" w:eastAsia="zh-CN"/>
                    </w:rPr>
                  </w:pPr>
                  <w:r>
                    <w:rPr>
                      <w:rFonts w:hint="eastAsia"/>
                      <w:sz w:val="18"/>
                      <w:szCs w:val="18"/>
                      <w:lang w:val="en-US" w:eastAsia="zh-CN"/>
                    </w:rPr>
                    <w:t>10月</w:t>
                  </w:r>
                </w:p>
              </w:tc>
              <w:tc>
                <w:tcPr>
                  <w:tcW w:w="867" w:type="dxa"/>
                  <w:noWrap w:val="0"/>
                  <w:vAlign w:val="center"/>
                </w:tcPr>
                <w:p>
                  <w:pPr>
                    <w:jc w:val="center"/>
                    <w:rPr>
                      <w:rFonts w:hint="default" w:eastAsia="宋体"/>
                      <w:sz w:val="18"/>
                      <w:szCs w:val="18"/>
                      <w:lang w:val="en-US" w:eastAsia="zh-CN"/>
                    </w:rPr>
                  </w:pPr>
                  <w:r>
                    <w:rPr>
                      <w:rFonts w:hint="eastAsia"/>
                      <w:sz w:val="18"/>
                      <w:szCs w:val="18"/>
                      <w:lang w:val="en-US" w:eastAsia="zh-CN"/>
                    </w:rPr>
                    <w:t>11月</w:t>
                  </w:r>
                </w:p>
              </w:tc>
              <w:tc>
                <w:tcPr>
                  <w:tcW w:w="884" w:type="dxa"/>
                  <w:noWrap w:val="0"/>
                  <w:vAlign w:val="center"/>
                </w:tcPr>
                <w:p>
                  <w:pPr>
                    <w:jc w:val="center"/>
                    <w:rPr>
                      <w:rFonts w:hint="default" w:ascii="宋体" w:hAnsi="宋体"/>
                      <w:kern w:val="2"/>
                      <w:sz w:val="18"/>
                      <w:szCs w:val="18"/>
                      <w:lang w:val="en-US" w:eastAsia="zh-CN" w:bidi="ar-SA"/>
                    </w:rPr>
                  </w:pPr>
                  <w:r>
                    <w:rPr>
                      <w:rFonts w:hint="eastAsia"/>
                      <w:kern w:val="2"/>
                      <w:sz w:val="18"/>
                      <w:szCs w:val="18"/>
                      <w:lang w:val="en-US" w:eastAsia="zh-CN" w:bidi="ar-SA"/>
                    </w:rPr>
                    <w:t>12月</w:t>
                  </w:r>
                </w:p>
              </w:tc>
              <w:tc>
                <w:tcPr>
                  <w:tcW w:w="1200" w:type="dxa"/>
                  <w:noWrap w:val="0"/>
                  <w:vAlign w:val="center"/>
                </w:tcPr>
                <w:p>
                  <w:pPr>
                    <w:jc w:val="center"/>
                    <w:rPr>
                      <w:rFonts w:hint="eastAsia" w:ascii="宋体" w:hAnsi="宋体"/>
                      <w:kern w:val="2"/>
                      <w:sz w:val="18"/>
                      <w:szCs w:val="18"/>
                      <w:lang w:val="en-US" w:eastAsia="zh-CN" w:bidi="ar-SA"/>
                    </w:rPr>
                  </w:pPr>
                  <w:r>
                    <w:rPr>
                      <w:rFonts w:hint="eastAsia"/>
                      <w:sz w:val="18"/>
                      <w:szCs w:val="18"/>
                    </w:rPr>
                    <w:t>是否达到目标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311" w:type="dxa"/>
                  <w:vMerge w:val="restart"/>
                  <w:noWrap w:val="0"/>
                  <w:vAlign w:val="center"/>
                </w:tcPr>
                <w:p>
                  <w:pPr>
                    <w:jc w:val="center"/>
                    <w:rPr>
                      <w:rFonts w:hint="eastAsia"/>
                      <w:sz w:val="18"/>
                      <w:szCs w:val="18"/>
                    </w:rPr>
                  </w:pPr>
                  <w:r>
                    <w:rPr>
                      <w:rFonts w:hint="eastAsia"/>
                      <w:sz w:val="18"/>
                      <w:szCs w:val="18"/>
                    </w:rPr>
                    <w:t>公司</w:t>
                  </w:r>
                </w:p>
              </w:tc>
              <w:tc>
                <w:tcPr>
                  <w:tcW w:w="3094" w:type="dxa"/>
                  <w:noWrap w:val="0"/>
                  <w:vAlign w:val="center"/>
                </w:tcPr>
                <w:p>
                  <w:pPr>
                    <w:jc w:val="center"/>
                    <w:rPr>
                      <w:rFonts w:hint="eastAsia"/>
                      <w:sz w:val="18"/>
                      <w:szCs w:val="18"/>
                    </w:rPr>
                  </w:pPr>
                  <w:r>
                    <w:rPr>
                      <w:rFonts w:hint="eastAsia"/>
                      <w:sz w:val="18"/>
                      <w:szCs w:val="18"/>
                    </w:rPr>
                    <w:t>顾客满意率</w:t>
                  </w:r>
                </w:p>
              </w:tc>
              <w:tc>
                <w:tcPr>
                  <w:tcW w:w="973" w:type="dxa"/>
                  <w:noWrap w:val="0"/>
                  <w:vAlign w:val="center"/>
                </w:tcPr>
                <w:p>
                  <w:pPr>
                    <w:jc w:val="center"/>
                    <w:rPr>
                      <w:rFonts w:hint="default"/>
                      <w:sz w:val="18"/>
                      <w:szCs w:val="18"/>
                      <w:lang w:val="en-US" w:eastAsia="zh-CN"/>
                    </w:rPr>
                  </w:pPr>
                  <w:r>
                    <w:rPr>
                      <w:rFonts w:hint="eastAsia"/>
                      <w:sz w:val="18"/>
                      <w:szCs w:val="18"/>
                      <w:lang w:val="en-US" w:eastAsia="zh-CN"/>
                    </w:rPr>
                    <w:t>90分</w:t>
                  </w:r>
                </w:p>
              </w:tc>
              <w:tc>
                <w:tcPr>
                  <w:tcW w:w="735" w:type="dxa"/>
                  <w:noWrap w:val="0"/>
                  <w:vAlign w:val="center"/>
                </w:tcPr>
                <w:p>
                  <w:pPr>
                    <w:jc w:val="center"/>
                    <w:rPr>
                      <w:rFonts w:hint="eastAsia" w:ascii="宋体" w:hAnsi="宋体" w:cs="宋体"/>
                      <w:color w:val="000000"/>
                      <w:kern w:val="0"/>
                      <w:sz w:val="18"/>
                      <w:szCs w:val="18"/>
                      <w:lang w:val="en-US" w:eastAsia="zh-CN" w:bidi="ar-SA"/>
                    </w:rPr>
                  </w:pPr>
                  <w:r>
                    <w:rPr>
                      <w:rFonts w:hint="eastAsia"/>
                      <w:sz w:val="18"/>
                      <w:szCs w:val="18"/>
                      <w:lang w:val="en-US" w:eastAsia="zh-CN"/>
                    </w:rPr>
                    <w:t>/</w:t>
                  </w:r>
                </w:p>
              </w:tc>
              <w:tc>
                <w:tcPr>
                  <w:tcW w:w="821" w:type="dxa"/>
                  <w:noWrap w:val="0"/>
                  <w:vAlign w:val="center"/>
                </w:tcPr>
                <w:p>
                  <w:pPr>
                    <w:jc w:val="center"/>
                    <w:rPr>
                      <w:rFonts w:hint="eastAsia" w:ascii="宋体" w:hAnsi="宋体" w:cs="宋体"/>
                      <w:color w:val="000000"/>
                      <w:kern w:val="0"/>
                      <w:sz w:val="18"/>
                      <w:szCs w:val="18"/>
                      <w:lang w:val="en-US" w:eastAsia="zh-CN" w:bidi="ar-SA"/>
                    </w:rPr>
                  </w:pPr>
                  <w:r>
                    <w:rPr>
                      <w:rFonts w:hint="eastAsia"/>
                      <w:sz w:val="18"/>
                      <w:szCs w:val="18"/>
                      <w:lang w:val="en-US" w:eastAsia="zh-CN"/>
                    </w:rPr>
                    <w:t>/</w:t>
                  </w:r>
                </w:p>
              </w:tc>
              <w:tc>
                <w:tcPr>
                  <w:tcW w:w="867" w:type="dxa"/>
                  <w:noWrap w:val="0"/>
                  <w:vAlign w:val="center"/>
                </w:tcPr>
                <w:p>
                  <w:pPr>
                    <w:jc w:val="center"/>
                    <w:rPr>
                      <w:rFonts w:hint="eastAsia" w:ascii="宋体" w:hAnsi="宋体" w:cs="宋体"/>
                      <w:color w:val="000000"/>
                      <w:kern w:val="0"/>
                      <w:sz w:val="18"/>
                      <w:szCs w:val="18"/>
                      <w:lang w:val="en-US" w:eastAsia="zh-CN" w:bidi="ar-SA"/>
                    </w:rPr>
                  </w:pPr>
                  <w:r>
                    <w:rPr>
                      <w:rFonts w:hint="eastAsia"/>
                      <w:sz w:val="18"/>
                      <w:szCs w:val="18"/>
                      <w:lang w:val="en-US" w:eastAsia="zh-CN"/>
                    </w:rPr>
                    <w:t>96.4%</w:t>
                  </w:r>
                </w:p>
              </w:tc>
              <w:tc>
                <w:tcPr>
                  <w:tcW w:w="884" w:type="dxa"/>
                  <w:noWrap w:val="0"/>
                  <w:vAlign w:val="center"/>
                </w:tcPr>
                <w:p>
                  <w:pPr>
                    <w:jc w:val="center"/>
                    <w:rPr>
                      <w:rFonts w:hint="eastAsia" w:ascii="宋体" w:hAnsi="宋体" w:cs="宋体"/>
                      <w:color w:val="000000"/>
                      <w:kern w:val="0"/>
                      <w:sz w:val="18"/>
                      <w:szCs w:val="18"/>
                      <w:lang w:val="en-US" w:eastAsia="zh-CN" w:bidi="ar-SA"/>
                    </w:rPr>
                  </w:pPr>
                  <w:r>
                    <w:rPr>
                      <w:rFonts w:hint="eastAsia"/>
                      <w:sz w:val="18"/>
                      <w:szCs w:val="18"/>
                      <w:lang w:val="en-US" w:eastAsia="zh-CN"/>
                    </w:rPr>
                    <w:t>/</w:t>
                  </w:r>
                </w:p>
              </w:tc>
              <w:tc>
                <w:tcPr>
                  <w:tcW w:w="1200" w:type="dxa"/>
                  <w:noWrap w:val="0"/>
                  <w:vAlign w:val="center"/>
                </w:tcPr>
                <w:p>
                  <w:pPr>
                    <w:jc w:val="center"/>
                    <w:rPr>
                      <w:rFonts w:hint="eastAsia" w:ascii="宋体" w:hAnsi="宋体"/>
                      <w:kern w:val="2"/>
                      <w:sz w:val="18"/>
                      <w:szCs w:val="18"/>
                      <w:lang w:val="en-US" w:eastAsia="zh-CN" w:bidi="ar-SA"/>
                    </w:rPr>
                  </w:pPr>
                  <w:r>
                    <w:rPr>
                      <w:sz w:val="18"/>
                      <w:szCs w:val="18"/>
                    </w:rPr>
                    <w:t>是</w:t>
                  </w:r>
                  <w:r>
                    <w:rPr>
                      <w:rFonts w:hint="eastAsia"/>
                      <w:sz w:val="18"/>
                      <w:szCs w:val="18"/>
                    </w:rPr>
                    <w:t xml:space="preserve">■ </w:t>
                  </w:r>
                  <w:r>
                    <w:rPr>
                      <w:sz w:val="18"/>
                      <w:szCs w:val="18"/>
                    </w:rPr>
                    <w:t>否</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311" w:type="dxa"/>
                  <w:vMerge w:val="continue"/>
                  <w:noWrap w:val="0"/>
                  <w:vAlign w:val="center"/>
                </w:tcPr>
                <w:p>
                  <w:pPr>
                    <w:jc w:val="center"/>
                    <w:rPr>
                      <w:rFonts w:hint="eastAsia"/>
                      <w:sz w:val="18"/>
                      <w:szCs w:val="18"/>
                    </w:rPr>
                  </w:pPr>
                </w:p>
              </w:tc>
              <w:tc>
                <w:tcPr>
                  <w:tcW w:w="3094" w:type="dxa"/>
                  <w:noWrap w:val="0"/>
                  <w:vAlign w:val="center"/>
                </w:tcPr>
                <w:p>
                  <w:pPr>
                    <w:jc w:val="center"/>
                    <w:rPr>
                      <w:rFonts w:hint="eastAsia"/>
                      <w:sz w:val="18"/>
                      <w:szCs w:val="18"/>
                    </w:rPr>
                  </w:pPr>
                  <w:r>
                    <w:rPr>
                      <w:rFonts w:hint="eastAsia"/>
                      <w:sz w:val="18"/>
                      <w:szCs w:val="18"/>
                    </w:rPr>
                    <w:t>产品一次交检合格率</w:t>
                  </w:r>
                </w:p>
              </w:tc>
              <w:tc>
                <w:tcPr>
                  <w:tcW w:w="973" w:type="dxa"/>
                  <w:noWrap w:val="0"/>
                  <w:vAlign w:val="center"/>
                </w:tcPr>
                <w:p>
                  <w:pPr>
                    <w:jc w:val="center"/>
                    <w:rPr>
                      <w:rFonts w:hint="default"/>
                      <w:sz w:val="18"/>
                      <w:szCs w:val="18"/>
                      <w:lang w:val="en-US" w:eastAsia="zh-CN"/>
                    </w:rPr>
                  </w:pPr>
                  <w:r>
                    <w:rPr>
                      <w:rFonts w:hint="eastAsia"/>
                      <w:sz w:val="18"/>
                      <w:szCs w:val="18"/>
                      <w:lang w:val="en-US" w:eastAsia="zh-CN"/>
                    </w:rPr>
                    <w:t>95%</w:t>
                  </w:r>
                </w:p>
              </w:tc>
              <w:tc>
                <w:tcPr>
                  <w:tcW w:w="735" w:type="dxa"/>
                  <w:noWrap w:val="0"/>
                  <w:vAlign w:val="center"/>
                </w:tcPr>
                <w:p>
                  <w:pPr>
                    <w:jc w:val="center"/>
                    <w:rPr>
                      <w:rFonts w:hint="eastAsia" w:ascii="宋体" w:hAnsi="宋体" w:cs="宋体"/>
                      <w:color w:val="000000"/>
                      <w:kern w:val="0"/>
                      <w:sz w:val="24"/>
                      <w:szCs w:val="24"/>
                      <w:lang w:val="en-US" w:eastAsia="zh-CN" w:bidi="ar-SA"/>
                    </w:rPr>
                  </w:pPr>
                  <w:r>
                    <w:rPr>
                      <w:rFonts w:hint="eastAsia"/>
                      <w:sz w:val="18"/>
                      <w:szCs w:val="18"/>
                    </w:rPr>
                    <w:t>9</w:t>
                  </w:r>
                  <w:r>
                    <w:rPr>
                      <w:rFonts w:hint="eastAsia"/>
                      <w:sz w:val="18"/>
                      <w:szCs w:val="18"/>
                      <w:lang w:val="en-US" w:eastAsia="zh-CN"/>
                    </w:rPr>
                    <w:t>7.9</w:t>
                  </w:r>
                  <w:r>
                    <w:rPr>
                      <w:rFonts w:hint="eastAsia"/>
                      <w:sz w:val="18"/>
                      <w:szCs w:val="18"/>
                    </w:rPr>
                    <w:t>%</w:t>
                  </w:r>
                </w:p>
              </w:tc>
              <w:tc>
                <w:tcPr>
                  <w:tcW w:w="821" w:type="dxa"/>
                  <w:noWrap w:val="0"/>
                  <w:vAlign w:val="center"/>
                </w:tcPr>
                <w:p>
                  <w:pPr>
                    <w:jc w:val="center"/>
                    <w:rPr>
                      <w:rFonts w:hint="eastAsia" w:ascii="宋体" w:hAnsi="宋体" w:cs="宋体"/>
                      <w:color w:val="000000"/>
                      <w:kern w:val="0"/>
                      <w:sz w:val="24"/>
                      <w:szCs w:val="24"/>
                      <w:lang w:val="en-US" w:eastAsia="zh-CN" w:bidi="ar-SA"/>
                    </w:rPr>
                  </w:pPr>
                  <w:r>
                    <w:rPr>
                      <w:rFonts w:hint="eastAsia"/>
                      <w:sz w:val="18"/>
                      <w:szCs w:val="18"/>
                    </w:rPr>
                    <w:t>9</w:t>
                  </w:r>
                  <w:r>
                    <w:rPr>
                      <w:rFonts w:hint="eastAsia"/>
                      <w:sz w:val="18"/>
                      <w:szCs w:val="18"/>
                      <w:lang w:val="en-US" w:eastAsia="zh-CN"/>
                    </w:rPr>
                    <w:t>6.3</w:t>
                  </w:r>
                  <w:r>
                    <w:rPr>
                      <w:rFonts w:hint="eastAsia"/>
                      <w:sz w:val="18"/>
                      <w:szCs w:val="18"/>
                    </w:rPr>
                    <w:t>%</w:t>
                  </w:r>
                </w:p>
              </w:tc>
              <w:tc>
                <w:tcPr>
                  <w:tcW w:w="867" w:type="dxa"/>
                  <w:noWrap w:val="0"/>
                  <w:vAlign w:val="center"/>
                </w:tcPr>
                <w:p>
                  <w:pPr>
                    <w:jc w:val="center"/>
                    <w:rPr>
                      <w:rFonts w:hint="eastAsia" w:ascii="宋体" w:hAnsi="宋体" w:cs="宋体"/>
                      <w:color w:val="000000"/>
                      <w:kern w:val="0"/>
                      <w:sz w:val="24"/>
                      <w:szCs w:val="24"/>
                      <w:lang w:val="en-US" w:eastAsia="zh-CN" w:bidi="ar-SA"/>
                    </w:rPr>
                  </w:pPr>
                  <w:r>
                    <w:rPr>
                      <w:rFonts w:hint="eastAsia"/>
                      <w:sz w:val="18"/>
                      <w:szCs w:val="18"/>
                    </w:rPr>
                    <w:t>9</w:t>
                  </w:r>
                  <w:r>
                    <w:rPr>
                      <w:rFonts w:hint="eastAsia"/>
                      <w:sz w:val="18"/>
                      <w:szCs w:val="18"/>
                      <w:lang w:val="en-US" w:eastAsia="zh-CN"/>
                    </w:rPr>
                    <w:t>8.6</w:t>
                  </w:r>
                  <w:r>
                    <w:rPr>
                      <w:rFonts w:hint="eastAsia"/>
                      <w:sz w:val="18"/>
                      <w:szCs w:val="18"/>
                    </w:rPr>
                    <w:t>%</w:t>
                  </w:r>
                </w:p>
              </w:tc>
              <w:tc>
                <w:tcPr>
                  <w:tcW w:w="884" w:type="dxa"/>
                  <w:noWrap w:val="0"/>
                  <w:vAlign w:val="center"/>
                </w:tcPr>
                <w:p>
                  <w:pPr>
                    <w:jc w:val="center"/>
                    <w:rPr>
                      <w:rFonts w:hint="eastAsia" w:ascii="宋体" w:hAnsi="宋体" w:cs="宋体"/>
                      <w:color w:val="000000"/>
                      <w:kern w:val="0"/>
                      <w:sz w:val="24"/>
                      <w:szCs w:val="24"/>
                      <w:lang w:val="en-US" w:eastAsia="zh-CN" w:bidi="ar-SA"/>
                    </w:rPr>
                  </w:pPr>
                  <w:r>
                    <w:rPr>
                      <w:rFonts w:hint="eastAsia"/>
                      <w:sz w:val="18"/>
                      <w:szCs w:val="18"/>
                    </w:rPr>
                    <w:t>9</w:t>
                  </w:r>
                  <w:r>
                    <w:rPr>
                      <w:rFonts w:hint="eastAsia"/>
                      <w:sz w:val="18"/>
                      <w:szCs w:val="18"/>
                      <w:lang w:val="en-US" w:eastAsia="zh-CN"/>
                    </w:rPr>
                    <w:t>9.4</w:t>
                  </w:r>
                  <w:r>
                    <w:rPr>
                      <w:rFonts w:hint="eastAsia"/>
                      <w:sz w:val="18"/>
                      <w:szCs w:val="18"/>
                    </w:rPr>
                    <w:t>%</w:t>
                  </w:r>
                </w:p>
              </w:tc>
              <w:tc>
                <w:tcPr>
                  <w:tcW w:w="1200" w:type="dxa"/>
                  <w:noWrap w:val="0"/>
                  <w:vAlign w:val="center"/>
                </w:tcPr>
                <w:p>
                  <w:pPr>
                    <w:jc w:val="center"/>
                    <w:rPr>
                      <w:rFonts w:hint="eastAsia" w:ascii="宋体" w:hAnsi="宋体"/>
                      <w:kern w:val="2"/>
                      <w:sz w:val="18"/>
                      <w:szCs w:val="18"/>
                      <w:lang w:val="en-US" w:eastAsia="zh-CN" w:bidi="ar-SA"/>
                    </w:rPr>
                  </w:pPr>
                  <w:r>
                    <w:rPr>
                      <w:sz w:val="18"/>
                      <w:szCs w:val="18"/>
                    </w:rPr>
                    <w:t>是</w:t>
                  </w:r>
                  <w:r>
                    <w:rPr>
                      <w:rFonts w:hint="eastAsia"/>
                      <w:sz w:val="18"/>
                      <w:szCs w:val="18"/>
                    </w:rPr>
                    <w:t xml:space="preserve">■ </w:t>
                  </w:r>
                  <w:r>
                    <w:rPr>
                      <w:sz w:val="18"/>
                      <w:szCs w:val="18"/>
                    </w:rPr>
                    <w:t>否</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exact"/>
                <w:jc w:val="center"/>
              </w:trPr>
              <w:tc>
                <w:tcPr>
                  <w:tcW w:w="1311" w:type="dxa"/>
                  <w:vMerge w:val="continue"/>
                  <w:noWrap w:val="0"/>
                  <w:vAlign w:val="center"/>
                </w:tcPr>
                <w:p>
                  <w:pPr>
                    <w:jc w:val="center"/>
                    <w:rPr>
                      <w:rFonts w:hint="eastAsia"/>
                      <w:sz w:val="18"/>
                      <w:szCs w:val="18"/>
                    </w:rPr>
                  </w:pPr>
                </w:p>
              </w:tc>
              <w:tc>
                <w:tcPr>
                  <w:tcW w:w="3094" w:type="dxa"/>
                  <w:noWrap w:val="0"/>
                  <w:vAlign w:val="center"/>
                </w:tcPr>
                <w:p>
                  <w:pPr>
                    <w:jc w:val="center"/>
                    <w:rPr>
                      <w:rFonts w:hint="eastAsia"/>
                      <w:sz w:val="18"/>
                      <w:szCs w:val="18"/>
                    </w:rPr>
                  </w:pPr>
                  <w:r>
                    <w:rPr>
                      <w:rFonts w:hint="eastAsia"/>
                      <w:sz w:val="18"/>
                      <w:szCs w:val="18"/>
                    </w:rPr>
                    <w:t>火灾</w:t>
                  </w:r>
                  <w:r>
                    <w:rPr>
                      <w:rFonts w:hint="eastAsia"/>
                      <w:sz w:val="18"/>
                      <w:szCs w:val="18"/>
                      <w:lang w:eastAsia="zh-CN"/>
                    </w:rPr>
                    <w:t>、</w:t>
                  </w:r>
                  <w:r>
                    <w:rPr>
                      <w:rFonts w:hint="eastAsia"/>
                      <w:sz w:val="18"/>
                      <w:szCs w:val="18"/>
                    </w:rPr>
                    <w:t>触电发生次数为0次/每年</w:t>
                  </w:r>
                </w:p>
              </w:tc>
              <w:tc>
                <w:tcPr>
                  <w:tcW w:w="973" w:type="dxa"/>
                  <w:noWrap w:val="0"/>
                  <w:vAlign w:val="center"/>
                </w:tcPr>
                <w:p>
                  <w:pPr>
                    <w:jc w:val="center"/>
                    <w:rPr>
                      <w:rFonts w:hint="default"/>
                      <w:sz w:val="18"/>
                      <w:szCs w:val="18"/>
                      <w:lang w:val="en-US" w:eastAsia="zh-CN"/>
                    </w:rPr>
                  </w:pPr>
                  <w:r>
                    <w:rPr>
                      <w:rFonts w:hint="eastAsia"/>
                      <w:sz w:val="18"/>
                      <w:szCs w:val="18"/>
                      <w:lang w:val="en-US" w:eastAsia="zh-CN"/>
                    </w:rPr>
                    <w:t>0/年</w:t>
                  </w:r>
                </w:p>
              </w:tc>
              <w:tc>
                <w:tcPr>
                  <w:tcW w:w="735" w:type="dxa"/>
                  <w:noWrap w:val="0"/>
                  <w:vAlign w:val="center"/>
                </w:tcPr>
                <w:p>
                  <w:pPr>
                    <w:jc w:val="center"/>
                    <w:rPr>
                      <w:rFonts w:hint="eastAsia" w:ascii="宋体" w:hAnsi="宋体" w:cs="宋体"/>
                      <w:color w:val="000000"/>
                      <w:kern w:val="0"/>
                      <w:sz w:val="24"/>
                      <w:szCs w:val="24"/>
                      <w:lang w:val="en-US" w:eastAsia="zh-CN" w:bidi="ar-SA"/>
                    </w:rPr>
                  </w:pPr>
                  <w:r>
                    <w:rPr>
                      <w:rFonts w:hint="eastAsia" w:cs="宋体"/>
                      <w:color w:val="000000"/>
                      <w:kern w:val="0"/>
                      <w:sz w:val="18"/>
                      <w:szCs w:val="18"/>
                      <w:lang w:val="en-US" w:eastAsia="zh-CN"/>
                    </w:rPr>
                    <w:t>0</w:t>
                  </w:r>
                </w:p>
              </w:tc>
              <w:tc>
                <w:tcPr>
                  <w:tcW w:w="821" w:type="dxa"/>
                  <w:noWrap w:val="0"/>
                  <w:vAlign w:val="center"/>
                </w:tcPr>
                <w:p>
                  <w:pPr>
                    <w:jc w:val="center"/>
                    <w:rPr>
                      <w:rFonts w:hint="eastAsia" w:ascii="宋体" w:hAnsi="宋体" w:cs="宋体"/>
                      <w:color w:val="000000"/>
                      <w:kern w:val="0"/>
                      <w:sz w:val="24"/>
                      <w:szCs w:val="24"/>
                      <w:lang w:val="en-US" w:eastAsia="zh-CN" w:bidi="ar-SA"/>
                    </w:rPr>
                  </w:pPr>
                  <w:r>
                    <w:rPr>
                      <w:rFonts w:hint="eastAsia" w:cs="宋体"/>
                      <w:color w:val="000000"/>
                      <w:kern w:val="0"/>
                      <w:sz w:val="18"/>
                      <w:szCs w:val="18"/>
                      <w:lang w:val="en-US" w:eastAsia="zh-CN"/>
                    </w:rPr>
                    <w:t>0</w:t>
                  </w:r>
                </w:p>
              </w:tc>
              <w:tc>
                <w:tcPr>
                  <w:tcW w:w="867" w:type="dxa"/>
                  <w:noWrap w:val="0"/>
                  <w:vAlign w:val="center"/>
                </w:tcPr>
                <w:p>
                  <w:pPr>
                    <w:jc w:val="center"/>
                    <w:rPr>
                      <w:rFonts w:hint="eastAsia" w:ascii="宋体" w:hAnsi="宋体" w:cs="宋体"/>
                      <w:color w:val="000000"/>
                      <w:kern w:val="0"/>
                      <w:sz w:val="24"/>
                      <w:szCs w:val="24"/>
                      <w:lang w:val="en-US" w:eastAsia="zh-CN" w:bidi="ar-SA"/>
                    </w:rPr>
                  </w:pPr>
                  <w:r>
                    <w:rPr>
                      <w:rFonts w:hint="eastAsia" w:cs="宋体"/>
                      <w:color w:val="000000"/>
                      <w:kern w:val="0"/>
                      <w:sz w:val="18"/>
                      <w:szCs w:val="18"/>
                      <w:lang w:val="en-US" w:eastAsia="zh-CN"/>
                    </w:rPr>
                    <w:t>0</w:t>
                  </w:r>
                </w:p>
              </w:tc>
              <w:tc>
                <w:tcPr>
                  <w:tcW w:w="884" w:type="dxa"/>
                  <w:noWrap w:val="0"/>
                  <w:vAlign w:val="center"/>
                </w:tcPr>
                <w:p>
                  <w:pPr>
                    <w:jc w:val="center"/>
                    <w:rPr>
                      <w:rFonts w:hint="eastAsia" w:ascii="宋体" w:hAnsi="宋体" w:cs="宋体"/>
                      <w:color w:val="000000"/>
                      <w:kern w:val="0"/>
                      <w:sz w:val="24"/>
                      <w:szCs w:val="24"/>
                      <w:lang w:val="en-US" w:eastAsia="zh-CN" w:bidi="ar-SA"/>
                    </w:rPr>
                  </w:pPr>
                  <w:r>
                    <w:rPr>
                      <w:rFonts w:hint="eastAsia" w:cs="宋体"/>
                      <w:color w:val="000000"/>
                      <w:kern w:val="0"/>
                      <w:sz w:val="18"/>
                      <w:szCs w:val="18"/>
                      <w:lang w:val="en-US" w:eastAsia="zh-CN"/>
                    </w:rPr>
                    <w:t>0</w:t>
                  </w:r>
                </w:p>
              </w:tc>
              <w:tc>
                <w:tcPr>
                  <w:tcW w:w="1200" w:type="dxa"/>
                  <w:noWrap w:val="0"/>
                  <w:vAlign w:val="center"/>
                </w:tcPr>
                <w:p>
                  <w:pPr>
                    <w:jc w:val="center"/>
                    <w:rPr>
                      <w:rFonts w:hint="eastAsia" w:ascii="宋体" w:hAnsi="宋体"/>
                      <w:kern w:val="2"/>
                      <w:sz w:val="18"/>
                      <w:szCs w:val="18"/>
                      <w:lang w:val="en-US" w:eastAsia="zh-CN" w:bidi="ar-SA"/>
                    </w:rPr>
                  </w:pPr>
                  <w:r>
                    <w:rPr>
                      <w:sz w:val="18"/>
                      <w:szCs w:val="18"/>
                    </w:rPr>
                    <w:t>是</w:t>
                  </w:r>
                  <w:r>
                    <w:rPr>
                      <w:rFonts w:hint="eastAsia"/>
                      <w:sz w:val="18"/>
                      <w:szCs w:val="18"/>
                    </w:rPr>
                    <w:t xml:space="preserve">■ </w:t>
                  </w:r>
                  <w:r>
                    <w:rPr>
                      <w:sz w:val="18"/>
                      <w:szCs w:val="18"/>
                    </w:rPr>
                    <w:t>否</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exact"/>
                <w:jc w:val="center"/>
              </w:trPr>
              <w:tc>
                <w:tcPr>
                  <w:tcW w:w="1311" w:type="dxa"/>
                  <w:vMerge w:val="continue"/>
                  <w:noWrap w:val="0"/>
                  <w:vAlign w:val="center"/>
                </w:tcPr>
                <w:p>
                  <w:pPr>
                    <w:jc w:val="center"/>
                    <w:rPr>
                      <w:rFonts w:hint="eastAsia"/>
                      <w:sz w:val="18"/>
                      <w:szCs w:val="18"/>
                    </w:rPr>
                  </w:pPr>
                </w:p>
              </w:tc>
              <w:tc>
                <w:tcPr>
                  <w:tcW w:w="3094" w:type="dxa"/>
                  <w:noWrap w:val="0"/>
                  <w:vAlign w:val="center"/>
                </w:tcPr>
                <w:p>
                  <w:pPr>
                    <w:jc w:val="center"/>
                    <w:rPr>
                      <w:rFonts w:hint="eastAsia"/>
                      <w:sz w:val="18"/>
                      <w:szCs w:val="18"/>
                    </w:rPr>
                  </w:pPr>
                  <w:r>
                    <w:rPr>
                      <w:rFonts w:hint="eastAsia"/>
                      <w:sz w:val="18"/>
                      <w:szCs w:val="18"/>
                    </w:rPr>
                    <w:t>操作工人意外损伤控制在0次/每年</w:t>
                  </w:r>
                </w:p>
              </w:tc>
              <w:tc>
                <w:tcPr>
                  <w:tcW w:w="973" w:type="dxa"/>
                  <w:noWrap w:val="0"/>
                  <w:vAlign w:val="center"/>
                </w:tcPr>
                <w:p>
                  <w:pPr>
                    <w:jc w:val="center"/>
                    <w:rPr>
                      <w:rFonts w:hint="eastAsia"/>
                      <w:sz w:val="18"/>
                      <w:szCs w:val="18"/>
                      <w:lang w:val="en-US" w:eastAsia="zh-CN"/>
                    </w:rPr>
                  </w:pPr>
                  <w:r>
                    <w:rPr>
                      <w:rFonts w:hint="eastAsia"/>
                      <w:sz w:val="18"/>
                      <w:szCs w:val="18"/>
                      <w:lang w:val="en-US" w:eastAsia="zh-CN"/>
                    </w:rPr>
                    <w:t>0/年</w:t>
                  </w:r>
                </w:p>
              </w:tc>
              <w:tc>
                <w:tcPr>
                  <w:tcW w:w="735" w:type="dxa"/>
                  <w:noWrap w:val="0"/>
                  <w:vAlign w:val="center"/>
                </w:tcPr>
                <w:p>
                  <w:pPr>
                    <w:jc w:val="center"/>
                    <w:rPr>
                      <w:rFonts w:hint="eastAsia"/>
                      <w:sz w:val="18"/>
                      <w:szCs w:val="18"/>
                      <w:lang w:val="en-US" w:eastAsia="zh-CN"/>
                    </w:rPr>
                  </w:pPr>
                  <w:r>
                    <w:rPr>
                      <w:rFonts w:hint="eastAsia" w:cs="宋体"/>
                      <w:color w:val="000000"/>
                      <w:kern w:val="0"/>
                      <w:sz w:val="18"/>
                      <w:szCs w:val="18"/>
                      <w:lang w:val="en-US" w:eastAsia="zh-CN"/>
                    </w:rPr>
                    <w:t>0</w:t>
                  </w:r>
                </w:p>
              </w:tc>
              <w:tc>
                <w:tcPr>
                  <w:tcW w:w="821" w:type="dxa"/>
                  <w:noWrap w:val="0"/>
                  <w:vAlign w:val="center"/>
                </w:tcPr>
                <w:p>
                  <w:pPr>
                    <w:jc w:val="center"/>
                    <w:rPr>
                      <w:rFonts w:hint="eastAsia"/>
                      <w:sz w:val="18"/>
                      <w:szCs w:val="18"/>
                      <w:lang w:val="en-US" w:eastAsia="zh-CN"/>
                    </w:rPr>
                  </w:pPr>
                  <w:r>
                    <w:rPr>
                      <w:rFonts w:hint="eastAsia" w:cs="宋体"/>
                      <w:color w:val="000000"/>
                      <w:kern w:val="0"/>
                      <w:sz w:val="18"/>
                      <w:szCs w:val="18"/>
                      <w:lang w:val="en-US" w:eastAsia="zh-CN"/>
                    </w:rPr>
                    <w:t>0</w:t>
                  </w:r>
                </w:p>
              </w:tc>
              <w:tc>
                <w:tcPr>
                  <w:tcW w:w="867" w:type="dxa"/>
                  <w:noWrap w:val="0"/>
                  <w:vAlign w:val="center"/>
                </w:tcPr>
                <w:p>
                  <w:pPr>
                    <w:jc w:val="center"/>
                    <w:rPr>
                      <w:rFonts w:hint="eastAsia"/>
                      <w:sz w:val="18"/>
                      <w:szCs w:val="18"/>
                      <w:lang w:val="en-US" w:eastAsia="zh-CN"/>
                    </w:rPr>
                  </w:pPr>
                  <w:r>
                    <w:rPr>
                      <w:rFonts w:hint="eastAsia" w:cs="宋体"/>
                      <w:color w:val="000000"/>
                      <w:kern w:val="0"/>
                      <w:sz w:val="18"/>
                      <w:szCs w:val="18"/>
                      <w:lang w:val="en-US" w:eastAsia="zh-CN"/>
                    </w:rPr>
                    <w:t>0</w:t>
                  </w:r>
                </w:p>
              </w:tc>
              <w:tc>
                <w:tcPr>
                  <w:tcW w:w="884" w:type="dxa"/>
                  <w:noWrap w:val="0"/>
                  <w:vAlign w:val="center"/>
                </w:tcPr>
                <w:p>
                  <w:pPr>
                    <w:jc w:val="center"/>
                    <w:rPr>
                      <w:rFonts w:hint="eastAsia"/>
                      <w:sz w:val="18"/>
                      <w:szCs w:val="18"/>
                      <w:lang w:val="en-US" w:eastAsia="zh-CN"/>
                    </w:rPr>
                  </w:pPr>
                  <w:r>
                    <w:rPr>
                      <w:rFonts w:hint="eastAsia" w:cs="宋体"/>
                      <w:color w:val="000000"/>
                      <w:kern w:val="0"/>
                      <w:sz w:val="18"/>
                      <w:szCs w:val="18"/>
                      <w:lang w:val="en-US" w:eastAsia="zh-CN"/>
                    </w:rPr>
                    <w:t>0</w:t>
                  </w:r>
                </w:p>
              </w:tc>
              <w:tc>
                <w:tcPr>
                  <w:tcW w:w="1200" w:type="dxa"/>
                  <w:noWrap w:val="0"/>
                  <w:vAlign w:val="center"/>
                </w:tcPr>
                <w:p>
                  <w:pPr>
                    <w:jc w:val="center"/>
                    <w:rPr>
                      <w:sz w:val="18"/>
                      <w:szCs w:val="18"/>
                    </w:rPr>
                  </w:pPr>
                  <w:r>
                    <w:rPr>
                      <w:sz w:val="18"/>
                      <w:szCs w:val="18"/>
                    </w:rPr>
                    <w:t>是</w:t>
                  </w:r>
                  <w:r>
                    <w:rPr>
                      <w:rFonts w:hint="eastAsia"/>
                      <w:sz w:val="18"/>
                      <w:szCs w:val="18"/>
                    </w:rPr>
                    <w:t xml:space="preserve">■ </w:t>
                  </w:r>
                  <w:r>
                    <w:rPr>
                      <w:sz w:val="18"/>
                      <w:szCs w:val="18"/>
                    </w:rPr>
                    <w:t>否</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311" w:type="dxa"/>
                  <w:vMerge w:val="restart"/>
                  <w:noWrap w:val="0"/>
                  <w:vAlign w:val="center"/>
                </w:tcPr>
                <w:p>
                  <w:pPr>
                    <w:jc w:val="center"/>
                    <w:rPr>
                      <w:rFonts w:hint="eastAsia"/>
                      <w:sz w:val="18"/>
                      <w:szCs w:val="18"/>
                    </w:rPr>
                  </w:pPr>
                  <w:r>
                    <w:rPr>
                      <w:rFonts w:hint="eastAsia"/>
                      <w:sz w:val="18"/>
                      <w:szCs w:val="18"/>
                    </w:rPr>
                    <w:t>综合部</w:t>
                  </w:r>
                </w:p>
              </w:tc>
              <w:tc>
                <w:tcPr>
                  <w:tcW w:w="3094" w:type="dxa"/>
                  <w:noWrap w:val="0"/>
                  <w:vAlign w:val="center"/>
                </w:tcPr>
                <w:p>
                  <w:pPr>
                    <w:jc w:val="center"/>
                    <w:rPr>
                      <w:rFonts w:hint="eastAsia"/>
                      <w:sz w:val="18"/>
                      <w:szCs w:val="18"/>
                    </w:rPr>
                  </w:pPr>
                  <w:r>
                    <w:rPr>
                      <w:rFonts w:hint="eastAsia"/>
                      <w:sz w:val="18"/>
                      <w:szCs w:val="18"/>
                    </w:rPr>
                    <w:t>培训计划完成率</w:t>
                  </w:r>
                </w:p>
              </w:tc>
              <w:tc>
                <w:tcPr>
                  <w:tcW w:w="973" w:type="dxa"/>
                  <w:noWrap w:val="0"/>
                  <w:vAlign w:val="center"/>
                </w:tcPr>
                <w:p>
                  <w:pPr>
                    <w:jc w:val="center"/>
                    <w:rPr>
                      <w:rFonts w:hint="eastAsia"/>
                      <w:sz w:val="18"/>
                      <w:szCs w:val="18"/>
                    </w:rPr>
                  </w:pPr>
                  <w:r>
                    <w:rPr>
                      <w:rFonts w:hint="eastAsia"/>
                      <w:sz w:val="18"/>
                      <w:szCs w:val="18"/>
                    </w:rPr>
                    <w:t>≥90</w:t>
                  </w:r>
                  <w:r>
                    <w:rPr>
                      <w:rFonts w:hint="eastAsia"/>
                      <w:color w:val="000000"/>
                      <w:sz w:val="18"/>
                      <w:szCs w:val="18"/>
                    </w:rPr>
                    <w:t>％</w:t>
                  </w:r>
                </w:p>
              </w:tc>
              <w:tc>
                <w:tcPr>
                  <w:tcW w:w="735" w:type="dxa"/>
                  <w:noWrap w:val="0"/>
                  <w:vAlign w:val="center"/>
                </w:tcPr>
                <w:p>
                  <w:pPr>
                    <w:jc w:val="center"/>
                    <w:rPr>
                      <w:rFonts w:hint="eastAsia" w:ascii="宋体" w:hAnsi="宋体"/>
                      <w:color w:val="000000"/>
                      <w:kern w:val="2"/>
                      <w:sz w:val="18"/>
                      <w:szCs w:val="18"/>
                      <w:lang w:val="en-US" w:eastAsia="zh-CN" w:bidi="ar-SA"/>
                    </w:rPr>
                  </w:pPr>
                  <w:r>
                    <w:rPr>
                      <w:rFonts w:hint="eastAsia" w:cs="宋体"/>
                      <w:color w:val="000000"/>
                      <w:kern w:val="0"/>
                      <w:sz w:val="18"/>
                      <w:szCs w:val="18"/>
                    </w:rPr>
                    <w:t>9</w:t>
                  </w:r>
                  <w:r>
                    <w:rPr>
                      <w:rFonts w:hint="eastAsia" w:cs="宋体"/>
                      <w:color w:val="000000"/>
                      <w:kern w:val="0"/>
                      <w:sz w:val="18"/>
                      <w:szCs w:val="18"/>
                      <w:lang w:val="en-US" w:eastAsia="zh-CN"/>
                    </w:rPr>
                    <w:t>8.2%%</w:t>
                  </w:r>
                  <w:r>
                    <w:rPr>
                      <w:rFonts w:hint="eastAsia"/>
                      <w:color w:val="000000"/>
                      <w:sz w:val="18"/>
                      <w:szCs w:val="18"/>
                    </w:rPr>
                    <w:t>％</w:t>
                  </w:r>
                </w:p>
              </w:tc>
              <w:tc>
                <w:tcPr>
                  <w:tcW w:w="821" w:type="dxa"/>
                  <w:noWrap w:val="0"/>
                  <w:vAlign w:val="center"/>
                </w:tcPr>
                <w:p>
                  <w:pPr>
                    <w:jc w:val="both"/>
                    <w:rPr>
                      <w:rFonts w:hint="eastAsia" w:ascii="宋体" w:hAnsi="宋体"/>
                      <w:color w:val="000000"/>
                      <w:kern w:val="2"/>
                      <w:sz w:val="18"/>
                      <w:szCs w:val="18"/>
                      <w:lang w:val="en-US" w:eastAsia="zh-CN" w:bidi="ar-SA"/>
                    </w:rPr>
                  </w:pPr>
                  <w:r>
                    <w:rPr>
                      <w:rFonts w:hint="eastAsia" w:cs="宋体"/>
                      <w:color w:val="000000"/>
                      <w:kern w:val="0"/>
                      <w:sz w:val="18"/>
                      <w:szCs w:val="18"/>
                    </w:rPr>
                    <w:t>9</w:t>
                  </w:r>
                  <w:r>
                    <w:rPr>
                      <w:rFonts w:hint="eastAsia" w:cs="宋体"/>
                      <w:color w:val="000000"/>
                      <w:kern w:val="0"/>
                      <w:sz w:val="18"/>
                      <w:szCs w:val="18"/>
                      <w:lang w:val="en-US" w:eastAsia="zh-CN"/>
                    </w:rPr>
                    <w:t>8.3</w:t>
                  </w:r>
                  <w:r>
                    <w:rPr>
                      <w:rFonts w:hint="eastAsia"/>
                      <w:color w:val="000000"/>
                      <w:sz w:val="18"/>
                      <w:szCs w:val="18"/>
                    </w:rPr>
                    <w:t>％</w:t>
                  </w:r>
                </w:p>
              </w:tc>
              <w:tc>
                <w:tcPr>
                  <w:tcW w:w="867" w:type="dxa"/>
                  <w:noWrap w:val="0"/>
                  <w:vAlign w:val="center"/>
                </w:tcPr>
                <w:p>
                  <w:pPr>
                    <w:ind w:firstLine="90" w:firstLineChars="50"/>
                    <w:jc w:val="center"/>
                    <w:rPr>
                      <w:rFonts w:hint="eastAsia" w:ascii="宋体" w:hAnsi="宋体"/>
                      <w:color w:val="000000"/>
                      <w:kern w:val="2"/>
                      <w:sz w:val="18"/>
                      <w:szCs w:val="18"/>
                      <w:lang w:val="en-US" w:eastAsia="zh-CN" w:bidi="ar-SA"/>
                    </w:rPr>
                  </w:pPr>
                  <w:r>
                    <w:rPr>
                      <w:rFonts w:hint="eastAsia" w:cs="宋体"/>
                      <w:color w:val="000000"/>
                      <w:kern w:val="0"/>
                      <w:sz w:val="18"/>
                      <w:szCs w:val="18"/>
                    </w:rPr>
                    <w:t>98</w:t>
                  </w:r>
                  <w:r>
                    <w:rPr>
                      <w:rFonts w:hint="eastAsia" w:cs="宋体"/>
                      <w:color w:val="000000"/>
                      <w:kern w:val="0"/>
                      <w:sz w:val="18"/>
                      <w:szCs w:val="18"/>
                      <w:lang w:val="en-US" w:eastAsia="zh-CN"/>
                    </w:rPr>
                    <w:t>.6</w:t>
                  </w:r>
                  <w:r>
                    <w:rPr>
                      <w:rFonts w:hint="eastAsia"/>
                      <w:color w:val="000000"/>
                      <w:sz w:val="18"/>
                      <w:szCs w:val="18"/>
                    </w:rPr>
                    <w:t>％</w:t>
                  </w:r>
                </w:p>
              </w:tc>
              <w:tc>
                <w:tcPr>
                  <w:tcW w:w="884" w:type="dxa"/>
                  <w:noWrap w:val="0"/>
                  <w:vAlign w:val="center"/>
                </w:tcPr>
                <w:p>
                  <w:pPr>
                    <w:ind w:firstLine="90" w:firstLineChars="50"/>
                    <w:jc w:val="center"/>
                    <w:rPr>
                      <w:rFonts w:hint="eastAsia" w:ascii="宋体" w:hAnsi="宋体"/>
                      <w:color w:val="000000"/>
                      <w:kern w:val="2"/>
                      <w:sz w:val="18"/>
                      <w:szCs w:val="18"/>
                      <w:lang w:val="en-US" w:eastAsia="zh-CN" w:bidi="ar-SA"/>
                    </w:rPr>
                  </w:pPr>
                  <w:r>
                    <w:rPr>
                      <w:rFonts w:hint="eastAsia" w:cs="宋体"/>
                      <w:color w:val="000000"/>
                      <w:kern w:val="0"/>
                      <w:sz w:val="18"/>
                      <w:szCs w:val="18"/>
                    </w:rPr>
                    <w:t>9</w:t>
                  </w:r>
                  <w:r>
                    <w:rPr>
                      <w:rFonts w:hint="eastAsia" w:cs="宋体"/>
                      <w:color w:val="000000"/>
                      <w:kern w:val="0"/>
                      <w:sz w:val="18"/>
                      <w:szCs w:val="18"/>
                      <w:lang w:val="en-US" w:eastAsia="zh-CN"/>
                    </w:rPr>
                    <w:t>6</w:t>
                  </w:r>
                  <w:r>
                    <w:rPr>
                      <w:rFonts w:hint="eastAsia" w:cs="宋体"/>
                      <w:color w:val="000000"/>
                      <w:kern w:val="0"/>
                      <w:sz w:val="18"/>
                      <w:szCs w:val="18"/>
                      <w:lang w:eastAsia="zh-CN"/>
                    </w:rPr>
                    <w:t>.</w:t>
                  </w:r>
                  <w:r>
                    <w:rPr>
                      <w:rFonts w:hint="eastAsia" w:cs="宋体"/>
                      <w:color w:val="000000"/>
                      <w:kern w:val="0"/>
                      <w:sz w:val="18"/>
                      <w:szCs w:val="18"/>
                      <w:lang w:val="en-US" w:eastAsia="zh-CN"/>
                    </w:rPr>
                    <w:t>4</w:t>
                  </w:r>
                  <w:r>
                    <w:rPr>
                      <w:rFonts w:hint="eastAsia"/>
                      <w:color w:val="000000"/>
                      <w:sz w:val="18"/>
                      <w:szCs w:val="18"/>
                    </w:rPr>
                    <w:t>％</w:t>
                  </w:r>
                </w:p>
              </w:tc>
              <w:tc>
                <w:tcPr>
                  <w:tcW w:w="1200" w:type="dxa"/>
                  <w:noWrap w:val="0"/>
                  <w:vAlign w:val="center"/>
                </w:tcPr>
                <w:p>
                  <w:pPr>
                    <w:jc w:val="center"/>
                    <w:rPr>
                      <w:rFonts w:hint="eastAsia" w:ascii="宋体" w:hAnsi="宋体"/>
                      <w:kern w:val="2"/>
                      <w:sz w:val="18"/>
                      <w:szCs w:val="18"/>
                      <w:lang w:val="en-US" w:eastAsia="zh-CN" w:bidi="ar-SA"/>
                    </w:rPr>
                  </w:pPr>
                  <w:r>
                    <w:rPr>
                      <w:sz w:val="18"/>
                      <w:szCs w:val="18"/>
                    </w:rPr>
                    <w:t>是</w:t>
                  </w:r>
                  <w:r>
                    <w:rPr>
                      <w:rFonts w:hint="eastAsia"/>
                      <w:sz w:val="18"/>
                      <w:szCs w:val="18"/>
                    </w:rPr>
                    <w:t xml:space="preserve">■ </w:t>
                  </w:r>
                  <w:r>
                    <w:rPr>
                      <w:sz w:val="18"/>
                      <w:szCs w:val="18"/>
                    </w:rPr>
                    <w:t>否</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311" w:type="dxa"/>
                  <w:vMerge w:val="continue"/>
                  <w:noWrap w:val="0"/>
                  <w:vAlign w:val="center"/>
                </w:tcPr>
                <w:p>
                  <w:pPr>
                    <w:jc w:val="center"/>
                    <w:rPr>
                      <w:rFonts w:hint="eastAsia" w:cs="宋体"/>
                      <w:color w:val="000000"/>
                      <w:kern w:val="0"/>
                      <w:sz w:val="18"/>
                      <w:szCs w:val="18"/>
                    </w:rPr>
                  </w:pPr>
                </w:p>
              </w:tc>
              <w:tc>
                <w:tcPr>
                  <w:tcW w:w="3094" w:type="dxa"/>
                  <w:noWrap w:val="0"/>
                  <w:vAlign w:val="center"/>
                </w:tcPr>
                <w:p>
                  <w:pPr>
                    <w:adjustRightInd w:val="0"/>
                    <w:snapToGrid w:val="0"/>
                    <w:jc w:val="center"/>
                    <w:rPr>
                      <w:rFonts w:hint="eastAsia"/>
                      <w:sz w:val="18"/>
                      <w:szCs w:val="18"/>
                    </w:rPr>
                  </w:pPr>
                  <w:r>
                    <w:rPr>
                      <w:rFonts w:hint="eastAsia"/>
                      <w:sz w:val="18"/>
                      <w:szCs w:val="18"/>
                    </w:rPr>
                    <w:t>人员培训合格率</w:t>
                  </w:r>
                </w:p>
              </w:tc>
              <w:tc>
                <w:tcPr>
                  <w:tcW w:w="973" w:type="dxa"/>
                  <w:noWrap w:val="0"/>
                  <w:vAlign w:val="center"/>
                </w:tcPr>
                <w:p>
                  <w:pPr>
                    <w:jc w:val="center"/>
                    <w:rPr>
                      <w:rFonts w:hint="eastAsia"/>
                      <w:sz w:val="18"/>
                      <w:szCs w:val="18"/>
                    </w:rPr>
                  </w:pPr>
                  <w:r>
                    <w:rPr>
                      <w:rFonts w:hint="eastAsia"/>
                      <w:sz w:val="18"/>
                      <w:szCs w:val="18"/>
                    </w:rPr>
                    <w:t>≥90</w:t>
                  </w:r>
                  <w:r>
                    <w:rPr>
                      <w:rFonts w:hint="eastAsia"/>
                      <w:color w:val="000000"/>
                      <w:sz w:val="18"/>
                      <w:szCs w:val="18"/>
                    </w:rPr>
                    <w:t>％</w:t>
                  </w:r>
                </w:p>
              </w:tc>
              <w:tc>
                <w:tcPr>
                  <w:tcW w:w="735" w:type="dxa"/>
                  <w:noWrap w:val="0"/>
                  <w:vAlign w:val="center"/>
                </w:tcPr>
                <w:p>
                  <w:pPr>
                    <w:jc w:val="center"/>
                    <w:rPr>
                      <w:rFonts w:ascii="宋体" w:hAnsi="宋体"/>
                      <w:kern w:val="2"/>
                      <w:sz w:val="24"/>
                      <w:szCs w:val="24"/>
                      <w:lang w:val="en-US" w:eastAsia="zh-CN" w:bidi="ar-SA"/>
                    </w:rPr>
                  </w:pPr>
                  <w:r>
                    <w:rPr>
                      <w:rFonts w:hint="eastAsia" w:cs="宋体"/>
                      <w:color w:val="000000"/>
                      <w:kern w:val="0"/>
                      <w:sz w:val="18"/>
                      <w:szCs w:val="18"/>
                    </w:rPr>
                    <w:t>98</w:t>
                  </w:r>
                  <w:r>
                    <w:rPr>
                      <w:rFonts w:hint="eastAsia" w:cs="宋体"/>
                      <w:color w:val="000000"/>
                      <w:kern w:val="0"/>
                      <w:sz w:val="18"/>
                      <w:szCs w:val="18"/>
                      <w:lang w:val="en-US" w:eastAsia="zh-CN"/>
                    </w:rPr>
                    <w:t>.7%%</w:t>
                  </w:r>
                  <w:r>
                    <w:rPr>
                      <w:rFonts w:hint="eastAsia"/>
                      <w:color w:val="000000"/>
                      <w:sz w:val="18"/>
                      <w:szCs w:val="18"/>
                    </w:rPr>
                    <w:t>％</w:t>
                  </w:r>
                </w:p>
              </w:tc>
              <w:tc>
                <w:tcPr>
                  <w:tcW w:w="821" w:type="dxa"/>
                  <w:noWrap w:val="0"/>
                  <w:vAlign w:val="center"/>
                </w:tcPr>
                <w:p>
                  <w:pPr>
                    <w:ind w:firstLine="90" w:firstLineChars="50"/>
                    <w:jc w:val="center"/>
                    <w:rPr>
                      <w:rFonts w:ascii="宋体" w:hAnsi="宋体"/>
                      <w:kern w:val="2"/>
                      <w:sz w:val="24"/>
                      <w:szCs w:val="24"/>
                      <w:lang w:val="en-US" w:eastAsia="zh-CN" w:bidi="ar-SA"/>
                    </w:rPr>
                  </w:pPr>
                  <w:r>
                    <w:rPr>
                      <w:rFonts w:hint="eastAsia" w:cs="宋体"/>
                      <w:color w:val="000000"/>
                      <w:kern w:val="0"/>
                      <w:sz w:val="18"/>
                      <w:szCs w:val="18"/>
                    </w:rPr>
                    <w:t>95</w:t>
                  </w:r>
                  <w:r>
                    <w:rPr>
                      <w:rFonts w:hint="eastAsia"/>
                      <w:color w:val="000000"/>
                      <w:sz w:val="18"/>
                      <w:szCs w:val="18"/>
                    </w:rPr>
                    <w:t>％</w:t>
                  </w:r>
                </w:p>
              </w:tc>
              <w:tc>
                <w:tcPr>
                  <w:tcW w:w="867" w:type="dxa"/>
                  <w:noWrap w:val="0"/>
                  <w:vAlign w:val="center"/>
                </w:tcPr>
                <w:p>
                  <w:pPr>
                    <w:ind w:firstLine="90" w:firstLineChars="50"/>
                    <w:jc w:val="center"/>
                    <w:rPr>
                      <w:rFonts w:hint="eastAsia" w:ascii="宋体" w:hAnsi="宋体"/>
                      <w:kern w:val="2"/>
                      <w:sz w:val="24"/>
                      <w:szCs w:val="24"/>
                      <w:lang w:val="en-US" w:eastAsia="zh-CN" w:bidi="ar-SA"/>
                    </w:rPr>
                  </w:pPr>
                  <w:r>
                    <w:rPr>
                      <w:rFonts w:hint="eastAsia" w:cs="宋体"/>
                      <w:color w:val="000000"/>
                      <w:kern w:val="0"/>
                      <w:sz w:val="18"/>
                      <w:szCs w:val="18"/>
                    </w:rPr>
                    <w:t>9</w:t>
                  </w:r>
                  <w:r>
                    <w:rPr>
                      <w:rFonts w:hint="eastAsia" w:cs="宋体"/>
                      <w:color w:val="000000"/>
                      <w:kern w:val="0"/>
                      <w:sz w:val="18"/>
                      <w:szCs w:val="18"/>
                      <w:lang w:val="en-US" w:eastAsia="zh-CN"/>
                    </w:rPr>
                    <w:t>8.9</w:t>
                  </w:r>
                  <w:r>
                    <w:rPr>
                      <w:rFonts w:hint="eastAsia"/>
                      <w:color w:val="000000"/>
                      <w:sz w:val="18"/>
                      <w:szCs w:val="18"/>
                    </w:rPr>
                    <w:t>％</w:t>
                  </w:r>
                </w:p>
              </w:tc>
              <w:tc>
                <w:tcPr>
                  <w:tcW w:w="884" w:type="dxa"/>
                  <w:noWrap w:val="0"/>
                  <w:vAlign w:val="center"/>
                </w:tcPr>
                <w:p>
                  <w:pPr>
                    <w:ind w:firstLine="90" w:firstLineChars="50"/>
                    <w:jc w:val="center"/>
                    <w:rPr>
                      <w:rFonts w:hint="eastAsia" w:ascii="宋体" w:hAnsi="宋体"/>
                      <w:kern w:val="2"/>
                      <w:sz w:val="24"/>
                      <w:szCs w:val="24"/>
                      <w:lang w:val="en-US" w:eastAsia="zh-CN" w:bidi="ar-SA"/>
                    </w:rPr>
                  </w:pPr>
                  <w:r>
                    <w:rPr>
                      <w:rFonts w:hint="eastAsia" w:cs="宋体"/>
                      <w:color w:val="000000"/>
                      <w:kern w:val="0"/>
                      <w:sz w:val="18"/>
                      <w:szCs w:val="18"/>
                    </w:rPr>
                    <w:t>9</w:t>
                  </w:r>
                  <w:r>
                    <w:rPr>
                      <w:rFonts w:hint="eastAsia" w:cs="宋体"/>
                      <w:color w:val="000000"/>
                      <w:kern w:val="0"/>
                      <w:sz w:val="18"/>
                      <w:szCs w:val="18"/>
                      <w:lang w:val="en-US" w:eastAsia="zh-CN"/>
                    </w:rPr>
                    <w:t>4</w:t>
                  </w:r>
                  <w:r>
                    <w:rPr>
                      <w:rFonts w:hint="eastAsia" w:cs="宋体"/>
                      <w:color w:val="000000"/>
                      <w:kern w:val="0"/>
                      <w:sz w:val="18"/>
                      <w:szCs w:val="18"/>
                      <w:lang w:eastAsia="zh-CN"/>
                    </w:rPr>
                    <w:t>.</w:t>
                  </w:r>
                  <w:r>
                    <w:rPr>
                      <w:rFonts w:hint="eastAsia" w:cs="宋体"/>
                      <w:color w:val="000000"/>
                      <w:kern w:val="0"/>
                      <w:sz w:val="18"/>
                      <w:szCs w:val="18"/>
                      <w:lang w:val="en-US" w:eastAsia="zh-CN"/>
                    </w:rPr>
                    <w:t>4</w:t>
                  </w:r>
                  <w:r>
                    <w:rPr>
                      <w:rFonts w:hint="eastAsia"/>
                      <w:color w:val="000000"/>
                      <w:sz w:val="18"/>
                      <w:szCs w:val="18"/>
                    </w:rPr>
                    <w:t>％</w:t>
                  </w:r>
                </w:p>
              </w:tc>
              <w:tc>
                <w:tcPr>
                  <w:tcW w:w="1200" w:type="dxa"/>
                  <w:noWrap w:val="0"/>
                  <w:vAlign w:val="center"/>
                </w:tcPr>
                <w:p>
                  <w:pPr>
                    <w:jc w:val="center"/>
                    <w:rPr>
                      <w:rFonts w:hint="eastAsia" w:ascii="宋体" w:hAnsi="宋体"/>
                      <w:kern w:val="2"/>
                      <w:sz w:val="18"/>
                      <w:szCs w:val="18"/>
                      <w:lang w:val="en-US" w:eastAsia="zh-CN" w:bidi="ar-SA"/>
                    </w:rPr>
                  </w:pPr>
                  <w:r>
                    <w:rPr>
                      <w:sz w:val="18"/>
                      <w:szCs w:val="18"/>
                    </w:rPr>
                    <w:t>是</w:t>
                  </w:r>
                  <w:r>
                    <w:rPr>
                      <w:rFonts w:hint="eastAsia"/>
                      <w:sz w:val="18"/>
                      <w:szCs w:val="18"/>
                    </w:rPr>
                    <w:t xml:space="preserve">■ </w:t>
                  </w:r>
                  <w:r>
                    <w:rPr>
                      <w:sz w:val="18"/>
                      <w:szCs w:val="18"/>
                    </w:rPr>
                    <w:t>否</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exact"/>
                <w:jc w:val="center"/>
              </w:trPr>
              <w:tc>
                <w:tcPr>
                  <w:tcW w:w="1311" w:type="dxa"/>
                  <w:vMerge w:val="continue"/>
                  <w:noWrap w:val="0"/>
                  <w:vAlign w:val="center"/>
                </w:tcPr>
                <w:p>
                  <w:pPr>
                    <w:jc w:val="center"/>
                    <w:rPr>
                      <w:rFonts w:hint="eastAsia" w:cs="宋体"/>
                      <w:color w:val="000000"/>
                      <w:kern w:val="0"/>
                      <w:sz w:val="18"/>
                      <w:szCs w:val="18"/>
                    </w:rPr>
                  </w:pPr>
                </w:p>
              </w:tc>
              <w:tc>
                <w:tcPr>
                  <w:tcW w:w="3094" w:type="dxa"/>
                  <w:noWrap w:val="0"/>
                  <w:vAlign w:val="center"/>
                </w:tcPr>
                <w:p>
                  <w:pPr>
                    <w:jc w:val="center"/>
                    <w:rPr>
                      <w:rFonts w:hint="eastAsia" w:eastAsia="宋体"/>
                      <w:sz w:val="18"/>
                      <w:szCs w:val="18"/>
                      <w:lang w:eastAsia="zh-CN"/>
                    </w:rPr>
                  </w:pPr>
                  <w:r>
                    <w:rPr>
                      <w:rFonts w:hint="eastAsia"/>
                      <w:sz w:val="18"/>
                      <w:szCs w:val="18"/>
                    </w:rPr>
                    <w:t>文件</w:t>
                  </w:r>
                  <w:r>
                    <w:rPr>
                      <w:rFonts w:hint="eastAsia"/>
                      <w:sz w:val="18"/>
                      <w:szCs w:val="18"/>
                      <w:lang w:eastAsia="zh-CN"/>
                    </w:rPr>
                    <w:t>受控率</w:t>
                  </w:r>
                </w:p>
              </w:tc>
              <w:tc>
                <w:tcPr>
                  <w:tcW w:w="973" w:type="dxa"/>
                  <w:noWrap w:val="0"/>
                  <w:vAlign w:val="center"/>
                </w:tcPr>
                <w:p>
                  <w:pPr>
                    <w:jc w:val="center"/>
                    <w:rPr>
                      <w:rFonts w:hint="eastAsia"/>
                      <w:sz w:val="18"/>
                      <w:szCs w:val="18"/>
                    </w:rPr>
                  </w:pPr>
                  <w:r>
                    <w:rPr>
                      <w:rFonts w:hint="eastAsia"/>
                      <w:sz w:val="18"/>
                      <w:szCs w:val="18"/>
                      <w:lang w:val="en-US" w:eastAsia="zh-CN"/>
                    </w:rPr>
                    <w:t>100</w:t>
                  </w:r>
                  <w:r>
                    <w:rPr>
                      <w:rFonts w:hint="eastAsia"/>
                      <w:color w:val="000000"/>
                      <w:sz w:val="18"/>
                      <w:szCs w:val="18"/>
                    </w:rPr>
                    <w:t>％</w:t>
                  </w:r>
                </w:p>
              </w:tc>
              <w:tc>
                <w:tcPr>
                  <w:tcW w:w="735" w:type="dxa"/>
                  <w:noWrap w:val="0"/>
                  <w:vAlign w:val="center"/>
                </w:tcPr>
                <w:p>
                  <w:pPr>
                    <w:jc w:val="center"/>
                    <w:rPr>
                      <w:rFonts w:hint="eastAsia" w:ascii="宋体" w:hAnsi="宋体"/>
                      <w:color w:val="000000"/>
                      <w:kern w:val="2"/>
                      <w:sz w:val="18"/>
                      <w:szCs w:val="18"/>
                      <w:lang w:val="en-US" w:eastAsia="zh-CN" w:bidi="ar-SA"/>
                    </w:rPr>
                  </w:pPr>
                  <w:r>
                    <w:rPr>
                      <w:rFonts w:hint="eastAsia"/>
                      <w:color w:val="000000"/>
                      <w:sz w:val="18"/>
                      <w:szCs w:val="18"/>
                    </w:rPr>
                    <w:t>100％</w:t>
                  </w:r>
                </w:p>
              </w:tc>
              <w:tc>
                <w:tcPr>
                  <w:tcW w:w="821" w:type="dxa"/>
                  <w:noWrap w:val="0"/>
                  <w:vAlign w:val="center"/>
                </w:tcPr>
                <w:p>
                  <w:pPr>
                    <w:jc w:val="center"/>
                    <w:rPr>
                      <w:rFonts w:hint="eastAsia" w:ascii="宋体" w:hAnsi="宋体"/>
                      <w:color w:val="000000"/>
                      <w:kern w:val="2"/>
                      <w:sz w:val="18"/>
                      <w:szCs w:val="18"/>
                      <w:lang w:val="en-US" w:eastAsia="zh-CN" w:bidi="ar-SA"/>
                    </w:rPr>
                  </w:pPr>
                  <w:r>
                    <w:rPr>
                      <w:rFonts w:hint="eastAsia"/>
                      <w:color w:val="000000"/>
                      <w:sz w:val="18"/>
                      <w:szCs w:val="18"/>
                    </w:rPr>
                    <w:t>100％</w:t>
                  </w:r>
                </w:p>
              </w:tc>
              <w:tc>
                <w:tcPr>
                  <w:tcW w:w="867" w:type="dxa"/>
                  <w:noWrap w:val="0"/>
                  <w:vAlign w:val="center"/>
                </w:tcPr>
                <w:p>
                  <w:pPr>
                    <w:jc w:val="center"/>
                    <w:rPr>
                      <w:rFonts w:hint="eastAsia" w:ascii="宋体" w:hAnsi="宋体"/>
                      <w:color w:val="000000"/>
                      <w:kern w:val="2"/>
                      <w:sz w:val="18"/>
                      <w:szCs w:val="18"/>
                      <w:lang w:val="en-US" w:eastAsia="zh-CN" w:bidi="ar-SA"/>
                    </w:rPr>
                  </w:pPr>
                  <w:r>
                    <w:rPr>
                      <w:rFonts w:hint="eastAsia"/>
                      <w:color w:val="000000"/>
                      <w:sz w:val="18"/>
                      <w:szCs w:val="18"/>
                    </w:rPr>
                    <w:t>100％</w:t>
                  </w:r>
                </w:p>
              </w:tc>
              <w:tc>
                <w:tcPr>
                  <w:tcW w:w="884" w:type="dxa"/>
                  <w:noWrap w:val="0"/>
                  <w:vAlign w:val="center"/>
                </w:tcPr>
                <w:p>
                  <w:pPr>
                    <w:jc w:val="center"/>
                    <w:rPr>
                      <w:rFonts w:hint="eastAsia" w:ascii="宋体" w:hAnsi="宋体"/>
                      <w:color w:val="000000"/>
                      <w:kern w:val="2"/>
                      <w:sz w:val="18"/>
                      <w:szCs w:val="18"/>
                      <w:lang w:val="en-US" w:eastAsia="zh-CN" w:bidi="ar-SA"/>
                    </w:rPr>
                  </w:pPr>
                  <w:r>
                    <w:rPr>
                      <w:rFonts w:hint="eastAsia"/>
                      <w:color w:val="000000"/>
                      <w:sz w:val="18"/>
                      <w:szCs w:val="18"/>
                    </w:rPr>
                    <w:t>100％</w:t>
                  </w:r>
                </w:p>
              </w:tc>
              <w:tc>
                <w:tcPr>
                  <w:tcW w:w="1200" w:type="dxa"/>
                  <w:noWrap w:val="0"/>
                  <w:vAlign w:val="center"/>
                </w:tcPr>
                <w:p>
                  <w:pPr>
                    <w:jc w:val="center"/>
                    <w:rPr>
                      <w:rFonts w:hint="eastAsia" w:ascii="宋体" w:hAnsi="宋体"/>
                      <w:kern w:val="2"/>
                      <w:sz w:val="18"/>
                      <w:szCs w:val="18"/>
                      <w:lang w:val="en-US" w:eastAsia="zh-CN" w:bidi="ar-SA"/>
                    </w:rPr>
                  </w:pPr>
                  <w:r>
                    <w:rPr>
                      <w:sz w:val="18"/>
                      <w:szCs w:val="18"/>
                    </w:rPr>
                    <w:t>是</w:t>
                  </w:r>
                  <w:r>
                    <w:rPr>
                      <w:rFonts w:hint="eastAsia"/>
                      <w:sz w:val="18"/>
                      <w:szCs w:val="18"/>
                    </w:rPr>
                    <w:t xml:space="preserve">■ </w:t>
                  </w:r>
                  <w:r>
                    <w:rPr>
                      <w:sz w:val="18"/>
                      <w:szCs w:val="18"/>
                    </w:rPr>
                    <w:t>否</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311" w:type="dxa"/>
                  <w:vMerge w:val="continue"/>
                  <w:noWrap w:val="0"/>
                  <w:vAlign w:val="center"/>
                </w:tcPr>
                <w:p>
                  <w:pPr>
                    <w:jc w:val="center"/>
                    <w:rPr>
                      <w:rFonts w:hint="eastAsia" w:cs="宋体"/>
                      <w:color w:val="000000"/>
                      <w:kern w:val="0"/>
                      <w:sz w:val="18"/>
                      <w:szCs w:val="18"/>
                    </w:rPr>
                  </w:pPr>
                </w:p>
              </w:tc>
              <w:tc>
                <w:tcPr>
                  <w:tcW w:w="3094" w:type="dxa"/>
                  <w:noWrap w:val="0"/>
                  <w:vAlign w:val="center"/>
                </w:tcPr>
                <w:p>
                  <w:pPr>
                    <w:jc w:val="center"/>
                    <w:rPr>
                      <w:rFonts w:hint="eastAsia"/>
                      <w:sz w:val="18"/>
                      <w:szCs w:val="18"/>
                    </w:rPr>
                  </w:pPr>
                  <w:r>
                    <w:rPr>
                      <w:rFonts w:hint="eastAsia"/>
                      <w:sz w:val="18"/>
                      <w:szCs w:val="18"/>
                    </w:rPr>
                    <w:t>火灾</w:t>
                  </w:r>
                  <w:r>
                    <w:rPr>
                      <w:rFonts w:hint="eastAsia"/>
                      <w:sz w:val="18"/>
                      <w:szCs w:val="18"/>
                      <w:lang w:eastAsia="zh-CN"/>
                    </w:rPr>
                    <w:t>、</w:t>
                  </w:r>
                  <w:r>
                    <w:rPr>
                      <w:rFonts w:hint="eastAsia"/>
                      <w:sz w:val="18"/>
                      <w:szCs w:val="18"/>
                    </w:rPr>
                    <w:t>触电发生次数为0次/每年</w:t>
                  </w:r>
                </w:p>
              </w:tc>
              <w:tc>
                <w:tcPr>
                  <w:tcW w:w="973" w:type="dxa"/>
                  <w:noWrap w:val="0"/>
                  <w:vAlign w:val="center"/>
                </w:tcPr>
                <w:p>
                  <w:pPr>
                    <w:jc w:val="center"/>
                    <w:rPr>
                      <w:rFonts w:hint="eastAsia"/>
                      <w:sz w:val="18"/>
                      <w:szCs w:val="18"/>
                      <w:lang w:val="en-US" w:eastAsia="zh-CN"/>
                    </w:rPr>
                  </w:pPr>
                  <w:r>
                    <w:rPr>
                      <w:rFonts w:hint="eastAsia"/>
                      <w:sz w:val="18"/>
                      <w:szCs w:val="18"/>
                      <w:lang w:val="en-US" w:eastAsia="zh-CN"/>
                    </w:rPr>
                    <w:t>0/年</w:t>
                  </w:r>
                </w:p>
              </w:tc>
              <w:tc>
                <w:tcPr>
                  <w:tcW w:w="735" w:type="dxa"/>
                  <w:noWrap w:val="0"/>
                  <w:vAlign w:val="center"/>
                </w:tcPr>
                <w:p>
                  <w:pPr>
                    <w:jc w:val="center"/>
                    <w:rPr>
                      <w:rFonts w:hint="eastAsia"/>
                      <w:color w:val="000000"/>
                      <w:sz w:val="18"/>
                      <w:szCs w:val="18"/>
                    </w:rPr>
                  </w:pPr>
                  <w:r>
                    <w:rPr>
                      <w:rFonts w:hint="eastAsia" w:cs="宋体"/>
                      <w:color w:val="000000"/>
                      <w:kern w:val="0"/>
                      <w:sz w:val="18"/>
                      <w:szCs w:val="18"/>
                      <w:lang w:val="en-US" w:eastAsia="zh-CN"/>
                    </w:rPr>
                    <w:t>0</w:t>
                  </w:r>
                </w:p>
              </w:tc>
              <w:tc>
                <w:tcPr>
                  <w:tcW w:w="821" w:type="dxa"/>
                  <w:noWrap w:val="0"/>
                  <w:vAlign w:val="center"/>
                </w:tcPr>
                <w:p>
                  <w:pPr>
                    <w:jc w:val="center"/>
                    <w:rPr>
                      <w:rFonts w:hint="eastAsia"/>
                      <w:color w:val="000000"/>
                      <w:sz w:val="18"/>
                      <w:szCs w:val="18"/>
                    </w:rPr>
                  </w:pPr>
                  <w:r>
                    <w:rPr>
                      <w:rFonts w:hint="eastAsia" w:cs="宋体"/>
                      <w:color w:val="000000"/>
                      <w:kern w:val="0"/>
                      <w:sz w:val="18"/>
                      <w:szCs w:val="18"/>
                      <w:lang w:val="en-US" w:eastAsia="zh-CN"/>
                    </w:rPr>
                    <w:t>0</w:t>
                  </w:r>
                </w:p>
              </w:tc>
              <w:tc>
                <w:tcPr>
                  <w:tcW w:w="867" w:type="dxa"/>
                  <w:noWrap w:val="0"/>
                  <w:vAlign w:val="center"/>
                </w:tcPr>
                <w:p>
                  <w:pPr>
                    <w:jc w:val="center"/>
                    <w:rPr>
                      <w:rFonts w:hint="eastAsia"/>
                      <w:color w:val="000000"/>
                      <w:sz w:val="18"/>
                      <w:szCs w:val="18"/>
                    </w:rPr>
                  </w:pPr>
                  <w:r>
                    <w:rPr>
                      <w:rFonts w:hint="eastAsia" w:cs="宋体"/>
                      <w:color w:val="000000"/>
                      <w:kern w:val="0"/>
                      <w:sz w:val="18"/>
                      <w:szCs w:val="18"/>
                      <w:lang w:val="en-US" w:eastAsia="zh-CN"/>
                    </w:rPr>
                    <w:t>0</w:t>
                  </w:r>
                </w:p>
              </w:tc>
              <w:tc>
                <w:tcPr>
                  <w:tcW w:w="884" w:type="dxa"/>
                  <w:noWrap w:val="0"/>
                  <w:vAlign w:val="center"/>
                </w:tcPr>
                <w:p>
                  <w:pPr>
                    <w:jc w:val="center"/>
                    <w:rPr>
                      <w:rFonts w:hint="eastAsia"/>
                      <w:color w:val="000000"/>
                      <w:sz w:val="18"/>
                      <w:szCs w:val="18"/>
                    </w:rPr>
                  </w:pPr>
                  <w:r>
                    <w:rPr>
                      <w:rFonts w:hint="eastAsia" w:cs="宋体"/>
                      <w:color w:val="000000"/>
                      <w:kern w:val="0"/>
                      <w:sz w:val="18"/>
                      <w:szCs w:val="18"/>
                      <w:lang w:val="en-US" w:eastAsia="zh-CN"/>
                    </w:rPr>
                    <w:t>0</w:t>
                  </w:r>
                </w:p>
              </w:tc>
              <w:tc>
                <w:tcPr>
                  <w:tcW w:w="1200" w:type="dxa"/>
                  <w:noWrap w:val="0"/>
                  <w:vAlign w:val="center"/>
                </w:tcPr>
                <w:p>
                  <w:pPr>
                    <w:jc w:val="center"/>
                    <w:rPr>
                      <w:sz w:val="18"/>
                      <w:szCs w:val="18"/>
                    </w:rPr>
                  </w:pPr>
                  <w:r>
                    <w:rPr>
                      <w:sz w:val="18"/>
                      <w:szCs w:val="18"/>
                    </w:rPr>
                    <w:t>是</w:t>
                  </w:r>
                  <w:r>
                    <w:rPr>
                      <w:rFonts w:hint="eastAsia"/>
                      <w:sz w:val="18"/>
                      <w:szCs w:val="18"/>
                    </w:rPr>
                    <w:t xml:space="preserve">■ </w:t>
                  </w:r>
                  <w:r>
                    <w:rPr>
                      <w:sz w:val="18"/>
                      <w:szCs w:val="18"/>
                    </w:rPr>
                    <w:t>否</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311" w:type="dxa"/>
                  <w:vMerge w:val="restart"/>
                  <w:noWrap w:val="0"/>
                  <w:vAlign w:val="center"/>
                </w:tcPr>
                <w:p>
                  <w:pPr>
                    <w:jc w:val="center"/>
                    <w:rPr>
                      <w:rFonts w:hint="eastAsia"/>
                      <w:sz w:val="18"/>
                      <w:szCs w:val="18"/>
                    </w:rPr>
                  </w:pPr>
                  <w:r>
                    <w:rPr>
                      <w:rFonts w:hint="eastAsia"/>
                      <w:sz w:val="18"/>
                      <w:szCs w:val="18"/>
                    </w:rPr>
                    <w:t>销售部</w:t>
                  </w:r>
                </w:p>
              </w:tc>
              <w:tc>
                <w:tcPr>
                  <w:tcW w:w="3094" w:type="dxa"/>
                  <w:noWrap w:val="0"/>
                  <w:vAlign w:val="center"/>
                </w:tcPr>
                <w:p>
                  <w:pPr>
                    <w:jc w:val="center"/>
                    <w:rPr>
                      <w:rFonts w:hint="eastAsia" w:ascii="宋体" w:hAnsi="宋体"/>
                      <w:kern w:val="2"/>
                      <w:sz w:val="18"/>
                      <w:szCs w:val="18"/>
                      <w:lang w:val="en-US" w:eastAsia="zh-CN" w:bidi="ar-SA"/>
                    </w:rPr>
                  </w:pPr>
                  <w:r>
                    <w:rPr>
                      <w:rFonts w:hint="eastAsia"/>
                      <w:sz w:val="18"/>
                      <w:szCs w:val="18"/>
                    </w:rPr>
                    <w:t>顾客满意率</w:t>
                  </w:r>
                </w:p>
              </w:tc>
              <w:tc>
                <w:tcPr>
                  <w:tcW w:w="973" w:type="dxa"/>
                  <w:noWrap w:val="0"/>
                  <w:vAlign w:val="center"/>
                </w:tcPr>
                <w:p>
                  <w:pPr>
                    <w:jc w:val="center"/>
                    <w:rPr>
                      <w:rFonts w:hint="eastAsia" w:ascii="宋体" w:hAnsi="宋体"/>
                      <w:kern w:val="2"/>
                      <w:sz w:val="18"/>
                      <w:szCs w:val="18"/>
                      <w:lang w:val="en-US" w:eastAsia="zh-CN" w:bidi="ar-SA"/>
                    </w:rPr>
                  </w:pPr>
                  <w:r>
                    <w:rPr>
                      <w:rFonts w:hint="eastAsia"/>
                      <w:sz w:val="18"/>
                      <w:szCs w:val="18"/>
                      <w:lang w:val="en-US" w:eastAsia="zh-CN"/>
                    </w:rPr>
                    <w:t>90分</w:t>
                  </w:r>
                </w:p>
              </w:tc>
              <w:tc>
                <w:tcPr>
                  <w:tcW w:w="735" w:type="dxa"/>
                  <w:noWrap w:val="0"/>
                  <w:vAlign w:val="center"/>
                </w:tcPr>
                <w:p>
                  <w:pPr>
                    <w:jc w:val="center"/>
                    <w:rPr>
                      <w:rFonts w:ascii="宋体" w:hAnsi="宋体" w:cs="宋体"/>
                      <w:color w:val="000000"/>
                      <w:kern w:val="0"/>
                      <w:sz w:val="18"/>
                      <w:szCs w:val="18"/>
                      <w:lang w:val="en-US" w:eastAsia="zh-CN" w:bidi="ar-SA"/>
                    </w:rPr>
                  </w:pPr>
                  <w:r>
                    <w:rPr>
                      <w:rFonts w:hint="eastAsia"/>
                      <w:sz w:val="18"/>
                      <w:szCs w:val="18"/>
                      <w:lang w:val="en-US" w:eastAsia="zh-CN"/>
                    </w:rPr>
                    <w:t>/</w:t>
                  </w:r>
                </w:p>
              </w:tc>
              <w:tc>
                <w:tcPr>
                  <w:tcW w:w="821" w:type="dxa"/>
                  <w:noWrap w:val="0"/>
                  <w:vAlign w:val="center"/>
                </w:tcPr>
                <w:p>
                  <w:pPr>
                    <w:jc w:val="center"/>
                    <w:rPr>
                      <w:rFonts w:hint="eastAsia" w:ascii="宋体" w:hAnsi="宋体" w:cs="宋体"/>
                      <w:color w:val="000000"/>
                      <w:kern w:val="0"/>
                      <w:sz w:val="18"/>
                      <w:szCs w:val="18"/>
                      <w:lang w:val="en-US" w:eastAsia="zh-CN" w:bidi="ar-SA"/>
                    </w:rPr>
                  </w:pPr>
                  <w:r>
                    <w:rPr>
                      <w:rFonts w:hint="eastAsia"/>
                      <w:sz w:val="18"/>
                      <w:szCs w:val="18"/>
                      <w:lang w:val="en-US" w:eastAsia="zh-CN"/>
                    </w:rPr>
                    <w:t>/</w:t>
                  </w:r>
                </w:p>
              </w:tc>
              <w:tc>
                <w:tcPr>
                  <w:tcW w:w="867" w:type="dxa"/>
                  <w:noWrap w:val="0"/>
                  <w:vAlign w:val="center"/>
                </w:tcPr>
                <w:p>
                  <w:pPr>
                    <w:jc w:val="center"/>
                    <w:rPr>
                      <w:rFonts w:hint="default" w:ascii="宋体" w:hAnsi="宋体" w:cs="宋体"/>
                      <w:color w:val="000000"/>
                      <w:kern w:val="0"/>
                      <w:sz w:val="18"/>
                      <w:szCs w:val="18"/>
                      <w:lang w:val="en-US" w:eastAsia="zh-CN" w:bidi="ar-SA"/>
                    </w:rPr>
                  </w:pPr>
                  <w:r>
                    <w:rPr>
                      <w:rFonts w:hint="eastAsia"/>
                      <w:sz w:val="18"/>
                      <w:szCs w:val="18"/>
                      <w:lang w:val="en-US" w:eastAsia="zh-CN"/>
                    </w:rPr>
                    <w:t>96.4%</w:t>
                  </w:r>
                </w:p>
              </w:tc>
              <w:tc>
                <w:tcPr>
                  <w:tcW w:w="884" w:type="dxa"/>
                  <w:noWrap w:val="0"/>
                  <w:vAlign w:val="center"/>
                </w:tcPr>
                <w:p>
                  <w:pPr>
                    <w:jc w:val="center"/>
                    <w:rPr>
                      <w:rFonts w:hint="eastAsia" w:ascii="宋体" w:hAnsi="宋体" w:cs="宋体"/>
                      <w:color w:val="000000"/>
                      <w:kern w:val="0"/>
                      <w:sz w:val="18"/>
                      <w:szCs w:val="18"/>
                      <w:lang w:val="en-US" w:eastAsia="zh-CN" w:bidi="ar-SA"/>
                    </w:rPr>
                  </w:pPr>
                  <w:r>
                    <w:rPr>
                      <w:rFonts w:hint="eastAsia"/>
                      <w:sz w:val="18"/>
                      <w:szCs w:val="18"/>
                      <w:lang w:val="en-US" w:eastAsia="zh-CN"/>
                    </w:rPr>
                    <w:t>/</w:t>
                  </w:r>
                </w:p>
              </w:tc>
              <w:tc>
                <w:tcPr>
                  <w:tcW w:w="1200" w:type="dxa"/>
                  <w:noWrap w:val="0"/>
                  <w:vAlign w:val="center"/>
                </w:tcPr>
                <w:p>
                  <w:pPr>
                    <w:jc w:val="center"/>
                    <w:rPr>
                      <w:rFonts w:hint="eastAsia" w:ascii="宋体" w:hAnsi="宋体"/>
                      <w:kern w:val="2"/>
                      <w:sz w:val="18"/>
                      <w:szCs w:val="18"/>
                      <w:lang w:val="en-US" w:eastAsia="zh-CN" w:bidi="ar-SA"/>
                    </w:rPr>
                  </w:pPr>
                  <w:r>
                    <w:rPr>
                      <w:sz w:val="18"/>
                      <w:szCs w:val="18"/>
                    </w:rPr>
                    <w:t>是</w:t>
                  </w:r>
                  <w:r>
                    <w:rPr>
                      <w:rFonts w:hint="eastAsia"/>
                      <w:sz w:val="18"/>
                      <w:szCs w:val="18"/>
                    </w:rPr>
                    <w:t xml:space="preserve">■ </w:t>
                  </w:r>
                  <w:r>
                    <w:rPr>
                      <w:sz w:val="18"/>
                      <w:szCs w:val="18"/>
                    </w:rPr>
                    <w:t>否</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311" w:type="dxa"/>
                  <w:vMerge w:val="continue"/>
                  <w:noWrap w:val="0"/>
                  <w:vAlign w:val="center"/>
                </w:tcPr>
                <w:p>
                  <w:pPr>
                    <w:jc w:val="center"/>
                    <w:rPr>
                      <w:rFonts w:hint="eastAsia"/>
                      <w:sz w:val="18"/>
                      <w:szCs w:val="18"/>
                    </w:rPr>
                  </w:pPr>
                </w:p>
              </w:tc>
              <w:tc>
                <w:tcPr>
                  <w:tcW w:w="3094" w:type="dxa"/>
                  <w:noWrap w:val="0"/>
                  <w:vAlign w:val="center"/>
                </w:tcPr>
                <w:p>
                  <w:pPr>
                    <w:snapToGrid w:val="0"/>
                    <w:jc w:val="center"/>
                    <w:rPr>
                      <w:rFonts w:hint="eastAsia"/>
                      <w:sz w:val="18"/>
                      <w:szCs w:val="18"/>
                    </w:rPr>
                  </w:pPr>
                  <w:r>
                    <w:rPr>
                      <w:rFonts w:hint="eastAsia"/>
                      <w:sz w:val="18"/>
                      <w:szCs w:val="18"/>
                    </w:rPr>
                    <w:t>客户投诉次数</w:t>
                  </w:r>
                </w:p>
              </w:tc>
              <w:tc>
                <w:tcPr>
                  <w:tcW w:w="973" w:type="dxa"/>
                  <w:noWrap w:val="0"/>
                  <w:vAlign w:val="center"/>
                </w:tcPr>
                <w:p>
                  <w:pPr>
                    <w:jc w:val="center"/>
                    <w:rPr>
                      <w:rFonts w:hint="default" w:eastAsia="宋体"/>
                      <w:sz w:val="18"/>
                      <w:szCs w:val="18"/>
                      <w:lang w:val="en-US" w:eastAsia="zh-CN"/>
                    </w:rPr>
                  </w:pPr>
                  <w:r>
                    <w:rPr>
                      <w:rFonts w:hint="eastAsia"/>
                      <w:sz w:val="18"/>
                      <w:szCs w:val="18"/>
                    </w:rPr>
                    <w:t>≤2</w:t>
                  </w:r>
                  <w:r>
                    <w:rPr>
                      <w:rFonts w:hint="eastAsia"/>
                      <w:sz w:val="18"/>
                      <w:szCs w:val="18"/>
                      <w:lang w:eastAsia="zh-CN"/>
                    </w:rPr>
                    <w:t>次</w:t>
                  </w:r>
                  <w:r>
                    <w:rPr>
                      <w:rFonts w:hint="eastAsia"/>
                      <w:sz w:val="18"/>
                      <w:szCs w:val="18"/>
                      <w:lang w:val="en-US" w:eastAsia="zh-CN"/>
                    </w:rPr>
                    <w:t>/月</w:t>
                  </w:r>
                </w:p>
              </w:tc>
              <w:tc>
                <w:tcPr>
                  <w:tcW w:w="735" w:type="dxa"/>
                  <w:noWrap w:val="0"/>
                  <w:vAlign w:val="center"/>
                </w:tcPr>
                <w:p>
                  <w:pPr>
                    <w:jc w:val="center"/>
                    <w:rPr>
                      <w:rFonts w:hint="eastAsia" w:ascii="宋体" w:hAnsi="宋体"/>
                      <w:kern w:val="2"/>
                      <w:sz w:val="18"/>
                      <w:szCs w:val="18"/>
                      <w:lang w:val="en-US" w:eastAsia="zh-CN" w:bidi="ar-SA"/>
                    </w:rPr>
                  </w:pPr>
                  <w:r>
                    <w:rPr>
                      <w:rFonts w:hint="eastAsia" w:cs="宋体"/>
                      <w:color w:val="000000"/>
                      <w:kern w:val="0"/>
                      <w:sz w:val="18"/>
                      <w:szCs w:val="18"/>
                    </w:rPr>
                    <w:t>0</w:t>
                  </w:r>
                </w:p>
              </w:tc>
              <w:tc>
                <w:tcPr>
                  <w:tcW w:w="821" w:type="dxa"/>
                  <w:noWrap w:val="0"/>
                  <w:vAlign w:val="center"/>
                </w:tcPr>
                <w:p>
                  <w:pPr>
                    <w:jc w:val="center"/>
                    <w:rPr>
                      <w:rFonts w:hint="eastAsia" w:ascii="宋体" w:hAnsi="宋体"/>
                      <w:kern w:val="2"/>
                      <w:sz w:val="18"/>
                      <w:szCs w:val="18"/>
                      <w:lang w:val="en-US" w:eastAsia="zh-CN" w:bidi="ar-SA"/>
                    </w:rPr>
                  </w:pPr>
                  <w:r>
                    <w:rPr>
                      <w:rFonts w:hint="eastAsia"/>
                      <w:sz w:val="18"/>
                      <w:szCs w:val="18"/>
                    </w:rPr>
                    <w:t>0</w:t>
                  </w:r>
                </w:p>
              </w:tc>
              <w:tc>
                <w:tcPr>
                  <w:tcW w:w="867" w:type="dxa"/>
                  <w:noWrap w:val="0"/>
                  <w:vAlign w:val="center"/>
                </w:tcPr>
                <w:p>
                  <w:pPr>
                    <w:jc w:val="center"/>
                    <w:rPr>
                      <w:rFonts w:hint="eastAsia" w:ascii="宋体" w:hAnsi="宋体" w:eastAsia="宋体"/>
                      <w:kern w:val="2"/>
                      <w:sz w:val="18"/>
                      <w:szCs w:val="18"/>
                      <w:lang w:val="en-US" w:eastAsia="zh-CN" w:bidi="ar-SA"/>
                    </w:rPr>
                  </w:pPr>
                  <w:r>
                    <w:rPr>
                      <w:rFonts w:hint="eastAsia" w:cs="宋体"/>
                      <w:color w:val="000000"/>
                      <w:kern w:val="0"/>
                      <w:sz w:val="18"/>
                      <w:szCs w:val="18"/>
                      <w:lang w:val="en-US" w:eastAsia="zh-CN"/>
                    </w:rPr>
                    <w:t>0</w:t>
                  </w:r>
                </w:p>
              </w:tc>
              <w:tc>
                <w:tcPr>
                  <w:tcW w:w="884" w:type="dxa"/>
                  <w:noWrap w:val="0"/>
                  <w:vAlign w:val="center"/>
                </w:tcPr>
                <w:p>
                  <w:pPr>
                    <w:jc w:val="center"/>
                    <w:rPr>
                      <w:rFonts w:hint="eastAsia" w:ascii="宋体" w:hAnsi="宋体" w:eastAsia="宋体"/>
                      <w:kern w:val="2"/>
                      <w:sz w:val="18"/>
                      <w:szCs w:val="18"/>
                      <w:lang w:val="en-US" w:eastAsia="zh-CN" w:bidi="ar-SA"/>
                    </w:rPr>
                  </w:pPr>
                  <w:r>
                    <w:rPr>
                      <w:rFonts w:hint="eastAsia"/>
                      <w:sz w:val="18"/>
                      <w:szCs w:val="18"/>
                      <w:lang w:val="en-US" w:eastAsia="zh-CN"/>
                    </w:rPr>
                    <w:t>0</w:t>
                  </w:r>
                </w:p>
              </w:tc>
              <w:tc>
                <w:tcPr>
                  <w:tcW w:w="1200" w:type="dxa"/>
                  <w:noWrap w:val="0"/>
                  <w:vAlign w:val="center"/>
                </w:tcPr>
                <w:p>
                  <w:pPr>
                    <w:jc w:val="center"/>
                    <w:rPr>
                      <w:rFonts w:hint="eastAsia" w:ascii="宋体" w:hAnsi="宋体"/>
                      <w:kern w:val="2"/>
                      <w:sz w:val="18"/>
                      <w:szCs w:val="18"/>
                      <w:lang w:val="en-US" w:eastAsia="zh-CN" w:bidi="ar-SA"/>
                    </w:rPr>
                  </w:pPr>
                  <w:r>
                    <w:rPr>
                      <w:sz w:val="18"/>
                      <w:szCs w:val="18"/>
                    </w:rPr>
                    <w:t>是</w:t>
                  </w:r>
                  <w:r>
                    <w:rPr>
                      <w:rFonts w:hint="eastAsia"/>
                      <w:sz w:val="18"/>
                      <w:szCs w:val="18"/>
                    </w:rPr>
                    <w:t xml:space="preserve">■ </w:t>
                  </w:r>
                  <w:r>
                    <w:rPr>
                      <w:sz w:val="18"/>
                      <w:szCs w:val="18"/>
                    </w:rPr>
                    <w:t>否</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exact"/>
                <w:jc w:val="center"/>
              </w:trPr>
              <w:tc>
                <w:tcPr>
                  <w:tcW w:w="1311" w:type="dxa"/>
                  <w:vMerge w:val="continue"/>
                  <w:noWrap w:val="0"/>
                  <w:vAlign w:val="center"/>
                </w:tcPr>
                <w:p>
                  <w:pPr>
                    <w:jc w:val="center"/>
                    <w:rPr>
                      <w:rFonts w:hint="eastAsia"/>
                      <w:sz w:val="18"/>
                      <w:szCs w:val="18"/>
                    </w:rPr>
                  </w:pPr>
                </w:p>
              </w:tc>
              <w:tc>
                <w:tcPr>
                  <w:tcW w:w="3094" w:type="dxa"/>
                  <w:noWrap w:val="0"/>
                  <w:vAlign w:val="center"/>
                </w:tcPr>
                <w:p>
                  <w:pPr>
                    <w:snapToGrid w:val="0"/>
                    <w:jc w:val="center"/>
                    <w:rPr>
                      <w:rFonts w:hint="eastAsia"/>
                      <w:sz w:val="18"/>
                      <w:szCs w:val="18"/>
                    </w:rPr>
                  </w:pPr>
                  <w:r>
                    <w:rPr>
                      <w:rFonts w:hint="eastAsia"/>
                      <w:sz w:val="18"/>
                      <w:szCs w:val="18"/>
                    </w:rPr>
                    <w:t>合同评审覆盖率</w:t>
                  </w:r>
                </w:p>
              </w:tc>
              <w:tc>
                <w:tcPr>
                  <w:tcW w:w="973" w:type="dxa"/>
                  <w:noWrap w:val="0"/>
                  <w:vAlign w:val="center"/>
                </w:tcPr>
                <w:p>
                  <w:pPr>
                    <w:jc w:val="center"/>
                    <w:rPr>
                      <w:rFonts w:hint="eastAsia"/>
                      <w:sz w:val="18"/>
                      <w:szCs w:val="18"/>
                    </w:rPr>
                  </w:pPr>
                  <w:r>
                    <w:rPr>
                      <w:rFonts w:hint="eastAsia" w:cs="宋体"/>
                      <w:color w:val="000000"/>
                      <w:kern w:val="0"/>
                      <w:sz w:val="18"/>
                      <w:szCs w:val="18"/>
                      <w:lang w:val="en-US" w:eastAsia="zh-CN"/>
                    </w:rPr>
                    <w:t>100</w:t>
                  </w:r>
                  <w:r>
                    <w:rPr>
                      <w:rFonts w:hint="eastAsia"/>
                      <w:color w:val="000000"/>
                      <w:sz w:val="18"/>
                      <w:szCs w:val="18"/>
                    </w:rPr>
                    <w:t>％</w:t>
                  </w:r>
                </w:p>
              </w:tc>
              <w:tc>
                <w:tcPr>
                  <w:tcW w:w="735" w:type="dxa"/>
                  <w:noWrap w:val="0"/>
                  <w:vAlign w:val="center"/>
                </w:tcPr>
                <w:p>
                  <w:pPr>
                    <w:jc w:val="center"/>
                    <w:rPr>
                      <w:rFonts w:hint="eastAsia" w:ascii="宋体" w:hAnsi="宋体"/>
                      <w:color w:val="000000"/>
                      <w:kern w:val="2"/>
                      <w:sz w:val="18"/>
                      <w:szCs w:val="18"/>
                      <w:lang w:val="en-US" w:eastAsia="zh-CN" w:bidi="ar-SA"/>
                    </w:rPr>
                  </w:pPr>
                  <w:r>
                    <w:rPr>
                      <w:rFonts w:hint="eastAsia" w:cs="宋体"/>
                      <w:color w:val="000000"/>
                      <w:kern w:val="0"/>
                      <w:sz w:val="18"/>
                      <w:szCs w:val="18"/>
                      <w:lang w:val="en-US" w:eastAsia="zh-CN"/>
                    </w:rPr>
                    <w:t>100</w:t>
                  </w:r>
                  <w:r>
                    <w:rPr>
                      <w:rFonts w:hint="eastAsia"/>
                      <w:color w:val="000000"/>
                      <w:sz w:val="18"/>
                      <w:szCs w:val="18"/>
                    </w:rPr>
                    <w:t>％</w:t>
                  </w:r>
                </w:p>
              </w:tc>
              <w:tc>
                <w:tcPr>
                  <w:tcW w:w="821" w:type="dxa"/>
                  <w:noWrap w:val="0"/>
                  <w:vAlign w:val="center"/>
                </w:tcPr>
                <w:p>
                  <w:pPr>
                    <w:jc w:val="center"/>
                    <w:rPr>
                      <w:rFonts w:hint="eastAsia" w:ascii="宋体" w:hAnsi="宋体"/>
                      <w:color w:val="000000"/>
                      <w:kern w:val="2"/>
                      <w:sz w:val="18"/>
                      <w:szCs w:val="18"/>
                      <w:lang w:val="en-US" w:eastAsia="zh-CN" w:bidi="ar-SA"/>
                    </w:rPr>
                  </w:pPr>
                  <w:r>
                    <w:rPr>
                      <w:rFonts w:hint="eastAsia" w:cs="宋体"/>
                      <w:color w:val="000000"/>
                      <w:kern w:val="0"/>
                      <w:sz w:val="18"/>
                      <w:szCs w:val="18"/>
                      <w:lang w:val="en-US" w:eastAsia="zh-CN"/>
                    </w:rPr>
                    <w:t>100</w:t>
                  </w:r>
                  <w:r>
                    <w:rPr>
                      <w:rFonts w:hint="eastAsia"/>
                      <w:color w:val="000000"/>
                      <w:sz w:val="18"/>
                      <w:szCs w:val="18"/>
                    </w:rPr>
                    <w:t>％</w:t>
                  </w:r>
                </w:p>
              </w:tc>
              <w:tc>
                <w:tcPr>
                  <w:tcW w:w="867" w:type="dxa"/>
                  <w:noWrap w:val="0"/>
                  <w:vAlign w:val="center"/>
                </w:tcPr>
                <w:p>
                  <w:pPr>
                    <w:jc w:val="center"/>
                    <w:rPr>
                      <w:rFonts w:hint="eastAsia" w:ascii="宋体" w:hAnsi="宋体"/>
                      <w:color w:val="000000"/>
                      <w:kern w:val="2"/>
                      <w:sz w:val="18"/>
                      <w:szCs w:val="18"/>
                      <w:lang w:val="en-US" w:eastAsia="zh-CN" w:bidi="ar-SA"/>
                    </w:rPr>
                  </w:pPr>
                  <w:r>
                    <w:rPr>
                      <w:rFonts w:hint="eastAsia" w:cs="宋体"/>
                      <w:color w:val="000000"/>
                      <w:kern w:val="0"/>
                      <w:sz w:val="18"/>
                      <w:szCs w:val="18"/>
                      <w:lang w:val="en-US" w:eastAsia="zh-CN"/>
                    </w:rPr>
                    <w:t>100</w:t>
                  </w:r>
                  <w:r>
                    <w:rPr>
                      <w:rFonts w:hint="eastAsia"/>
                      <w:color w:val="000000"/>
                      <w:sz w:val="18"/>
                      <w:szCs w:val="18"/>
                    </w:rPr>
                    <w:t>％</w:t>
                  </w:r>
                </w:p>
              </w:tc>
              <w:tc>
                <w:tcPr>
                  <w:tcW w:w="884" w:type="dxa"/>
                  <w:noWrap w:val="0"/>
                  <w:vAlign w:val="center"/>
                </w:tcPr>
                <w:p>
                  <w:pPr>
                    <w:jc w:val="center"/>
                    <w:rPr>
                      <w:rFonts w:hint="eastAsia" w:ascii="宋体" w:hAnsi="宋体"/>
                      <w:color w:val="000000"/>
                      <w:kern w:val="2"/>
                      <w:sz w:val="18"/>
                      <w:szCs w:val="18"/>
                      <w:lang w:val="en-US" w:eastAsia="zh-CN" w:bidi="ar-SA"/>
                    </w:rPr>
                  </w:pPr>
                  <w:r>
                    <w:rPr>
                      <w:rFonts w:hint="eastAsia" w:cs="宋体"/>
                      <w:color w:val="000000"/>
                      <w:kern w:val="0"/>
                      <w:sz w:val="18"/>
                      <w:szCs w:val="18"/>
                      <w:lang w:val="en-US" w:eastAsia="zh-CN"/>
                    </w:rPr>
                    <w:t>100</w:t>
                  </w:r>
                  <w:r>
                    <w:rPr>
                      <w:rFonts w:hint="eastAsia"/>
                      <w:color w:val="000000"/>
                      <w:sz w:val="18"/>
                      <w:szCs w:val="18"/>
                    </w:rPr>
                    <w:t>％</w:t>
                  </w:r>
                </w:p>
              </w:tc>
              <w:tc>
                <w:tcPr>
                  <w:tcW w:w="1200" w:type="dxa"/>
                  <w:noWrap w:val="0"/>
                  <w:vAlign w:val="center"/>
                </w:tcPr>
                <w:p>
                  <w:pPr>
                    <w:jc w:val="center"/>
                    <w:rPr>
                      <w:rFonts w:hint="eastAsia" w:ascii="宋体" w:hAnsi="宋体"/>
                      <w:kern w:val="2"/>
                      <w:sz w:val="18"/>
                      <w:szCs w:val="18"/>
                      <w:lang w:val="en-US" w:eastAsia="zh-CN" w:bidi="ar-SA"/>
                    </w:rPr>
                  </w:pPr>
                  <w:r>
                    <w:rPr>
                      <w:sz w:val="18"/>
                      <w:szCs w:val="18"/>
                    </w:rPr>
                    <w:t>是</w:t>
                  </w:r>
                  <w:r>
                    <w:rPr>
                      <w:rFonts w:hint="eastAsia"/>
                      <w:sz w:val="18"/>
                      <w:szCs w:val="18"/>
                    </w:rPr>
                    <w:t xml:space="preserve">■ </w:t>
                  </w:r>
                  <w:r>
                    <w:rPr>
                      <w:sz w:val="18"/>
                      <w:szCs w:val="18"/>
                    </w:rPr>
                    <w:t>否</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311" w:type="dxa"/>
                  <w:vMerge w:val="continue"/>
                  <w:noWrap w:val="0"/>
                  <w:vAlign w:val="center"/>
                </w:tcPr>
                <w:p>
                  <w:pPr>
                    <w:jc w:val="center"/>
                    <w:rPr>
                      <w:rFonts w:hint="eastAsia"/>
                      <w:sz w:val="18"/>
                      <w:szCs w:val="18"/>
                    </w:rPr>
                  </w:pPr>
                </w:p>
              </w:tc>
              <w:tc>
                <w:tcPr>
                  <w:tcW w:w="3094" w:type="dxa"/>
                  <w:noWrap w:val="0"/>
                  <w:vAlign w:val="center"/>
                </w:tcPr>
                <w:p>
                  <w:pPr>
                    <w:snapToGrid w:val="0"/>
                    <w:jc w:val="center"/>
                    <w:rPr>
                      <w:rFonts w:hint="eastAsia" w:ascii="宋体" w:hAnsi="宋体"/>
                      <w:kern w:val="2"/>
                      <w:sz w:val="18"/>
                      <w:szCs w:val="18"/>
                      <w:lang w:val="en-US" w:eastAsia="zh-CN" w:bidi="ar-SA"/>
                    </w:rPr>
                  </w:pPr>
                  <w:r>
                    <w:rPr>
                      <w:rFonts w:hint="eastAsia"/>
                      <w:sz w:val="18"/>
                      <w:szCs w:val="18"/>
                    </w:rPr>
                    <w:t>火灾</w:t>
                  </w:r>
                  <w:r>
                    <w:rPr>
                      <w:rFonts w:hint="eastAsia"/>
                      <w:sz w:val="18"/>
                      <w:szCs w:val="18"/>
                      <w:lang w:eastAsia="zh-CN"/>
                    </w:rPr>
                    <w:t>、</w:t>
                  </w:r>
                  <w:r>
                    <w:rPr>
                      <w:rFonts w:hint="eastAsia"/>
                      <w:sz w:val="18"/>
                      <w:szCs w:val="18"/>
                    </w:rPr>
                    <w:t>触电发生次数为0次/每年</w:t>
                  </w:r>
                </w:p>
              </w:tc>
              <w:tc>
                <w:tcPr>
                  <w:tcW w:w="973" w:type="dxa"/>
                  <w:noWrap w:val="0"/>
                  <w:vAlign w:val="center"/>
                </w:tcPr>
                <w:p>
                  <w:pPr>
                    <w:jc w:val="center"/>
                    <w:rPr>
                      <w:rFonts w:hint="eastAsia" w:cs="宋体"/>
                      <w:color w:val="000000"/>
                      <w:kern w:val="0"/>
                      <w:sz w:val="18"/>
                      <w:szCs w:val="18"/>
                      <w:lang w:val="en-US" w:eastAsia="zh-CN"/>
                    </w:rPr>
                  </w:pPr>
                  <w:r>
                    <w:rPr>
                      <w:rFonts w:hint="eastAsia"/>
                      <w:sz w:val="18"/>
                      <w:szCs w:val="18"/>
                      <w:lang w:val="en-US" w:eastAsia="zh-CN"/>
                    </w:rPr>
                    <w:t>0/年</w:t>
                  </w:r>
                </w:p>
              </w:tc>
              <w:tc>
                <w:tcPr>
                  <w:tcW w:w="735" w:type="dxa"/>
                  <w:noWrap w:val="0"/>
                  <w:vAlign w:val="center"/>
                </w:tcPr>
                <w:p>
                  <w:pPr>
                    <w:jc w:val="center"/>
                    <w:rPr>
                      <w:rFonts w:hint="default" w:cs="宋体"/>
                      <w:color w:val="000000"/>
                      <w:kern w:val="0"/>
                      <w:sz w:val="18"/>
                      <w:szCs w:val="18"/>
                      <w:lang w:val="en-US" w:eastAsia="zh-CN"/>
                    </w:rPr>
                  </w:pPr>
                  <w:r>
                    <w:rPr>
                      <w:rFonts w:hint="eastAsia" w:cs="宋体"/>
                      <w:color w:val="000000"/>
                      <w:kern w:val="0"/>
                      <w:sz w:val="18"/>
                      <w:szCs w:val="18"/>
                      <w:lang w:val="en-US" w:eastAsia="zh-CN"/>
                    </w:rPr>
                    <w:t>0</w:t>
                  </w:r>
                </w:p>
              </w:tc>
              <w:tc>
                <w:tcPr>
                  <w:tcW w:w="821" w:type="dxa"/>
                  <w:noWrap w:val="0"/>
                  <w:vAlign w:val="center"/>
                </w:tcPr>
                <w:p>
                  <w:pPr>
                    <w:jc w:val="center"/>
                    <w:rPr>
                      <w:rFonts w:hint="eastAsia" w:cs="宋体"/>
                      <w:color w:val="000000"/>
                      <w:kern w:val="0"/>
                      <w:sz w:val="18"/>
                      <w:szCs w:val="18"/>
                      <w:lang w:val="en-US" w:eastAsia="zh-CN"/>
                    </w:rPr>
                  </w:pPr>
                  <w:r>
                    <w:rPr>
                      <w:rFonts w:hint="eastAsia" w:cs="宋体"/>
                      <w:color w:val="000000"/>
                      <w:kern w:val="0"/>
                      <w:sz w:val="18"/>
                      <w:szCs w:val="18"/>
                      <w:lang w:val="en-US" w:eastAsia="zh-CN"/>
                    </w:rPr>
                    <w:t>0</w:t>
                  </w:r>
                </w:p>
              </w:tc>
              <w:tc>
                <w:tcPr>
                  <w:tcW w:w="867" w:type="dxa"/>
                  <w:noWrap w:val="0"/>
                  <w:vAlign w:val="center"/>
                </w:tcPr>
                <w:p>
                  <w:pPr>
                    <w:jc w:val="center"/>
                    <w:rPr>
                      <w:rFonts w:hint="eastAsia" w:cs="宋体"/>
                      <w:color w:val="000000"/>
                      <w:kern w:val="0"/>
                      <w:sz w:val="18"/>
                      <w:szCs w:val="18"/>
                      <w:lang w:val="en-US" w:eastAsia="zh-CN"/>
                    </w:rPr>
                  </w:pPr>
                  <w:r>
                    <w:rPr>
                      <w:rFonts w:hint="eastAsia" w:cs="宋体"/>
                      <w:color w:val="000000"/>
                      <w:kern w:val="0"/>
                      <w:sz w:val="18"/>
                      <w:szCs w:val="18"/>
                      <w:lang w:val="en-US" w:eastAsia="zh-CN"/>
                    </w:rPr>
                    <w:t>0</w:t>
                  </w:r>
                </w:p>
              </w:tc>
              <w:tc>
                <w:tcPr>
                  <w:tcW w:w="884" w:type="dxa"/>
                  <w:noWrap w:val="0"/>
                  <w:vAlign w:val="center"/>
                </w:tcPr>
                <w:p>
                  <w:pPr>
                    <w:jc w:val="center"/>
                    <w:rPr>
                      <w:rFonts w:hint="eastAsia" w:cs="宋体"/>
                      <w:color w:val="000000"/>
                      <w:kern w:val="0"/>
                      <w:sz w:val="18"/>
                      <w:szCs w:val="18"/>
                      <w:lang w:val="en-US" w:eastAsia="zh-CN"/>
                    </w:rPr>
                  </w:pPr>
                  <w:r>
                    <w:rPr>
                      <w:rFonts w:hint="eastAsia" w:cs="宋体"/>
                      <w:color w:val="000000"/>
                      <w:kern w:val="0"/>
                      <w:sz w:val="18"/>
                      <w:szCs w:val="18"/>
                      <w:lang w:val="en-US" w:eastAsia="zh-CN"/>
                    </w:rPr>
                    <w:t>0</w:t>
                  </w:r>
                </w:p>
              </w:tc>
              <w:tc>
                <w:tcPr>
                  <w:tcW w:w="1200" w:type="dxa"/>
                  <w:noWrap w:val="0"/>
                  <w:vAlign w:val="center"/>
                </w:tcPr>
                <w:p>
                  <w:pPr>
                    <w:jc w:val="center"/>
                    <w:rPr>
                      <w:sz w:val="18"/>
                      <w:szCs w:val="18"/>
                    </w:rPr>
                  </w:pPr>
                  <w:r>
                    <w:rPr>
                      <w:sz w:val="18"/>
                      <w:szCs w:val="18"/>
                    </w:rPr>
                    <w:t>是</w:t>
                  </w:r>
                  <w:r>
                    <w:rPr>
                      <w:rFonts w:hint="eastAsia"/>
                      <w:sz w:val="18"/>
                      <w:szCs w:val="18"/>
                    </w:rPr>
                    <w:t xml:space="preserve">■ </w:t>
                  </w:r>
                  <w:r>
                    <w:rPr>
                      <w:sz w:val="18"/>
                      <w:szCs w:val="18"/>
                    </w:rPr>
                    <w:t>否</w:t>
                  </w:r>
                  <w:r>
                    <w:rPr>
                      <w:rFonts w:hint="eastAsia"/>
                      <w:sz w:val="18"/>
                      <w:szCs w:val="18"/>
                    </w:rPr>
                    <w:t>□</w:t>
                  </w:r>
                </w:p>
              </w:tc>
            </w:tr>
          </w:tbl>
          <w:p>
            <w:pPr>
              <w:spacing w:line="360" w:lineRule="auto"/>
              <w:rPr>
                <w:rFonts w:hint="eastAsia" w:ascii="楷体" w:hAnsi="楷体" w:eastAsia="楷体"/>
                <w:sz w:val="24"/>
                <w:szCs w:val="24"/>
                <w:lang w:eastAsia="zh-CN"/>
              </w:rPr>
            </w:pPr>
          </w:p>
        </w:tc>
        <w:tc>
          <w:tcPr>
            <w:tcW w:w="1585" w:type="dxa"/>
          </w:tcPr>
          <w:p>
            <w:pPr>
              <w:spacing w:line="360" w:lineRule="auto"/>
              <w:rPr>
                <w:rFonts w:ascii="楷体" w:hAnsi="楷体" w:eastAsia="楷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资源</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 xml:space="preserve"> EO</w:t>
            </w:r>
            <w:r>
              <w:rPr>
                <w:rFonts w:hint="eastAsia" w:ascii="楷体" w:hAnsi="楷体" w:eastAsia="楷体"/>
                <w:sz w:val="24"/>
                <w:szCs w:val="24"/>
              </w:rPr>
              <w:t>：</w:t>
            </w:r>
            <w:r>
              <w:rPr>
                <w:rFonts w:ascii="楷体" w:hAnsi="楷体" w:eastAsia="楷体"/>
                <w:sz w:val="24"/>
                <w:szCs w:val="24"/>
              </w:rPr>
              <w:t>7.1</w:t>
            </w:r>
          </w:p>
        </w:tc>
        <w:tc>
          <w:tcPr>
            <w:tcW w:w="10004" w:type="dxa"/>
            <w:vAlign w:val="center"/>
          </w:tcPr>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总经理主持了今年的管理评审，对方针、目标的适宜性进行了评审，协助管代进行了内审，确保所需资源得到满足。</w:t>
            </w:r>
          </w:p>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为确保公司环保、安全资金得得以保障，公司每年制定专门预算，及时提供有关资金，确保本公司各项资金及时到位，保证环保、安全活动得到实施，达到预防污染、安全第一的活动目的。经了解组织环保、安全主要投入到环保设施、</w:t>
            </w:r>
            <w:r>
              <w:rPr>
                <w:rFonts w:hint="eastAsia" w:ascii="楷体" w:hAnsi="楷体" w:eastAsia="楷体"/>
                <w:sz w:val="24"/>
                <w:szCs w:val="24"/>
                <w:lang w:val="en-US" w:eastAsia="zh-CN"/>
              </w:rPr>
              <w:t>危</w:t>
            </w:r>
            <w:r>
              <w:rPr>
                <w:rFonts w:hint="eastAsia" w:ascii="楷体" w:hAnsi="楷体" w:eastAsia="楷体"/>
                <w:sz w:val="24"/>
                <w:szCs w:val="24"/>
              </w:rPr>
              <w:t>废处置、劳保、体检、消防、（高温补助、取暖费）福利费用等投入方面，至今支出约</w:t>
            </w:r>
            <w:r>
              <w:rPr>
                <w:rFonts w:hint="eastAsia" w:ascii="楷体" w:hAnsi="楷体" w:eastAsia="楷体"/>
                <w:color w:val="auto"/>
                <w:sz w:val="24"/>
                <w:szCs w:val="24"/>
                <w:lang w:val="en-US" w:eastAsia="zh-CN"/>
              </w:rPr>
              <w:t>3.9</w:t>
            </w:r>
            <w:r>
              <w:rPr>
                <w:rFonts w:hint="eastAsia" w:ascii="楷体" w:hAnsi="楷体" w:eastAsia="楷体"/>
                <w:sz w:val="24"/>
                <w:szCs w:val="24"/>
              </w:rPr>
              <w:t>万元。</w:t>
            </w:r>
          </w:p>
          <w:p>
            <w:pPr>
              <w:autoSpaceDE w:val="0"/>
              <w:autoSpaceDN w:val="0"/>
              <w:adjustRightInd w:val="0"/>
              <w:spacing w:line="360" w:lineRule="auto"/>
              <w:ind w:firstLine="480" w:firstLineChars="200"/>
              <w:rPr>
                <w:rFonts w:ascii="楷体" w:hAnsi="楷体" w:eastAsia="楷体"/>
                <w:sz w:val="24"/>
                <w:szCs w:val="24"/>
              </w:rPr>
            </w:pPr>
            <w:r>
              <w:rPr>
                <w:rFonts w:hint="eastAsia" w:ascii="楷体" w:hAnsi="楷体" w:eastAsia="楷体"/>
                <w:sz w:val="24"/>
                <w:szCs w:val="24"/>
              </w:rPr>
              <w:t>通过现场观察及与领导沟通了解到，公司为确保管理体系的有效运行和持续改进，确保满足顾客要求，增强顾客满意，确定并提供了必要的资源，目前办公</w:t>
            </w:r>
            <w:r>
              <w:rPr>
                <w:rFonts w:hint="eastAsia" w:ascii="楷体" w:hAnsi="楷体" w:eastAsia="楷体"/>
                <w:sz w:val="24"/>
                <w:szCs w:val="24"/>
                <w:lang w:val="en-US" w:eastAsia="zh-CN"/>
              </w:rPr>
              <w:t>室</w:t>
            </w:r>
            <w:r>
              <w:rPr>
                <w:rFonts w:hint="eastAsia" w:ascii="楷体" w:hAnsi="楷体" w:eastAsia="楷体"/>
                <w:sz w:val="24"/>
                <w:szCs w:val="24"/>
              </w:rPr>
              <w:t>资源配备基本能满足要求，机构设置合理。经过管理体系运行证明，现有资源可满足体系和产品的要求。</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公司目前的基础设施，能够满足当前</w:t>
            </w:r>
            <w:r>
              <w:rPr>
                <w:rFonts w:hint="eastAsia" w:ascii="楷体" w:hAnsi="楷体" w:eastAsia="楷体"/>
                <w:sz w:val="24"/>
                <w:szCs w:val="24"/>
                <w:lang w:val="en-US" w:eastAsia="zh-CN"/>
              </w:rPr>
              <w:t>管理</w:t>
            </w:r>
            <w:r>
              <w:rPr>
                <w:rFonts w:hint="eastAsia" w:ascii="楷体" w:hAnsi="楷体" w:eastAsia="楷体"/>
                <w:sz w:val="24"/>
                <w:szCs w:val="24"/>
              </w:rPr>
              <w:t>体系的要求。公司将依据经营发展的需要，会不断补充与增加。</w:t>
            </w:r>
          </w:p>
        </w:tc>
        <w:tc>
          <w:tcPr>
            <w:tcW w:w="1585" w:type="dxa"/>
          </w:tcPr>
          <w:p>
            <w:pPr>
              <w:spacing w:line="360" w:lineRule="auto"/>
              <w:rPr>
                <w:rFonts w:ascii="楷体" w:hAnsi="楷体" w:eastAsia="楷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信息交流、沟通、</w:t>
            </w:r>
          </w:p>
          <w:p>
            <w:pPr>
              <w:spacing w:line="360" w:lineRule="auto"/>
              <w:rPr>
                <w:rFonts w:ascii="楷体" w:hAnsi="楷体" w:eastAsia="楷体"/>
                <w:sz w:val="24"/>
                <w:szCs w:val="24"/>
              </w:rPr>
            </w:pPr>
            <w:r>
              <w:rPr>
                <w:rFonts w:hint="eastAsia" w:ascii="楷体" w:hAnsi="楷体" w:eastAsia="楷体"/>
                <w:sz w:val="24"/>
                <w:szCs w:val="24"/>
              </w:rPr>
              <w:t>协商与参与、安全事务代表</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 xml:space="preserve">7.4  </w:t>
            </w:r>
          </w:p>
          <w:p>
            <w:pPr>
              <w:spacing w:line="360" w:lineRule="auto"/>
              <w:rPr>
                <w:rFonts w:ascii="楷体" w:hAnsi="楷体" w:eastAsia="楷体"/>
                <w:sz w:val="24"/>
                <w:szCs w:val="24"/>
              </w:rPr>
            </w:pPr>
            <w:r>
              <w:rPr>
                <w:rFonts w:ascii="楷体" w:hAnsi="楷体" w:eastAsia="楷体"/>
                <w:sz w:val="24"/>
                <w:szCs w:val="24"/>
              </w:rPr>
              <w:t>0</w:t>
            </w:r>
            <w:r>
              <w:rPr>
                <w:rFonts w:hint="eastAsia" w:ascii="楷体" w:hAnsi="楷体" w:eastAsia="楷体"/>
                <w:sz w:val="24"/>
                <w:szCs w:val="24"/>
              </w:rPr>
              <w:t>：</w:t>
            </w:r>
            <w:r>
              <w:rPr>
                <w:rFonts w:ascii="楷体" w:hAnsi="楷体" w:eastAsia="楷体"/>
                <w:sz w:val="24"/>
                <w:szCs w:val="24"/>
              </w:rPr>
              <w:t xml:space="preserve">5.4 </w:t>
            </w:r>
          </w:p>
        </w:tc>
        <w:tc>
          <w:tcPr>
            <w:tcW w:w="10004" w:type="dxa"/>
            <w:vAlign w:val="center"/>
          </w:tcPr>
          <w:p>
            <w:pPr>
              <w:spacing w:line="360" w:lineRule="auto"/>
              <w:ind w:firstLine="468"/>
              <w:rPr>
                <w:rFonts w:ascii="楷体" w:hAnsi="楷体" w:eastAsia="楷体"/>
                <w:sz w:val="24"/>
                <w:szCs w:val="24"/>
              </w:rPr>
            </w:pPr>
            <w:r>
              <w:rPr>
                <w:rFonts w:hint="eastAsia" w:ascii="楷体" w:hAnsi="楷体" w:eastAsia="楷体"/>
                <w:sz w:val="24"/>
                <w:szCs w:val="24"/>
              </w:rPr>
              <w:t>组织在各部门之间建立了与体系有关的信息通渠沟道，借助于会议、电话、口头交流等方式使全体员工达到沟通和理解。目前各部门协调一致，工作上的借口基本理顺。</w:t>
            </w:r>
          </w:p>
          <w:p>
            <w:pPr>
              <w:tabs>
                <w:tab w:val="left" w:pos="9720"/>
                <w:tab w:val="left" w:pos="9900"/>
              </w:tabs>
              <w:spacing w:before="62" w:beforeLines="20" w:after="62" w:afterLines="20" w:line="360" w:lineRule="auto"/>
              <w:ind w:firstLine="480" w:firstLineChars="200"/>
              <w:rPr>
                <w:rFonts w:ascii="楷体" w:hAnsi="楷体" w:eastAsia="楷体"/>
                <w:sz w:val="24"/>
                <w:szCs w:val="24"/>
              </w:rPr>
            </w:pPr>
            <w:r>
              <w:rPr>
                <w:rFonts w:hint="eastAsia" w:ascii="楷体" w:hAnsi="楷体" w:eastAsia="楷体"/>
                <w:sz w:val="24"/>
                <w:szCs w:val="24"/>
              </w:rPr>
              <w:t>总经理</w:t>
            </w:r>
            <w:r>
              <w:rPr>
                <w:rFonts w:hint="eastAsia" w:ascii="楷体" w:hAnsi="楷体" w:eastAsia="楷体" w:cs="楷体"/>
                <w:sz w:val="24"/>
                <w:lang w:val="en-US" w:eastAsia="zh-CN"/>
              </w:rPr>
              <w:t>何清鑫</w:t>
            </w:r>
            <w:r>
              <w:rPr>
                <w:rFonts w:hint="eastAsia" w:ascii="楷体" w:hAnsi="楷体" w:eastAsia="楷体"/>
                <w:sz w:val="24"/>
                <w:szCs w:val="24"/>
                <w:lang w:val="en-US" w:eastAsia="zh-CN"/>
              </w:rPr>
              <w:t>，</w:t>
            </w:r>
            <w:r>
              <w:rPr>
                <w:rFonts w:hint="eastAsia" w:ascii="楷体" w:hAnsi="楷体" w:eastAsia="楷体"/>
                <w:sz w:val="24"/>
                <w:szCs w:val="24"/>
              </w:rPr>
              <w:t>定期主持经营办公例会，分析公司的发展、市场情况和体系运行是否有效，管理目标完成情况，满足顾客要求和法规程度，改进建议等内部管理存在问题等。</w:t>
            </w:r>
            <w:r>
              <w:rPr>
                <w:rFonts w:ascii="楷体" w:hAnsi="楷体" w:eastAsia="楷体"/>
                <w:sz w:val="24"/>
                <w:szCs w:val="24"/>
              </w:rPr>
              <w:t xml:space="preserve">  </w:t>
            </w:r>
          </w:p>
          <w:p>
            <w:pPr>
              <w:tabs>
                <w:tab w:val="left" w:pos="9720"/>
                <w:tab w:val="left" w:pos="9900"/>
              </w:tabs>
              <w:spacing w:before="62" w:beforeLines="20" w:after="62" w:afterLines="20" w:line="360" w:lineRule="auto"/>
              <w:ind w:firstLine="480" w:firstLineChars="200"/>
              <w:rPr>
                <w:rFonts w:ascii="楷体" w:hAnsi="楷体" w:eastAsia="楷体"/>
                <w:sz w:val="24"/>
                <w:szCs w:val="24"/>
              </w:rPr>
            </w:pPr>
            <w:r>
              <w:rPr>
                <w:rFonts w:hint="eastAsia" w:ascii="楷体" w:hAnsi="楷体" w:eastAsia="楷体"/>
                <w:sz w:val="24"/>
                <w:szCs w:val="24"/>
              </w:rPr>
              <w:t>总经理</w:t>
            </w:r>
            <w:r>
              <w:rPr>
                <w:rFonts w:hint="eastAsia" w:ascii="楷体" w:hAnsi="楷体" w:eastAsia="楷体" w:cs="楷体"/>
                <w:sz w:val="24"/>
                <w:lang w:val="en-US" w:eastAsia="zh-CN"/>
              </w:rPr>
              <w:t>何清鑫</w:t>
            </w:r>
            <w:r>
              <w:rPr>
                <w:rFonts w:hint="eastAsia" w:ascii="楷体" w:hAnsi="楷体" w:eastAsia="楷体"/>
                <w:sz w:val="24"/>
                <w:szCs w:val="24"/>
              </w:rPr>
              <w:t>为协商、参与提供了时间、机会、培训、资源等保障，明确了沟通、协商、参与渠道，消除了障碍和壁垒。</w:t>
            </w:r>
            <w:r>
              <w:rPr>
                <w:rFonts w:ascii="楷体" w:hAnsi="楷体" w:eastAsia="楷体"/>
                <w:sz w:val="24"/>
                <w:szCs w:val="24"/>
              </w:rPr>
              <w:t xml:space="preserve"> </w:t>
            </w:r>
          </w:p>
          <w:p>
            <w:pPr>
              <w:tabs>
                <w:tab w:val="left" w:pos="9720"/>
                <w:tab w:val="left" w:pos="9900"/>
              </w:tabs>
              <w:spacing w:before="62" w:beforeLines="20" w:after="62" w:afterLines="20" w:line="360" w:lineRule="auto"/>
              <w:ind w:firstLine="480" w:firstLineChars="200"/>
              <w:rPr>
                <w:rFonts w:ascii="楷体" w:hAnsi="楷体" w:eastAsia="楷体"/>
                <w:sz w:val="24"/>
                <w:szCs w:val="24"/>
              </w:rPr>
            </w:pPr>
            <w:r>
              <w:rPr>
                <w:rFonts w:hint="eastAsia" w:ascii="楷体" w:hAnsi="楷体" w:eastAsia="楷体"/>
                <w:sz w:val="24"/>
                <w:szCs w:val="24"/>
              </w:rPr>
              <w:t>管代</w:t>
            </w:r>
            <w:r>
              <w:rPr>
                <w:rFonts w:hint="eastAsia" w:ascii="楷体" w:hAnsi="楷体" w:eastAsia="楷体" w:cs="楷体"/>
                <w:sz w:val="24"/>
                <w:lang w:val="en-US" w:eastAsia="zh-CN"/>
              </w:rPr>
              <w:t>欧阳炜煌</w:t>
            </w:r>
            <w:r>
              <w:rPr>
                <w:rFonts w:hint="eastAsia" w:ascii="楷体" w:hAnsi="楷体" w:eastAsia="楷体"/>
                <w:sz w:val="24"/>
                <w:szCs w:val="24"/>
              </w:rPr>
              <w:t>介绍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环保、安全方面的信息主要利用会议、培训、座谈、电话、网络、收文等方式进行内外部沟通和协商。</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现场查见会议记录、通知通报、培训记录、文件签收等组织内部培训方式相关记录。</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经交流：目前与环保、劳动、消防、安监部门的信息交流主要是参加会议、接收来文、电话、邮件等，均按要求予以传达和落实，沟通情况较好。</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相关人员能够适当参与并协商办理公司经营管理及安全事务等工作。</w:t>
            </w:r>
          </w:p>
          <w:p>
            <w:pPr>
              <w:tabs>
                <w:tab w:val="left" w:pos="9720"/>
                <w:tab w:val="left" w:pos="9900"/>
              </w:tabs>
              <w:spacing w:line="360" w:lineRule="auto"/>
              <w:ind w:firstLine="420"/>
              <w:rPr>
                <w:rFonts w:ascii="楷体" w:hAnsi="楷体" w:eastAsia="楷体"/>
                <w:sz w:val="24"/>
                <w:szCs w:val="24"/>
              </w:rPr>
            </w:pPr>
            <w:r>
              <w:rPr>
                <w:rFonts w:hint="eastAsia" w:ascii="楷体" w:hAnsi="楷体" w:eastAsia="楷体"/>
                <w:sz w:val="24"/>
                <w:szCs w:val="24"/>
              </w:rPr>
              <w:t>公司经选举确定职业健康安全事务代表是</w:t>
            </w:r>
            <w:r>
              <w:rPr>
                <w:rFonts w:hint="eastAsia" w:ascii="楷体" w:hAnsi="楷体" w:eastAsia="楷体" w:cs="楷体"/>
                <w:sz w:val="24"/>
                <w:lang w:val="en-US" w:eastAsia="zh-CN"/>
              </w:rPr>
              <w:t>吕吉顺</w:t>
            </w:r>
            <w:r>
              <w:rPr>
                <w:rFonts w:hint="eastAsia" w:ascii="楷体" w:hAnsi="楷体" w:eastAsia="楷体"/>
                <w:sz w:val="24"/>
                <w:szCs w:val="24"/>
              </w:rPr>
              <w:t>，</w:t>
            </w:r>
          </w:p>
          <w:p>
            <w:pPr>
              <w:spacing w:line="360" w:lineRule="auto"/>
              <w:rPr>
                <w:rFonts w:ascii="楷体" w:hAnsi="楷体" w:eastAsia="楷体"/>
                <w:sz w:val="24"/>
                <w:szCs w:val="24"/>
              </w:rPr>
            </w:pPr>
            <w:r>
              <w:rPr>
                <w:rFonts w:ascii="楷体" w:hAnsi="楷体" w:eastAsia="楷体"/>
                <w:sz w:val="24"/>
                <w:szCs w:val="24"/>
              </w:rPr>
              <w:t>a</w:t>
            </w:r>
            <w:r>
              <w:rPr>
                <w:rFonts w:hint="eastAsia" w:ascii="楷体" w:hAnsi="楷体" w:eastAsia="楷体"/>
                <w:sz w:val="24"/>
                <w:szCs w:val="24"/>
              </w:rPr>
              <w:t>）负责职工代表大会的日常工作，检查、督促职工代表大会决议的执行；</w:t>
            </w:r>
            <w:r>
              <w:rPr>
                <w:rFonts w:ascii="楷体" w:hAnsi="楷体" w:eastAsia="楷体"/>
                <w:sz w:val="24"/>
                <w:szCs w:val="24"/>
              </w:rPr>
              <w:br w:type="textWrapping"/>
            </w:r>
            <w:r>
              <w:rPr>
                <w:rFonts w:ascii="楷体" w:hAnsi="楷体" w:eastAsia="楷体"/>
                <w:sz w:val="24"/>
                <w:szCs w:val="24"/>
              </w:rPr>
              <w:t>b</w:t>
            </w:r>
            <w:r>
              <w:rPr>
                <w:rFonts w:hint="eastAsia" w:ascii="楷体" w:hAnsi="楷体" w:eastAsia="楷体"/>
                <w:sz w:val="24"/>
                <w:szCs w:val="24"/>
              </w:rPr>
              <w:t>）负责召开讨论有关工资、福利、劳动安全卫生、社会保险等涉及职工切身利益的会议，代表员工反映员工的建议和意见；</w:t>
            </w:r>
          </w:p>
          <w:p>
            <w:pPr>
              <w:spacing w:line="360" w:lineRule="auto"/>
              <w:rPr>
                <w:rFonts w:ascii="楷体" w:hAnsi="楷体" w:eastAsia="楷体"/>
                <w:sz w:val="24"/>
                <w:szCs w:val="24"/>
              </w:rPr>
            </w:pPr>
            <w:r>
              <w:rPr>
                <w:rFonts w:ascii="楷体" w:hAnsi="楷体" w:eastAsia="楷体"/>
                <w:sz w:val="24"/>
                <w:szCs w:val="24"/>
              </w:rPr>
              <w:t>c</w:t>
            </w:r>
            <w:r>
              <w:rPr>
                <w:rFonts w:hint="eastAsia" w:ascii="楷体" w:hAnsi="楷体" w:eastAsia="楷体"/>
                <w:sz w:val="24"/>
                <w:szCs w:val="24"/>
              </w:rPr>
              <w:t>）接收、处理外部职业健康安全信息；</w:t>
            </w:r>
          </w:p>
          <w:p>
            <w:pPr>
              <w:spacing w:line="360" w:lineRule="auto"/>
              <w:rPr>
                <w:rFonts w:ascii="楷体" w:hAnsi="楷体" w:eastAsia="楷体"/>
                <w:sz w:val="24"/>
                <w:szCs w:val="24"/>
              </w:rPr>
            </w:pPr>
            <w:r>
              <w:rPr>
                <w:rFonts w:ascii="楷体" w:hAnsi="楷体" w:eastAsia="楷体"/>
                <w:sz w:val="24"/>
                <w:szCs w:val="24"/>
              </w:rPr>
              <w:t>d</w:t>
            </w:r>
            <w:r>
              <w:rPr>
                <w:rFonts w:hint="eastAsia" w:ascii="楷体" w:hAnsi="楷体" w:eastAsia="楷体"/>
                <w:sz w:val="24"/>
                <w:szCs w:val="24"/>
              </w:rPr>
              <w:t>）交流各级职能部门间产生的职业健康安全信息；</w:t>
            </w:r>
          </w:p>
          <w:p>
            <w:pPr>
              <w:spacing w:line="360" w:lineRule="auto"/>
              <w:rPr>
                <w:rFonts w:ascii="楷体" w:hAnsi="楷体" w:eastAsia="楷体"/>
                <w:sz w:val="24"/>
                <w:szCs w:val="24"/>
              </w:rPr>
            </w:pPr>
            <w:r>
              <w:rPr>
                <w:rFonts w:ascii="楷体" w:hAnsi="楷体" w:eastAsia="楷体"/>
                <w:sz w:val="24"/>
                <w:szCs w:val="24"/>
              </w:rPr>
              <w:t>e</w:t>
            </w:r>
            <w:r>
              <w:rPr>
                <w:rFonts w:hint="eastAsia" w:ascii="楷体" w:hAnsi="楷体" w:eastAsia="楷体"/>
                <w:sz w:val="24"/>
                <w:szCs w:val="24"/>
              </w:rPr>
              <w:t>）收集、处理和反馈员工所关心的职业健康安全问题；</w:t>
            </w:r>
          </w:p>
          <w:p>
            <w:pPr>
              <w:spacing w:line="360" w:lineRule="auto"/>
              <w:rPr>
                <w:rFonts w:ascii="楷体" w:hAnsi="楷体" w:eastAsia="楷体"/>
                <w:sz w:val="24"/>
                <w:szCs w:val="24"/>
              </w:rPr>
            </w:pPr>
            <w:r>
              <w:rPr>
                <w:rFonts w:ascii="楷体" w:hAnsi="楷体" w:eastAsia="楷体"/>
                <w:sz w:val="24"/>
                <w:szCs w:val="24"/>
              </w:rPr>
              <w:t>f</w:t>
            </w:r>
            <w:r>
              <w:rPr>
                <w:rFonts w:hint="eastAsia" w:ascii="楷体" w:hAnsi="楷体" w:eastAsia="楷体"/>
                <w:sz w:val="24"/>
                <w:szCs w:val="24"/>
              </w:rPr>
              <w:t>）参与职业健康安全工作方针和程序的制定、评审和实施；</w:t>
            </w:r>
          </w:p>
          <w:p>
            <w:pPr>
              <w:spacing w:line="360" w:lineRule="auto"/>
              <w:rPr>
                <w:rFonts w:ascii="楷体" w:hAnsi="楷体" w:eastAsia="楷体"/>
                <w:sz w:val="24"/>
                <w:szCs w:val="24"/>
              </w:rPr>
            </w:pPr>
            <w:r>
              <w:rPr>
                <w:rFonts w:ascii="楷体" w:hAnsi="楷体" w:eastAsia="楷体"/>
                <w:sz w:val="24"/>
                <w:szCs w:val="24"/>
              </w:rPr>
              <w:t>g</w:t>
            </w:r>
            <w:r>
              <w:rPr>
                <w:rFonts w:hint="eastAsia" w:ascii="楷体" w:hAnsi="楷体" w:eastAsia="楷体"/>
                <w:sz w:val="24"/>
                <w:szCs w:val="24"/>
              </w:rPr>
              <w:t>）参与影响作业场所人员职业健康安全的任何变化的讨论。</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由于公司福利待遇正常发放，员工无抱怨，目前信息交流机制畅通。</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现有的沟通渠道和方法能满足要求。审核中未发现因沟通不利不及时而造成（影响）某项工作不能正常运行的情况。</w:t>
            </w:r>
          </w:p>
        </w:tc>
        <w:tc>
          <w:tcPr>
            <w:tcW w:w="1585" w:type="dxa"/>
          </w:tcPr>
          <w:p>
            <w:pPr>
              <w:spacing w:line="360" w:lineRule="auto"/>
              <w:rPr>
                <w:rFonts w:ascii="楷体" w:hAnsi="楷体" w:eastAsia="楷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管理评审</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 xml:space="preserve">9.3  </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查看《管理评审程序》，基本符合要求。</w:t>
            </w:r>
            <w:r>
              <w:rPr>
                <w:rFonts w:ascii="楷体" w:hAnsi="楷体" w:eastAsia="楷体"/>
                <w:sz w:val="24"/>
                <w:szCs w:val="24"/>
              </w:rPr>
              <w:t>2019.</w:t>
            </w:r>
            <w:r>
              <w:rPr>
                <w:rFonts w:hint="eastAsia" w:ascii="楷体" w:hAnsi="楷体" w:eastAsia="楷体"/>
                <w:sz w:val="24"/>
                <w:szCs w:val="24"/>
                <w:lang w:val="en-US" w:eastAsia="zh-CN"/>
              </w:rPr>
              <w:t>12</w:t>
            </w:r>
            <w:r>
              <w:rPr>
                <w:rFonts w:ascii="楷体" w:hAnsi="楷体" w:eastAsia="楷体"/>
                <w:sz w:val="24"/>
                <w:szCs w:val="24"/>
              </w:rPr>
              <w:t>.2</w:t>
            </w:r>
            <w:r>
              <w:rPr>
                <w:rFonts w:hint="eastAsia" w:ascii="楷体" w:hAnsi="楷体" w:eastAsia="楷体"/>
                <w:sz w:val="24"/>
                <w:szCs w:val="24"/>
                <w:lang w:val="en-US" w:eastAsia="zh-CN"/>
              </w:rPr>
              <w:t>0</w:t>
            </w:r>
            <w:r>
              <w:rPr>
                <w:rFonts w:hint="eastAsia" w:ascii="楷体" w:hAnsi="楷体" w:eastAsia="楷体"/>
                <w:sz w:val="24"/>
                <w:szCs w:val="24"/>
              </w:rPr>
              <w:t>日进行了管理评审。</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查看</w:t>
            </w:r>
            <w:r>
              <w:rPr>
                <w:rFonts w:ascii="楷体" w:hAnsi="楷体" w:eastAsia="楷体"/>
                <w:sz w:val="24"/>
                <w:szCs w:val="24"/>
              </w:rPr>
              <w:t xml:space="preserve"> </w:t>
            </w:r>
            <w:r>
              <w:rPr>
                <w:rFonts w:hint="eastAsia" w:ascii="楷体" w:hAnsi="楷体" w:eastAsia="楷体"/>
                <w:sz w:val="24"/>
                <w:szCs w:val="24"/>
              </w:rPr>
              <w:t>“管理评审计划”，由</w:t>
            </w:r>
            <w:r>
              <w:rPr>
                <w:rFonts w:hint="eastAsia" w:ascii="楷体" w:hAnsi="楷体" w:eastAsia="楷体" w:cs="楷体"/>
                <w:sz w:val="24"/>
                <w:lang w:val="en-US" w:eastAsia="zh-CN"/>
              </w:rPr>
              <w:t>何清鑫</w:t>
            </w:r>
            <w:r>
              <w:rPr>
                <w:rFonts w:hint="eastAsia" w:ascii="楷体" w:hAnsi="楷体" w:eastAsia="楷体"/>
                <w:sz w:val="24"/>
                <w:szCs w:val="24"/>
              </w:rPr>
              <w:t>签发；内容包括；评审目的、评审时间、参加部门人员、评审输入内容等。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管理评审输入</w:t>
            </w:r>
            <w:r>
              <w:rPr>
                <w:rFonts w:ascii="楷体" w:hAnsi="楷体" w:eastAsia="楷体"/>
                <w:sz w:val="24"/>
                <w:szCs w:val="24"/>
              </w:rPr>
              <w:t>:</w:t>
            </w:r>
            <w:r>
              <w:rPr>
                <w:rFonts w:hint="eastAsia" w:ascii="楷体" w:hAnsi="楷体" w:eastAsia="楷体"/>
                <w:sz w:val="24"/>
                <w:szCs w:val="24"/>
              </w:rPr>
              <w:t>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管理评审输出：</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查看了总经理批准的“管理评审报告”，对公司体系文件的符合性，国家、地方及行业相关法规、标准的执行情况，风险和机遇的应对情况，内审实施情况、相关方投诉情况、管理目标完成情况、管理体系的适宜性、有效性、充分性做出了评价。评审结论：公司的管理体系是适宜的、充分的和有效的，达到了顾客满意和持续改进的目的。</w:t>
            </w:r>
          </w:p>
          <w:p>
            <w:pPr>
              <w:pStyle w:val="4"/>
              <w:spacing w:line="480" w:lineRule="exact"/>
              <w:ind w:firstLine="48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rPr>
              <w:t>提出了</w:t>
            </w:r>
            <w:r>
              <w:rPr>
                <w:rFonts w:hint="eastAsia" w:ascii="楷体" w:hAnsi="楷体" w:eastAsia="楷体" w:cs="楷体"/>
                <w:color w:val="auto"/>
                <w:sz w:val="24"/>
                <w:szCs w:val="24"/>
                <w:lang w:val="en-US" w:eastAsia="zh-CN"/>
              </w:rPr>
              <w:t>2</w:t>
            </w:r>
            <w:r>
              <w:rPr>
                <w:rFonts w:hint="eastAsia" w:ascii="楷体" w:hAnsi="楷体" w:eastAsia="楷体" w:cs="楷体"/>
                <w:color w:val="auto"/>
                <w:sz w:val="24"/>
                <w:szCs w:val="24"/>
              </w:rPr>
              <w:t xml:space="preserve">项改进措施: </w:t>
            </w:r>
            <w:r>
              <w:rPr>
                <w:rFonts w:hint="eastAsia" w:ascii="楷体" w:hAnsi="楷体" w:eastAsia="楷体" w:cs="楷体"/>
                <w:color w:val="auto"/>
                <w:sz w:val="24"/>
                <w:szCs w:val="24"/>
                <w:lang w:val="en-US" w:eastAsia="zh-CN"/>
              </w:rPr>
              <w:t>1、对员工的环境安全意识进行教育和培训，使其在工作中能够做到自觉执行工作规范、爱护现场环境、重视安全防护。</w:t>
            </w:r>
          </w:p>
          <w:p>
            <w:pPr>
              <w:pStyle w:val="4"/>
              <w:spacing w:line="480" w:lineRule="exact"/>
              <w:ind w:firstLine="48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2、加大对环境/职业健康安全方面资金投入。</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管理评审的策划及实施符合要求。</w:t>
            </w:r>
          </w:p>
          <w:p>
            <w:pPr>
              <w:spacing w:line="360" w:lineRule="auto"/>
              <w:rPr>
                <w:rFonts w:ascii="楷体" w:hAnsi="楷体" w:eastAsia="楷体"/>
                <w:sz w:val="24"/>
                <w:szCs w:val="24"/>
              </w:rPr>
            </w:pPr>
            <w:r>
              <w:rPr>
                <w:rFonts w:hint="eastAsia" w:ascii="楷体" w:hAnsi="楷体" w:eastAsia="楷体"/>
                <w:sz w:val="24"/>
                <w:szCs w:val="24"/>
                <w:lang w:eastAsia="zh-CN"/>
              </w:rPr>
              <w:pict>
                <v:shape id="_x0000_i1025" o:spt="75" alt="8e10f9d469cfeada1840c848712c6f1" type="#_x0000_t75" style="height:691pt;width:488.5pt;" filled="f" o:preferrelative="t" stroked="f" coordsize="21600,21600">
                  <v:path/>
                  <v:fill on="f" focussize="0,0"/>
                  <v:stroke on="f"/>
                  <v:imagedata r:id="rId6" o:title="8e10f9d469cfeada1840c848712c6f1"/>
                  <o:lock v:ext="edit" aspectratio="t"/>
                  <w10:wrap type="none"/>
                  <w10:anchorlock/>
                </v:shape>
              </w:pict>
            </w:r>
          </w:p>
        </w:tc>
        <w:tc>
          <w:tcPr>
            <w:tcW w:w="1585" w:type="dxa"/>
          </w:tcPr>
          <w:p>
            <w:pPr>
              <w:spacing w:line="360" w:lineRule="auto"/>
              <w:rPr>
                <w:rFonts w:ascii="楷体" w:hAnsi="楷体" w:eastAsia="楷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改进</w:t>
            </w:r>
          </w:p>
          <w:p>
            <w:pPr>
              <w:spacing w:line="360" w:lineRule="auto"/>
              <w:rPr>
                <w:rFonts w:ascii="楷体" w:hAnsi="楷体" w:eastAsia="楷体"/>
                <w:sz w:val="24"/>
                <w:szCs w:val="24"/>
              </w:rPr>
            </w:pP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10.1</w:t>
            </w:r>
            <w:r>
              <w:rPr>
                <w:rFonts w:hint="eastAsia" w:ascii="楷体" w:hAnsi="楷体" w:eastAsia="楷体"/>
                <w:sz w:val="24"/>
                <w:szCs w:val="24"/>
              </w:rPr>
              <w:t>、</w:t>
            </w:r>
            <w:r>
              <w:rPr>
                <w:rFonts w:ascii="楷体" w:hAnsi="楷体" w:eastAsia="楷体"/>
                <w:sz w:val="24"/>
                <w:szCs w:val="24"/>
              </w:rPr>
              <w:t>10.3</w:t>
            </w:r>
          </w:p>
          <w:p>
            <w:pPr>
              <w:spacing w:line="360" w:lineRule="auto"/>
              <w:rPr>
                <w:rFonts w:ascii="楷体" w:hAnsi="楷体" w:eastAsia="楷体"/>
                <w:sz w:val="24"/>
                <w:szCs w:val="24"/>
              </w:rPr>
            </w:pPr>
          </w:p>
        </w:tc>
        <w:tc>
          <w:tcPr>
            <w:tcW w:w="10004" w:type="dxa"/>
            <w:vAlign w:val="center"/>
          </w:tcPr>
          <w:p>
            <w:pPr>
              <w:snapToGrid w:val="0"/>
              <w:spacing w:line="360" w:lineRule="auto"/>
              <w:ind w:firstLine="480" w:firstLineChars="200"/>
              <w:rPr>
                <w:rFonts w:ascii="楷体" w:hAnsi="楷体" w:eastAsia="楷体"/>
                <w:sz w:val="24"/>
                <w:szCs w:val="24"/>
              </w:rPr>
            </w:pPr>
            <w:r>
              <w:rPr>
                <w:rFonts w:hint="eastAsia" w:ascii="楷体" w:hAnsi="楷体" w:eastAsia="楷体"/>
                <w:color w:val="000000"/>
                <w:sz w:val="24"/>
                <w:szCs w:val="24"/>
              </w:rPr>
              <w:t>管理者代表根据总经理意图组织持续改进过程的策划工作，由</w:t>
            </w:r>
            <w:r>
              <w:rPr>
                <w:rFonts w:hint="eastAsia" w:ascii="楷体" w:hAnsi="楷体" w:eastAsia="楷体"/>
                <w:color w:val="000000"/>
                <w:sz w:val="24"/>
                <w:szCs w:val="24"/>
                <w:lang w:val="en-US" w:eastAsia="zh-CN"/>
              </w:rPr>
              <w:t>综合</w:t>
            </w:r>
            <w:r>
              <w:rPr>
                <w:rFonts w:hint="eastAsia" w:ascii="楷体" w:hAnsi="楷体" w:eastAsia="楷体"/>
                <w:color w:val="000000"/>
                <w:sz w:val="24"/>
                <w:szCs w:val="24"/>
              </w:rPr>
              <w:t>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保、职业健康意识、安全意识有较大的提高，持续改进了管理体系的有效性。</w:t>
            </w:r>
          </w:p>
        </w:tc>
        <w:tc>
          <w:tcPr>
            <w:tcW w:w="1585" w:type="dxa"/>
          </w:tcPr>
          <w:p>
            <w:pPr>
              <w:spacing w:line="360" w:lineRule="auto"/>
              <w:rPr>
                <w:rFonts w:ascii="楷体" w:hAnsi="楷体" w:eastAsia="楷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tcPr>
          <w:p>
            <w:pPr>
              <w:spacing w:line="360" w:lineRule="auto"/>
              <w:rPr>
                <w:rFonts w:ascii="楷体" w:hAnsi="楷体" w:eastAsia="楷体"/>
                <w:sz w:val="24"/>
                <w:szCs w:val="24"/>
              </w:rPr>
            </w:pPr>
            <w:r>
              <w:rPr>
                <w:rFonts w:hint="eastAsia" w:ascii="楷体" w:hAnsi="楷体" w:eastAsia="楷体"/>
                <w:sz w:val="24"/>
                <w:szCs w:val="24"/>
              </w:rPr>
              <w:t>国家</w:t>
            </w:r>
            <w:r>
              <w:rPr>
                <w:rFonts w:ascii="楷体" w:hAnsi="楷体" w:eastAsia="楷体"/>
                <w:sz w:val="24"/>
                <w:szCs w:val="24"/>
              </w:rPr>
              <w:t>/</w:t>
            </w:r>
            <w:r>
              <w:rPr>
                <w:rFonts w:hint="eastAsia" w:ascii="楷体" w:hAnsi="楷体" w:eastAsia="楷体"/>
                <w:sz w:val="24"/>
                <w:szCs w:val="24"/>
              </w:rPr>
              <w:t>地方抽查、顾客满意、相关方投诉处理</w:t>
            </w:r>
          </w:p>
        </w:tc>
        <w:tc>
          <w:tcPr>
            <w:tcW w:w="1311" w:type="dxa"/>
          </w:tcPr>
          <w:p>
            <w:pPr>
              <w:spacing w:line="360" w:lineRule="auto"/>
              <w:rPr>
                <w:rFonts w:ascii="楷体" w:hAnsi="楷体" w:eastAsia="楷体"/>
                <w:sz w:val="24"/>
                <w:szCs w:val="24"/>
              </w:rPr>
            </w:pPr>
          </w:p>
        </w:tc>
        <w:tc>
          <w:tcPr>
            <w:tcW w:w="10004" w:type="dxa"/>
          </w:tcPr>
          <w:p>
            <w:pPr>
              <w:spacing w:line="360" w:lineRule="auto"/>
              <w:ind w:firstLine="480" w:firstLineChars="200"/>
              <w:rPr>
                <w:rFonts w:ascii="楷体" w:hAnsi="楷体" w:eastAsia="楷体"/>
                <w:sz w:val="24"/>
                <w:szCs w:val="24"/>
              </w:rPr>
            </w:pPr>
            <w:r>
              <w:rPr>
                <w:rFonts w:hint="eastAsia" w:ascii="楷体" w:hAnsi="楷体" w:eastAsia="楷体"/>
                <w:sz w:val="24"/>
                <w:szCs w:val="24"/>
              </w:rPr>
              <w:t>自公司成立以来，未受到上级主管部门有关质量、环境问题、职业健康安全的行政处罚。未发生相关方的投诉。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暂时没有国家</w:t>
            </w:r>
            <w:r>
              <w:rPr>
                <w:rFonts w:ascii="楷体" w:hAnsi="楷体" w:eastAsia="楷体"/>
                <w:sz w:val="24"/>
                <w:szCs w:val="24"/>
              </w:rPr>
              <w:t>/</w:t>
            </w:r>
            <w:r>
              <w:rPr>
                <w:rFonts w:hint="eastAsia" w:ascii="楷体" w:hAnsi="楷体" w:eastAsia="楷体"/>
                <w:sz w:val="24"/>
                <w:szCs w:val="24"/>
              </w:rPr>
              <w:t>地方抽查情况。</w:t>
            </w:r>
          </w:p>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目前没有相关行政主管部门的检查处罚，在审核现场也未发现抽查、相关方投诉等情况。</w:t>
            </w:r>
          </w:p>
        </w:tc>
        <w:tc>
          <w:tcPr>
            <w:tcW w:w="1585" w:type="dxa"/>
          </w:tcPr>
          <w:p>
            <w:pPr>
              <w:spacing w:line="360" w:lineRule="auto"/>
              <w:rPr>
                <w:rFonts w:ascii="楷体" w:hAnsi="楷体" w:eastAsia="楷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809" w:type="dxa"/>
          </w:tcPr>
          <w:p>
            <w:pPr>
              <w:spacing w:line="360" w:lineRule="auto"/>
              <w:rPr>
                <w:rFonts w:ascii="楷体" w:hAnsi="楷体" w:eastAsia="楷体"/>
                <w:sz w:val="24"/>
                <w:szCs w:val="24"/>
              </w:rPr>
            </w:pPr>
            <w:r>
              <w:rPr>
                <w:rFonts w:hint="eastAsia" w:ascii="楷体" w:hAnsi="楷体" w:eastAsia="楷体"/>
                <w:sz w:val="24"/>
                <w:szCs w:val="24"/>
              </w:rPr>
              <w:t>验证资质</w:t>
            </w:r>
          </w:p>
        </w:tc>
        <w:tc>
          <w:tcPr>
            <w:tcW w:w="1311" w:type="dxa"/>
          </w:tcPr>
          <w:p>
            <w:pPr>
              <w:spacing w:line="360" w:lineRule="auto"/>
              <w:rPr>
                <w:rFonts w:ascii="楷体" w:hAnsi="楷体" w:eastAsia="楷体"/>
                <w:sz w:val="24"/>
                <w:szCs w:val="24"/>
              </w:rPr>
            </w:pPr>
          </w:p>
        </w:tc>
        <w:tc>
          <w:tcPr>
            <w:tcW w:w="10004" w:type="dxa"/>
          </w:tcPr>
          <w:p>
            <w:pPr>
              <w:spacing w:line="360" w:lineRule="auto"/>
              <w:ind w:firstLine="480" w:firstLineChars="200"/>
              <w:rPr>
                <w:rFonts w:ascii="楷体" w:hAnsi="楷体" w:eastAsia="楷体"/>
                <w:sz w:val="24"/>
                <w:szCs w:val="24"/>
              </w:rPr>
            </w:pPr>
            <w:r>
              <w:rPr>
                <w:rFonts w:hint="eastAsia" w:ascii="楷体" w:hAnsi="楷体" w:eastAsia="楷体"/>
                <w:sz w:val="24"/>
                <w:szCs w:val="24"/>
              </w:rPr>
              <w:t>提供了有效</w:t>
            </w:r>
            <w:r>
              <w:rPr>
                <w:rFonts w:hint="eastAsia" w:ascii="楷体" w:hAnsi="楷体" w:eastAsia="楷体"/>
                <w:sz w:val="24"/>
                <w:szCs w:val="24"/>
                <w:lang w:val="en-US" w:eastAsia="zh-CN"/>
              </w:rPr>
              <w:t>的</w:t>
            </w:r>
            <w:r>
              <w:rPr>
                <w:rFonts w:hint="eastAsia" w:ascii="楷体" w:hAnsi="楷体" w:eastAsia="楷体"/>
                <w:sz w:val="24"/>
                <w:szCs w:val="24"/>
              </w:rPr>
              <w:t>组织营业执照。</w:t>
            </w:r>
          </w:p>
        </w:tc>
        <w:tc>
          <w:tcPr>
            <w:tcW w:w="1585" w:type="dxa"/>
          </w:tcPr>
          <w:p>
            <w:pPr>
              <w:spacing w:line="360" w:lineRule="auto"/>
              <w:rPr>
                <w:rFonts w:ascii="楷体" w:hAnsi="楷体" w:eastAsia="楷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809" w:type="dxa"/>
          </w:tcPr>
          <w:p>
            <w:pPr>
              <w:spacing w:line="360" w:lineRule="auto"/>
              <w:rPr>
                <w:rFonts w:ascii="楷体" w:hAnsi="楷体" w:eastAsia="楷体"/>
                <w:sz w:val="24"/>
                <w:szCs w:val="24"/>
              </w:rPr>
            </w:pPr>
            <w:r>
              <w:rPr>
                <w:rFonts w:hint="eastAsia" w:ascii="楷体" w:hAnsi="楷体" w:eastAsia="楷体"/>
                <w:sz w:val="24"/>
                <w:szCs w:val="24"/>
                <w:lang w:val="en-US" w:eastAsia="zh-CN"/>
              </w:rPr>
              <w:t>远程审核</w:t>
            </w:r>
            <w:r>
              <w:rPr>
                <w:rFonts w:hint="eastAsia" w:ascii="楷体" w:hAnsi="楷体" w:eastAsia="楷体"/>
                <w:sz w:val="24"/>
                <w:szCs w:val="24"/>
              </w:rPr>
              <w:t>问题验证</w:t>
            </w:r>
          </w:p>
        </w:tc>
        <w:tc>
          <w:tcPr>
            <w:tcW w:w="1311" w:type="dxa"/>
          </w:tcPr>
          <w:p>
            <w:pPr>
              <w:spacing w:line="360" w:lineRule="auto"/>
              <w:rPr>
                <w:rFonts w:ascii="楷体" w:hAnsi="楷体" w:eastAsia="楷体"/>
                <w:sz w:val="24"/>
                <w:szCs w:val="24"/>
              </w:rPr>
            </w:pPr>
          </w:p>
        </w:tc>
        <w:tc>
          <w:tcPr>
            <w:tcW w:w="10004" w:type="dxa"/>
          </w:tcPr>
          <w:p>
            <w:pPr>
              <w:spacing w:line="360" w:lineRule="auto"/>
              <w:ind w:firstLine="480" w:firstLineChars="200"/>
              <w:rPr>
                <w:rFonts w:ascii="楷体" w:hAnsi="楷体" w:eastAsia="楷体"/>
                <w:sz w:val="24"/>
                <w:szCs w:val="24"/>
              </w:rPr>
            </w:pPr>
            <w:r>
              <w:rPr>
                <w:rFonts w:hint="eastAsia" w:ascii="楷体" w:hAnsi="楷体" w:eastAsia="楷体"/>
                <w:color w:val="FF0000"/>
                <w:sz w:val="24"/>
                <w:szCs w:val="24"/>
                <w:lang w:val="en-US" w:eastAsia="zh-CN"/>
              </w:rPr>
              <w:t>远程</w:t>
            </w:r>
            <w:r>
              <w:rPr>
                <w:rFonts w:hint="eastAsia" w:ascii="楷体" w:hAnsi="楷体" w:eastAsia="楷体"/>
                <w:color w:val="FF0000"/>
                <w:sz w:val="24"/>
                <w:szCs w:val="24"/>
              </w:rPr>
              <w:t>审核时发现的问题，经现场验证已关闭，整改措施有效。</w:t>
            </w:r>
          </w:p>
        </w:tc>
        <w:tc>
          <w:tcPr>
            <w:tcW w:w="1585" w:type="dxa"/>
          </w:tcPr>
          <w:p>
            <w:pPr>
              <w:spacing w:line="360" w:lineRule="auto"/>
              <w:rPr>
                <w:rFonts w:ascii="楷体" w:hAnsi="楷体" w:eastAsia="楷体"/>
                <w:sz w:val="24"/>
                <w:szCs w:val="24"/>
              </w:rPr>
            </w:pPr>
            <w:r>
              <w:rPr>
                <w:rFonts w:hint="eastAsia" w:ascii="楷体" w:hAnsi="楷体" w:eastAsia="楷体"/>
                <w:sz w:val="24"/>
                <w:szCs w:val="24"/>
                <w:lang w:val="en-US" w:eastAsia="zh-CN"/>
              </w:rPr>
              <w:t>符合</w:t>
            </w:r>
          </w:p>
        </w:tc>
      </w:tr>
    </w:tbl>
    <w:p>
      <w:pPr>
        <w:jc w:val="center"/>
        <w:rPr>
          <w:rFonts w:ascii="楷体" w:hAnsi="楷体" w:eastAsia="楷体"/>
        </w:rPr>
      </w:pPr>
      <w:r>
        <w:rPr>
          <w:rFonts w:ascii="楷体" w:hAnsi="楷体" w:eastAsia="楷体"/>
        </w:rPr>
        <w:br w:type="textWrapping" w:clear="all"/>
      </w:r>
    </w:p>
    <w:p>
      <w:pPr>
        <w:pStyle w:val="6"/>
        <w:rPr>
          <w:rFonts w:ascii="楷体" w:hAnsi="楷体" w:eastAsia="楷体"/>
        </w:rPr>
      </w:pPr>
      <w:r>
        <w:rPr>
          <w:rFonts w:hint="eastAsia" w:ascii="楷体" w:hAnsi="楷体" w:eastAsia="楷体"/>
        </w:rPr>
        <w:t>说明：不符合标注</w:t>
      </w:r>
      <w:r>
        <w:rPr>
          <w:rFonts w:ascii="楷体" w:hAnsi="楷体" w:eastAsia="楷体"/>
        </w:rPr>
        <w:t>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b/>
      </w:rPr>
      <w:fldChar w:fldCharType="begin"/>
    </w:r>
    <w:r>
      <w:rPr>
        <w:b/>
      </w:rPr>
      <w:instrText xml:space="preserve">PAGE</w:instrText>
    </w:r>
    <w:r>
      <w:rPr>
        <w:b/>
      </w:rPr>
      <w:fldChar w:fldCharType="separate"/>
    </w:r>
    <w:r>
      <w:rPr>
        <w:b/>
      </w:rPr>
      <w:t>1</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13</w:t>
    </w:r>
    <w:r>
      <w:rPr>
        <w:b/>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Pr>
    </w:pPr>
    <w:r>
      <w:pict>
        <v:shape id="图片 24" o:spid="_x0000_s4097" o:spt="75" type="#_x0000_t75" style="position:absolute;left:0pt;margin-left:-0.05pt;margin-top:0.35pt;height:34.1pt;width:32.3pt;mso-wrap-distance-left:9pt;mso-wrap-distance-right:9pt;z-index:-1024;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3"/>
        <w:rFonts w:hint="eastAsia"/>
      </w:rPr>
      <w:t>北京国标联合认证有限公司</w:t>
    </w:r>
    <w:r>
      <w:rPr>
        <w:rStyle w:val="13"/>
      </w:rPr>
      <w:tab/>
    </w:r>
    <w:r>
      <w:rPr>
        <w:rStyle w:val="13"/>
      </w:rPr>
      <w:tab/>
    </w:r>
    <w:r>
      <w:rPr>
        <w:rStyle w:val="13"/>
      </w:rPr>
      <w:tab/>
    </w:r>
  </w:p>
  <w:p>
    <w:pPr>
      <w:pStyle w:val="7"/>
      <w:pBdr>
        <w:bottom w:val="none" w:color="auto" w:sz="0" w:space="0"/>
      </w:pBdr>
      <w:spacing w:line="320" w:lineRule="exact"/>
      <w:jc w:val="left"/>
    </w:pPr>
    <w:r>
      <w:pict>
        <v:shape id="文本框 1" o:spid="_x0000_s4098" o:spt="202" type="#_x0000_t202" style="position:absolute;left:0pt;margin-left:554.75pt;margin-top:2.2pt;height:20.2pt;width:172pt;z-index:1024;mso-width-relative:page;mso-height-relative:page;" stroked="f" coordsize="21600,21600">
          <v:path arrowok="t"/>
          <v:fill focussize="0,0"/>
          <v:stroke on="f" joinstyle="miter"/>
          <v:imagedata o:title=""/>
          <o:lock v:ext="edit"/>
          <v:textbox>
            <w:txbxContent>
              <w:p>
                <w:r>
                  <w:t>ISC-B-I</w:t>
                </w:r>
                <w:r>
                  <w:rPr>
                    <w:sz w:val="18"/>
                    <w:szCs w:val="18"/>
                  </w:rPr>
                  <w:t>I-10</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Pr>
        <w:rStyle w:val="13"/>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A92D8A"/>
    <w:multiLevelType w:val="singleLevel"/>
    <w:tmpl w:val="FDA92D8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3B4"/>
    <w:rsid w:val="000001A2"/>
    <w:rsid w:val="00004817"/>
    <w:rsid w:val="000214B6"/>
    <w:rsid w:val="0002531E"/>
    <w:rsid w:val="0003373A"/>
    <w:rsid w:val="000359BA"/>
    <w:rsid w:val="000412F6"/>
    <w:rsid w:val="0005199E"/>
    <w:rsid w:val="0005697E"/>
    <w:rsid w:val="000579CF"/>
    <w:rsid w:val="00060B56"/>
    <w:rsid w:val="00075D48"/>
    <w:rsid w:val="00082216"/>
    <w:rsid w:val="00082398"/>
    <w:rsid w:val="000849D2"/>
    <w:rsid w:val="00087F9D"/>
    <w:rsid w:val="0009309C"/>
    <w:rsid w:val="000A5E44"/>
    <w:rsid w:val="000B1394"/>
    <w:rsid w:val="000B40BD"/>
    <w:rsid w:val="000B51BD"/>
    <w:rsid w:val="000C0F8E"/>
    <w:rsid w:val="000C123B"/>
    <w:rsid w:val="000D2C19"/>
    <w:rsid w:val="000D5401"/>
    <w:rsid w:val="000D697A"/>
    <w:rsid w:val="000E2B69"/>
    <w:rsid w:val="000E4738"/>
    <w:rsid w:val="000E7EF7"/>
    <w:rsid w:val="000F35F1"/>
    <w:rsid w:val="000F7D53"/>
    <w:rsid w:val="001022F1"/>
    <w:rsid w:val="001037D5"/>
    <w:rsid w:val="00115415"/>
    <w:rsid w:val="00123C03"/>
    <w:rsid w:val="00145688"/>
    <w:rsid w:val="0015654D"/>
    <w:rsid w:val="001677C1"/>
    <w:rsid w:val="00181BB0"/>
    <w:rsid w:val="001918ED"/>
    <w:rsid w:val="00192A7F"/>
    <w:rsid w:val="00194DC7"/>
    <w:rsid w:val="001A2D7F"/>
    <w:rsid w:val="001A3DF8"/>
    <w:rsid w:val="001A572D"/>
    <w:rsid w:val="001B1F4D"/>
    <w:rsid w:val="001D3314"/>
    <w:rsid w:val="001D4AD8"/>
    <w:rsid w:val="001D54FF"/>
    <w:rsid w:val="001E1974"/>
    <w:rsid w:val="00202BC2"/>
    <w:rsid w:val="00214113"/>
    <w:rsid w:val="00215081"/>
    <w:rsid w:val="00216DB7"/>
    <w:rsid w:val="00222532"/>
    <w:rsid w:val="00237445"/>
    <w:rsid w:val="00262117"/>
    <w:rsid w:val="002651A6"/>
    <w:rsid w:val="00275A8E"/>
    <w:rsid w:val="00294682"/>
    <w:rsid w:val="002973F0"/>
    <w:rsid w:val="002975C1"/>
    <w:rsid w:val="002A0E6E"/>
    <w:rsid w:val="002A33CC"/>
    <w:rsid w:val="002B1808"/>
    <w:rsid w:val="002C1ACE"/>
    <w:rsid w:val="002C3E0D"/>
    <w:rsid w:val="002D41FB"/>
    <w:rsid w:val="002E0587"/>
    <w:rsid w:val="002E1E1D"/>
    <w:rsid w:val="00317401"/>
    <w:rsid w:val="00326FC1"/>
    <w:rsid w:val="00337922"/>
    <w:rsid w:val="00337BBE"/>
    <w:rsid w:val="00340867"/>
    <w:rsid w:val="00342857"/>
    <w:rsid w:val="00347E99"/>
    <w:rsid w:val="003563A3"/>
    <w:rsid w:val="003608CB"/>
    <w:rsid w:val="003627B6"/>
    <w:rsid w:val="003708D5"/>
    <w:rsid w:val="0038061A"/>
    <w:rsid w:val="0038063B"/>
    <w:rsid w:val="00380837"/>
    <w:rsid w:val="00381318"/>
    <w:rsid w:val="00382EDD"/>
    <w:rsid w:val="003836CA"/>
    <w:rsid w:val="00386A98"/>
    <w:rsid w:val="00390345"/>
    <w:rsid w:val="003A07E3"/>
    <w:rsid w:val="003A1E9C"/>
    <w:rsid w:val="003C0FC6"/>
    <w:rsid w:val="003C58F5"/>
    <w:rsid w:val="003D6BE3"/>
    <w:rsid w:val="003E0E52"/>
    <w:rsid w:val="003F20A5"/>
    <w:rsid w:val="003F5FB6"/>
    <w:rsid w:val="003F667B"/>
    <w:rsid w:val="00400B59"/>
    <w:rsid w:val="00400B96"/>
    <w:rsid w:val="00405D5F"/>
    <w:rsid w:val="00410914"/>
    <w:rsid w:val="00415AA3"/>
    <w:rsid w:val="00420C60"/>
    <w:rsid w:val="00424936"/>
    <w:rsid w:val="00430432"/>
    <w:rsid w:val="00433759"/>
    <w:rsid w:val="0043494E"/>
    <w:rsid w:val="004414A5"/>
    <w:rsid w:val="00456697"/>
    <w:rsid w:val="004607C4"/>
    <w:rsid w:val="00463661"/>
    <w:rsid w:val="00465FE1"/>
    <w:rsid w:val="00475491"/>
    <w:rsid w:val="004869FB"/>
    <w:rsid w:val="00491735"/>
    <w:rsid w:val="00492B9E"/>
    <w:rsid w:val="00494A46"/>
    <w:rsid w:val="004978D0"/>
    <w:rsid w:val="004B217F"/>
    <w:rsid w:val="004B3E7F"/>
    <w:rsid w:val="004C07FE"/>
    <w:rsid w:val="004C6045"/>
    <w:rsid w:val="004D3E4C"/>
    <w:rsid w:val="004F185D"/>
    <w:rsid w:val="005020FF"/>
    <w:rsid w:val="005056ED"/>
    <w:rsid w:val="00517E4C"/>
    <w:rsid w:val="00521CF0"/>
    <w:rsid w:val="00525D6B"/>
    <w:rsid w:val="0053208B"/>
    <w:rsid w:val="00534814"/>
    <w:rsid w:val="00536930"/>
    <w:rsid w:val="00551AE7"/>
    <w:rsid w:val="005558E4"/>
    <w:rsid w:val="00556AF4"/>
    <w:rsid w:val="00560A2A"/>
    <w:rsid w:val="00564E53"/>
    <w:rsid w:val="005779A8"/>
    <w:rsid w:val="00583277"/>
    <w:rsid w:val="00592C3E"/>
    <w:rsid w:val="005A000F"/>
    <w:rsid w:val="005A62C7"/>
    <w:rsid w:val="005B173D"/>
    <w:rsid w:val="005B6888"/>
    <w:rsid w:val="005C570F"/>
    <w:rsid w:val="005C7367"/>
    <w:rsid w:val="005D7FAE"/>
    <w:rsid w:val="005F6C65"/>
    <w:rsid w:val="00600F02"/>
    <w:rsid w:val="0060444D"/>
    <w:rsid w:val="0062382D"/>
    <w:rsid w:val="00636710"/>
    <w:rsid w:val="00642776"/>
    <w:rsid w:val="00644FE2"/>
    <w:rsid w:val="00645FB8"/>
    <w:rsid w:val="00651986"/>
    <w:rsid w:val="00653AE3"/>
    <w:rsid w:val="006545E8"/>
    <w:rsid w:val="00664736"/>
    <w:rsid w:val="00665980"/>
    <w:rsid w:val="0067640C"/>
    <w:rsid w:val="006836D9"/>
    <w:rsid w:val="006910D6"/>
    <w:rsid w:val="00695256"/>
    <w:rsid w:val="00695570"/>
    <w:rsid w:val="00696AF1"/>
    <w:rsid w:val="006A3B31"/>
    <w:rsid w:val="006A68F3"/>
    <w:rsid w:val="006B4127"/>
    <w:rsid w:val="006C1141"/>
    <w:rsid w:val="006C24BF"/>
    <w:rsid w:val="006C40B9"/>
    <w:rsid w:val="006D790F"/>
    <w:rsid w:val="006E678B"/>
    <w:rsid w:val="0070367F"/>
    <w:rsid w:val="00712F3C"/>
    <w:rsid w:val="007170AA"/>
    <w:rsid w:val="007177FF"/>
    <w:rsid w:val="00725123"/>
    <w:rsid w:val="00732B66"/>
    <w:rsid w:val="007379CA"/>
    <w:rsid w:val="00737C8F"/>
    <w:rsid w:val="007406DE"/>
    <w:rsid w:val="00742F4E"/>
    <w:rsid w:val="00743E79"/>
    <w:rsid w:val="00744BEA"/>
    <w:rsid w:val="00751532"/>
    <w:rsid w:val="00751C37"/>
    <w:rsid w:val="0075769B"/>
    <w:rsid w:val="00770EF9"/>
    <w:rsid w:val="007757F3"/>
    <w:rsid w:val="007815DC"/>
    <w:rsid w:val="007A47FB"/>
    <w:rsid w:val="007B106B"/>
    <w:rsid w:val="007B275D"/>
    <w:rsid w:val="007E6AEB"/>
    <w:rsid w:val="007F01EC"/>
    <w:rsid w:val="007F0F58"/>
    <w:rsid w:val="007F7DF2"/>
    <w:rsid w:val="008079FA"/>
    <w:rsid w:val="00810D58"/>
    <w:rsid w:val="00830113"/>
    <w:rsid w:val="00835B31"/>
    <w:rsid w:val="00853BC9"/>
    <w:rsid w:val="00854B55"/>
    <w:rsid w:val="00855B26"/>
    <w:rsid w:val="0086215B"/>
    <w:rsid w:val="008646DE"/>
    <w:rsid w:val="00864902"/>
    <w:rsid w:val="00864BE7"/>
    <w:rsid w:val="00865200"/>
    <w:rsid w:val="00871695"/>
    <w:rsid w:val="0087271A"/>
    <w:rsid w:val="00891C25"/>
    <w:rsid w:val="008931BD"/>
    <w:rsid w:val="008973EE"/>
    <w:rsid w:val="008B7537"/>
    <w:rsid w:val="008D089D"/>
    <w:rsid w:val="008E1006"/>
    <w:rsid w:val="008E24A5"/>
    <w:rsid w:val="008F0B04"/>
    <w:rsid w:val="008F0CAC"/>
    <w:rsid w:val="008F7C55"/>
    <w:rsid w:val="00930694"/>
    <w:rsid w:val="009319B4"/>
    <w:rsid w:val="0093521F"/>
    <w:rsid w:val="00945677"/>
    <w:rsid w:val="00955B84"/>
    <w:rsid w:val="00962F78"/>
    <w:rsid w:val="0096609F"/>
    <w:rsid w:val="009701C1"/>
    <w:rsid w:val="00971600"/>
    <w:rsid w:val="0098280C"/>
    <w:rsid w:val="00984342"/>
    <w:rsid w:val="009973B4"/>
    <w:rsid w:val="00997D09"/>
    <w:rsid w:val="009B6E9B"/>
    <w:rsid w:val="009B7EB8"/>
    <w:rsid w:val="009C74D1"/>
    <w:rsid w:val="009E30DA"/>
    <w:rsid w:val="009E6193"/>
    <w:rsid w:val="009E7DD1"/>
    <w:rsid w:val="009F7EED"/>
    <w:rsid w:val="00A036B5"/>
    <w:rsid w:val="00A138EC"/>
    <w:rsid w:val="00A22676"/>
    <w:rsid w:val="00A35B04"/>
    <w:rsid w:val="00A60F0B"/>
    <w:rsid w:val="00A62E27"/>
    <w:rsid w:val="00A73DCA"/>
    <w:rsid w:val="00A801DE"/>
    <w:rsid w:val="00A90A22"/>
    <w:rsid w:val="00A97734"/>
    <w:rsid w:val="00AA7F40"/>
    <w:rsid w:val="00AB41FC"/>
    <w:rsid w:val="00AB6C35"/>
    <w:rsid w:val="00AB7D2F"/>
    <w:rsid w:val="00AD6F34"/>
    <w:rsid w:val="00AF0AAB"/>
    <w:rsid w:val="00AF156F"/>
    <w:rsid w:val="00AF616B"/>
    <w:rsid w:val="00B02A7F"/>
    <w:rsid w:val="00B0685B"/>
    <w:rsid w:val="00B218ED"/>
    <w:rsid w:val="00B22D22"/>
    <w:rsid w:val="00B23030"/>
    <w:rsid w:val="00B237B9"/>
    <w:rsid w:val="00B23CAA"/>
    <w:rsid w:val="00B410EE"/>
    <w:rsid w:val="00B47338"/>
    <w:rsid w:val="00B8202D"/>
    <w:rsid w:val="00B90662"/>
    <w:rsid w:val="00B91BD2"/>
    <w:rsid w:val="00B929FD"/>
    <w:rsid w:val="00B95B99"/>
    <w:rsid w:val="00B95F69"/>
    <w:rsid w:val="00BA76FA"/>
    <w:rsid w:val="00BC2015"/>
    <w:rsid w:val="00BC71B0"/>
    <w:rsid w:val="00BD0CE3"/>
    <w:rsid w:val="00BF28CD"/>
    <w:rsid w:val="00BF597E"/>
    <w:rsid w:val="00C03098"/>
    <w:rsid w:val="00C14685"/>
    <w:rsid w:val="00C31C73"/>
    <w:rsid w:val="00C51A36"/>
    <w:rsid w:val="00C548BE"/>
    <w:rsid w:val="00C55228"/>
    <w:rsid w:val="00C67E19"/>
    <w:rsid w:val="00C67E47"/>
    <w:rsid w:val="00C71E85"/>
    <w:rsid w:val="00C86F9B"/>
    <w:rsid w:val="00C87FEE"/>
    <w:rsid w:val="00C920A9"/>
    <w:rsid w:val="00CA303E"/>
    <w:rsid w:val="00CA659B"/>
    <w:rsid w:val="00CB260B"/>
    <w:rsid w:val="00CB787D"/>
    <w:rsid w:val="00CD2FB2"/>
    <w:rsid w:val="00CE2A9E"/>
    <w:rsid w:val="00CE315A"/>
    <w:rsid w:val="00CE7BE1"/>
    <w:rsid w:val="00CF147A"/>
    <w:rsid w:val="00CF1726"/>
    <w:rsid w:val="00CF6C5C"/>
    <w:rsid w:val="00D0162A"/>
    <w:rsid w:val="00D06F59"/>
    <w:rsid w:val="00D3392D"/>
    <w:rsid w:val="00D429D7"/>
    <w:rsid w:val="00D44C1E"/>
    <w:rsid w:val="00D51880"/>
    <w:rsid w:val="00D54940"/>
    <w:rsid w:val="00D55E69"/>
    <w:rsid w:val="00D562F6"/>
    <w:rsid w:val="00D5672E"/>
    <w:rsid w:val="00D67D5E"/>
    <w:rsid w:val="00D8388C"/>
    <w:rsid w:val="00DA0DF0"/>
    <w:rsid w:val="00DA32AB"/>
    <w:rsid w:val="00DA50ED"/>
    <w:rsid w:val="00DB5DEA"/>
    <w:rsid w:val="00DD0ED1"/>
    <w:rsid w:val="00DD1C8E"/>
    <w:rsid w:val="00DD466D"/>
    <w:rsid w:val="00DE146D"/>
    <w:rsid w:val="00DE2D80"/>
    <w:rsid w:val="00DE6FCE"/>
    <w:rsid w:val="00DF76DB"/>
    <w:rsid w:val="00E038E4"/>
    <w:rsid w:val="00E03908"/>
    <w:rsid w:val="00E13D9A"/>
    <w:rsid w:val="00E22EC1"/>
    <w:rsid w:val="00E32D13"/>
    <w:rsid w:val="00E43822"/>
    <w:rsid w:val="00E54035"/>
    <w:rsid w:val="00E574D6"/>
    <w:rsid w:val="00E62552"/>
    <w:rsid w:val="00E62996"/>
    <w:rsid w:val="00E63714"/>
    <w:rsid w:val="00E64A51"/>
    <w:rsid w:val="00E676F9"/>
    <w:rsid w:val="00E81B88"/>
    <w:rsid w:val="00E910C0"/>
    <w:rsid w:val="00E97424"/>
    <w:rsid w:val="00EA1DD9"/>
    <w:rsid w:val="00EA55F7"/>
    <w:rsid w:val="00EB0164"/>
    <w:rsid w:val="00EB5DF5"/>
    <w:rsid w:val="00EB65F7"/>
    <w:rsid w:val="00EC42F5"/>
    <w:rsid w:val="00ED0F62"/>
    <w:rsid w:val="00ED2ED6"/>
    <w:rsid w:val="00ED3D25"/>
    <w:rsid w:val="00ED49F1"/>
    <w:rsid w:val="00EF36E7"/>
    <w:rsid w:val="00F05C2F"/>
    <w:rsid w:val="00F06D09"/>
    <w:rsid w:val="00F10FA0"/>
    <w:rsid w:val="00F11201"/>
    <w:rsid w:val="00F1140F"/>
    <w:rsid w:val="00F12002"/>
    <w:rsid w:val="00F14D99"/>
    <w:rsid w:val="00F30382"/>
    <w:rsid w:val="00F32CB9"/>
    <w:rsid w:val="00F33729"/>
    <w:rsid w:val="00F35CD7"/>
    <w:rsid w:val="00F4057A"/>
    <w:rsid w:val="00F4227D"/>
    <w:rsid w:val="00F606E1"/>
    <w:rsid w:val="00F6739D"/>
    <w:rsid w:val="00F80156"/>
    <w:rsid w:val="00F83639"/>
    <w:rsid w:val="00F840C3"/>
    <w:rsid w:val="00F856F5"/>
    <w:rsid w:val="00F956F5"/>
    <w:rsid w:val="00FA0833"/>
    <w:rsid w:val="00FA350D"/>
    <w:rsid w:val="00FB03C3"/>
    <w:rsid w:val="00FB5A65"/>
    <w:rsid w:val="00FD15B5"/>
    <w:rsid w:val="00FD2869"/>
    <w:rsid w:val="00FD5EE5"/>
    <w:rsid w:val="00FD72A6"/>
    <w:rsid w:val="00FE09C9"/>
    <w:rsid w:val="0B5879BF"/>
    <w:rsid w:val="108219C2"/>
    <w:rsid w:val="224912F9"/>
    <w:rsid w:val="37BD5E36"/>
    <w:rsid w:val="3D36453B"/>
    <w:rsid w:val="3F536CA6"/>
    <w:rsid w:val="5EA12B9A"/>
    <w:rsid w:val="6E5552D1"/>
    <w:rsid w:val="7D5E1DC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ind w:firstLine="420" w:firstLineChars="200"/>
    </w:pPr>
    <w:rPr>
      <w:szCs w:val="20"/>
    </w:rPr>
  </w:style>
  <w:style w:type="paragraph" w:styleId="4">
    <w:name w:val="Body Text Indent 2"/>
    <w:basedOn w:val="1"/>
    <w:uiPriority w:val="0"/>
    <w:pPr>
      <w:spacing w:line="380" w:lineRule="exact"/>
      <w:ind w:firstLine="560" w:firstLineChars="200"/>
    </w:pPr>
    <w:rPr>
      <w:color w:val="FF0000"/>
      <w:sz w:val="28"/>
      <w:szCs w:val="20"/>
    </w:rPr>
  </w:style>
  <w:style w:type="paragraph" w:styleId="5">
    <w:name w:val="Balloon Text"/>
    <w:basedOn w:val="1"/>
    <w:link w:val="10"/>
    <w:semiHidden/>
    <w:qFormat/>
    <w:uiPriority w:val="99"/>
    <w:rPr>
      <w:sz w:val="18"/>
      <w:szCs w:val="18"/>
    </w:rPr>
  </w:style>
  <w:style w:type="paragraph" w:styleId="6">
    <w:name w:val="footer"/>
    <w:basedOn w:val="1"/>
    <w:link w:val="11"/>
    <w:qFormat/>
    <w:uiPriority w:val="99"/>
    <w:pPr>
      <w:tabs>
        <w:tab w:val="center" w:pos="4153"/>
        <w:tab w:val="right" w:pos="8306"/>
      </w:tabs>
      <w:snapToGrid w:val="0"/>
      <w:jc w:val="left"/>
    </w:pPr>
    <w:rPr>
      <w:sz w:val="18"/>
      <w:szCs w:val="18"/>
    </w:rPr>
  </w:style>
  <w:style w:type="paragraph" w:styleId="7">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批注框文本 Char"/>
    <w:link w:val="5"/>
    <w:semiHidden/>
    <w:qFormat/>
    <w:locked/>
    <w:uiPriority w:val="99"/>
    <w:rPr>
      <w:rFonts w:ascii="Times New Roman" w:hAnsi="Times New Roman" w:eastAsia="宋体" w:cs="Times New Roman"/>
      <w:sz w:val="18"/>
      <w:szCs w:val="18"/>
    </w:rPr>
  </w:style>
  <w:style w:type="character" w:customStyle="1" w:styleId="11">
    <w:name w:val="页脚 Char"/>
    <w:link w:val="6"/>
    <w:qFormat/>
    <w:locked/>
    <w:uiPriority w:val="99"/>
    <w:rPr>
      <w:rFonts w:ascii="Times New Roman" w:hAnsi="Times New Roman" w:eastAsia="宋体" w:cs="Times New Roman"/>
      <w:sz w:val="18"/>
      <w:szCs w:val="18"/>
    </w:rPr>
  </w:style>
  <w:style w:type="character" w:customStyle="1" w:styleId="12">
    <w:name w:val="页眉 Char"/>
    <w:link w:val="7"/>
    <w:qFormat/>
    <w:locked/>
    <w:uiPriority w:val="99"/>
    <w:rPr>
      <w:rFonts w:ascii="Times New Roman" w:hAnsi="Times New Roman" w:eastAsia="宋体" w:cs="Times New Roman"/>
      <w:sz w:val="18"/>
      <w:szCs w:val="18"/>
    </w:rPr>
  </w:style>
  <w:style w:type="character" w:customStyle="1" w:styleId="13">
    <w:name w:val="Char Char1"/>
    <w:qFormat/>
    <w:locked/>
    <w:uiPriority w:val="99"/>
    <w:rPr>
      <w:rFonts w:ascii="宋体" w:hAnsi="Courier New" w:eastAsia="宋体"/>
      <w:kern w:val="2"/>
      <w:sz w:val="21"/>
      <w:lang w:val="en-US" w:eastAsia="zh-CN"/>
    </w:rPr>
  </w:style>
  <w:style w:type="character" w:customStyle="1" w:styleId="14">
    <w:name w:val="fontstyle01"/>
    <w:qFormat/>
    <w:uiPriority w:val="99"/>
    <w:rPr>
      <w:rFonts w:ascii="宋体" w:hAnsi="宋体" w:eastAsia="宋体" w:cs="Times New Roman"/>
      <w:color w:val="000000"/>
      <w:sz w:val="24"/>
      <w:szCs w:val="24"/>
    </w:rPr>
  </w:style>
  <w:style w:type="character" w:customStyle="1" w:styleId="15">
    <w:name w:val="fontstyle21"/>
    <w:qFormat/>
    <w:uiPriority w:val="99"/>
    <w:rPr>
      <w:rFonts w:ascii="Times New Roman" w:hAnsi="Times New Roman" w:cs="Times New Roman"/>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1061</Words>
  <Characters>6050</Characters>
  <Lines>50</Lines>
  <Paragraphs>14</Paragraphs>
  <TotalTime>13</TotalTime>
  <ScaleCrop>false</ScaleCrop>
  <LinksUpToDate>false</LinksUpToDate>
  <CharactersWithSpaces>7097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2019-05-18T04:55:00Z</dcterms:created>
  <dc:creator>微软用户</dc:creator>
  <cp:lastModifiedBy>弓长</cp:lastModifiedBy>
  <dcterms:modified xsi:type="dcterms:W3CDTF">2020-12-20T05:14:01Z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