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隶书" w:hAnsi="宋体" w:eastAsia="隶书"/>
          <w:bCs/>
          <w:color w:val="000000"/>
          <w:sz w:val="36"/>
          <w:szCs w:val="36"/>
          <w:lang w:val="en-US" w:eastAsia="zh-CN"/>
        </w:rPr>
      </w:pPr>
      <w:r>
        <w:rPr>
          <w:rFonts w:hint="eastAsia" w:ascii="隶书" w:hAnsi="宋体" w:eastAsia="隶书"/>
          <w:bCs/>
          <w:color w:val="000000"/>
          <w:sz w:val="36"/>
          <w:szCs w:val="36"/>
        </w:rPr>
        <w:t>管理体系审核记录表</w:t>
      </w: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远程审核）</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gridSpan w:val="2"/>
            <w:vAlign w:val="center"/>
          </w:tcPr>
          <w:p>
            <w:pPr>
              <w:rPr>
                <w:rFonts w:hint="eastAsia" w:eastAsia="宋体"/>
                <w:sz w:val="24"/>
                <w:szCs w:val="24"/>
                <w:lang w:eastAsia="zh-CN"/>
              </w:rPr>
            </w:pPr>
            <w:r>
              <w:rPr>
                <w:rFonts w:hint="eastAsia"/>
                <w:sz w:val="24"/>
                <w:szCs w:val="24"/>
              </w:rPr>
              <w:t>受审核部门：领导层</w:t>
            </w:r>
            <w:r>
              <w:rPr>
                <w:sz w:val="24"/>
                <w:szCs w:val="24"/>
              </w:rPr>
              <w:t xml:space="preserve">    </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徐志豪</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gridSpan w:val="2"/>
            <w:vAlign w:val="center"/>
          </w:tcPr>
          <w:p>
            <w:pPr>
              <w:spacing w:before="120"/>
              <w:rPr>
                <w:rFonts w:hint="eastAsia"/>
                <w:sz w:val="24"/>
                <w:szCs w:val="24"/>
                <w:lang w:val="en-US" w:eastAsia="zh-CN"/>
              </w:rPr>
            </w:pPr>
            <w:r>
              <w:rPr>
                <w:rFonts w:hint="eastAsia"/>
                <w:sz w:val="24"/>
                <w:szCs w:val="24"/>
              </w:rPr>
              <w:t xml:space="preserve">审核员：张磊 </w:t>
            </w:r>
            <w:r>
              <w:rPr>
                <w:rFonts w:hint="eastAsia"/>
                <w:sz w:val="24"/>
                <w:szCs w:val="24"/>
                <w:lang w:val="en-US" w:eastAsia="zh-CN"/>
              </w:rPr>
              <w:t xml:space="preserve">     </w:t>
            </w:r>
            <w:r>
              <w:rPr>
                <w:sz w:val="24"/>
                <w:szCs w:val="24"/>
              </w:rPr>
              <w:t xml:space="preserve">     </w:t>
            </w:r>
            <w:r>
              <w:rPr>
                <w:rFonts w:hint="eastAsia"/>
                <w:sz w:val="24"/>
                <w:szCs w:val="24"/>
              </w:rPr>
              <w:t>审核日期：2020-0</w:t>
            </w:r>
            <w:r>
              <w:rPr>
                <w:rFonts w:hint="eastAsia"/>
                <w:sz w:val="24"/>
                <w:szCs w:val="24"/>
                <w:lang w:val="en-US" w:eastAsia="zh-CN"/>
              </w:rPr>
              <w:t>5</w:t>
            </w:r>
            <w:r>
              <w:rPr>
                <w:rFonts w:hint="eastAsia"/>
                <w:sz w:val="24"/>
                <w:szCs w:val="24"/>
              </w:rPr>
              <w:t>-</w:t>
            </w:r>
            <w:r>
              <w:rPr>
                <w:rFonts w:hint="eastAsia"/>
                <w:sz w:val="24"/>
                <w:szCs w:val="24"/>
                <w:lang w:val="en-US" w:eastAsia="zh-CN"/>
              </w:rPr>
              <w:t>18</w:t>
            </w:r>
          </w:p>
          <w:p>
            <w:pPr>
              <w:spacing w:before="120"/>
              <w:rPr>
                <w:rFonts w:hint="default" w:eastAsia="宋体"/>
                <w:lang w:val="en-US" w:eastAsia="zh-CN"/>
              </w:rPr>
            </w:pPr>
            <w:r>
              <w:rPr>
                <w:rFonts w:hint="eastAsia"/>
                <w:b/>
                <w:color w:val="FF0000"/>
                <w:sz w:val="20"/>
                <w:lang w:val="en-US" w:eastAsia="zh-CN"/>
              </w:rPr>
              <w:t>补充</w:t>
            </w:r>
            <w:r>
              <w:rPr>
                <w:rFonts w:hint="eastAsia"/>
                <w:b/>
                <w:color w:val="FF0000"/>
                <w:sz w:val="20"/>
              </w:rPr>
              <w:t>现场审核于</w:t>
            </w:r>
            <w:bookmarkStart w:id="0" w:name="审核日期安排"/>
            <w:r>
              <w:rPr>
                <w:rFonts w:hint="eastAsia"/>
                <w:b/>
                <w:color w:val="FF0000"/>
                <w:sz w:val="20"/>
              </w:rPr>
              <w:t>2020年12月17日 下午至2020年12月17日 下午 (共0.5天)</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gridSpan w:val="2"/>
            <w:vAlign w:val="center"/>
          </w:tcPr>
          <w:p>
            <w:pPr>
              <w:tabs>
                <w:tab w:val="left" w:pos="709"/>
              </w:tabs>
              <w:ind w:right="57"/>
              <w:jc w:val="left"/>
              <w:rPr>
                <w:sz w:val="24"/>
                <w:szCs w:val="24"/>
              </w:rPr>
            </w:pPr>
            <w:r>
              <w:rPr>
                <w:rFonts w:hint="eastAsia"/>
                <w:sz w:val="24"/>
                <w:szCs w:val="24"/>
              </w:rPr>
              <w:t>审核条款：</w:t>
            </w:r>
            <w:r>
              <w:rPr>
                <w:rFonts w:hint="eastAsia"/>
                <w:szCs w:val="21"/>
              </w:rPr>
              <w:t>QMS：4.1</w:t>
            </w:r>
            <w:r>
              <w:rPr>
                <w:rFonts w:hint="eastAsia"/>
                <w:szCs w:val="21"/>
                <w:lang w:val="en-US" w:eastAsia="zh-CN"/>
              </w:rPr>
              <w:t xml:space="preserve"> / </w:t>
            </w:r>
            <w:r>
              <w:rPr>
                <w:rFonts w:hint="eastAsia"/>
                <w:szCs w:val="21"/>
              </w:rPr>
              <w:t>4.2</w:t>
            </w:r>
            <w:r>
              <w:rPr>
                <w:rFonts w:hint="eastAsia"/>
                <w:szCs w:val="21"/>
                <w:lang w:val="en-US" w:eastAsia="zh-CN"/>
              </w:rPr>
              <w:t xml:space="preserve"> /</w:t>
            </w:r>
            <w:r>
              <w:rPr>
                <w:rFonts w:hint="eastAsia"/>
                <w:szCs w:val="21"/>
              </w:rPr>
              <w:t xml:space="preserve"> 4.3</w:t>
            </w:r>
            <w:r>
              <w:rPr>
                <w:rFonts w:hint="eastAsia"/>
                <w:szCs w:val="21"/>
                <w:lang w:val="en-US" w:eastAsia="zh-CN"/>
              </w:rPr>
              <w:t xml:space="preserve"> /</w:t>
            </w:r>
            <w:r>
              <w:rPr>
                <w:rFonts w:hint="eastAsia"/>
                <w:szCs w:val="21"/>
              </w:rPr>
              <w:t xml:space="preserve"> 4.4</w:t>
            </w:r>
            <w:r>
              <w:rPr>
                <w:rFonts w:hint="eastAsia"/>
                <w:szCs w:val="21"/>
                <w:lang w:val="en-US" w:eastAsia="zh-CN"/>
              </w:rPr>
              <w:t xml:space="preserve"> /</w:t>
            </w:r>
            <w:r>
              <w:rPr>
                <w:rFonts w:hint="eastAsia"/>
                <w:szCs w:val="21"/>
              </w:rPr>
              <w:t xml:space="preserve"> </w:t>
            </w:r>
            <w:r>
              <w:rPr>
                <w:szCs w:val="21"/>
              </w:rPr>
              <w:t>5.1</w:t>
            </w:r>
            <w:r>
              <w:rPr>
                <w:rFonts w:hint="eastAsia"/>
                <w:szCs w:val="21"/>
                <w:lang w:val="en-US" w:eastAsia="zh-CN"/>
              </w:rPr>
              <w:t xml:space="preserve"> / 5.1.2 / </w:t>
            </w:r>
            <w:r>
              <w:rPr>
                <w:szCs w:val="21"/>
              </w:rPr>
              <w:t>5.2</w:t>
            </w:r>
            <w:r>
              <w:rPr>
                <w:rFonts w:hint="eastAsia"/>
                <w:szCs w:val="21"/>
                <w:lang w:val="en-US" w:eastAsia="zh-CN"/>
              </w:rPr>
              <w:t xml:space="preserve"> /</w:t>
            </w:r>
            <w:r>
              <w:rPr>
                <w:rFonts w:hint="eastAsia"/>
                <w:szCs w:val="21"/>
              </w:rPr>
              <w:t xml:space="preserve"> </w:t>
            </w:r>
            <w:r>
              <w:rPr>
                <w:szCs w:val="21"/>
              </w:rPr>
              <w:t>5.3</w:t>
            </w:r>
            <w:r>
              <w:rPr>
                <w:rFonts w:hint="eastAsia"/>
                <w:szCs w:val="21"/>
                <w:lang w:val="en-US" w:eastAsia="zh-CN"/>
              </w:rPr>
              <w:t xml:space="preserve"> / </w:t>
            </w:r>
            <w:r>
              <w:rPr>
                <w:rFonts w:hint="eastAsia"/>
                <w:szCs w:val="21"/>
              </w:rPr>
              <w:t>6.1</w:t>
            </w:r>
            <w:r>
              <w:rPr>
                <w:rFonts w:hint="eastAsia"/>
                <w:szCs w:val="21"/>
                <w:lang w:val="en-US" w:eastAsia="zh-CN"/>
              </w:rPr>
              <w:t xml:space="preserve"> / </w:t>
            </w:r>
            <w:r>
              <w:rPr>
                <w:rFonts w:hint="eastAsia"/>
                <w:szCs w:val="21"/>
              </w:rPr>
              <w:t>6.2</w:t>
            </w:r>
            <w:r>
              <w:rPr>
                <w:rFonts w:hint="eastAsia"/>
                <w:szCs w:val="21"/>
                <w:lang w:val="en-US" w:eastAsia="zh-CN"/>
              </w:rPr>
              <w:t xml:space="preserve"> / </w:t>
            </w:r>
            <w:r>
              <w:rPr>
                <w:szCs w:val="21"/>
              </w:rPr>
              <w:t>6.3</w:t>
            </w:r>
            <w:r>
              <w:rPr>
                <w:rFonts w:hint="eastAsia"/>
                <w:szCs w:val="21"/>
                <w:lang w:val="en-US" w:eastAsia="zh-CN"/>
              </w:rPr>
              <w:t xml:space="preserve"> / </w:t>
            </w:r>
            <w:r>
              <w:rPr>
                <w:szCs w:val="21"/>
              </w:rPr>
              <w:t>7</w:t>
            </w:r>
            <w:r>
              <w:rPr>
                <w:rFonts w:hint="eastAsia"/>
                <w:szCs w:val="21"/>
              </w:rPr>
              <w:t>.1.1</w:t>
            </w:r>
            <w:r>
              <w:rPr>
                <w:rFonts w:hint="eastAsia"/>
                <w:szCs w:val="21"/>
                <w:lang w:val="en-US" w:eastAsia="zh-CN"/>
              </w:rPr>
              <w:t xml:space="preserve"> / </w:t>
            </w:r>
            <w:r>
              <w:rPr>
                <w:rFonts w:hint="eastAsia"/>
                <w:szCs w:val="21"/>
              </w:rPr>
              <w:t>7.1.2</w:t>
            </w:r>
            <w:r>
              <w:rPr>
                <w:rFonts w:hint="eastAsia"/>
                <w:szCs w:val="21"/>
                <w:lang w:val="en-US" w:eastAsia="zh-CN"/>
              </w:rPr>
              <w:t xml:space="preserve"> /7.1.6/ </w:t>
            </w:r>
            <w:r>
              <w:rPr>
                <w:rFonts w:hint="eastAsia"/>
                <w:szCs w:val="21"/>
              </w:rPr>
              <w:t>7.3</w:t>
            </w:r>
            <w:r>
              <w:rPr>
                <w:rFonts w:hint="eastAsia"/>
                <w:szCs w:val="21"/>
                <w:lang w:val="en-US" w:eastAsia="zh-CN"/>
              </w:rPr>
              <w:t xml:space="preserve"> / </w:t>
            </w:r>
            <w:r>
              <w:rPr>
                <w:rFonts w:hint="eastAsia"/>
                <w:szCs w:val="21"/>
              </w:rPr>
              <w:t>9.1.1</w:t>
            </w:r>
            <w:r>
              <w:rPr>
                <w:rFonts w:hint="eastAsia"/>
                <w:szCs w:val="21"/>
                <w:lang w:val="en-US" w:eastAsia="zh-CN"/>
              </w:rPr>
              <w:t xml:space="preserve">/9.1.3/9.3 / </w:t>
            </w:r>
            <w:r>
              <w:rPr>
                <w:rFonts w:hint="eastAsia"/>
                <w:szCs w:val="21"/>
              </w:rPr>
              <w:t>10.1</w:t>
            </w:r>
            <w:r>
              <w:rPr>
                <w:rFonts w:hint="eastAsia"/>
                <w:szCs w:val="21"/>
                <w:lang w:val="en-US" w:eastAsia="zh-CN"/>
              </w:rPr>
              <w:t xml:space="preserve"> / </w:t>
            </w:r>
            <w:r>
              <w:rPr>
                <w:rFonts w:hint="eastAsia"/>
                <w:szCs w:val="21"/>
              </w:rPr>
              <w:t>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tcPr>
          <w:p>
            <w:pPr>
              <w:rPr>
                <w:rFonts w:hint="eastAsia"/>
              </w:rPr>
            </w:pPr>
            <w:r>
              <w:rPr>
                <w:rFonts w:hint="eastAsia"/>
                <w:vertAlign w:val="baseline"/>
                <w:lang w:val="en-US" w:eastAsia="zh-CN"/>
              </w:rPr>
              <w:t>远程审核阶段问题验证/</w:t>
            </w: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tcPr>
          <w:p>
            <w:pPr>
              <w:rPr>
                <w:rFonts w:hint="eastAsia"/>
              </w:rPr>
            </w:pPr>
          </w:p>
        </w:tc>
        <w:tc>
          <w:tcPr>
            <w:tcW w:w="745" w:type="dxa"/>
          </w:tcPr>
          <w:p>
            <w:pPr>
              <w:rPr>
                <w:rFonts w:hint="eastAsia"/>
              </w:rPr>
            </w:pPr>
          </w:p>
        </w:tc>
        <w:tc>
          <w:tcPr>
            <w:tcW w:w="9259" w:type="dxa"/>
          </w:tcPr>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w:t>
            </w:r>
            <w:r>
              <w:rPr>
                <w:rFonts w:hint="eastAsia" w:ascii="宋体" w:hAnsi="宋体"/>
                <w:b/>
                <w:color w:val="FF0000"/>
                <w:sz w:val="21"/>
                <w:szCs w:val="21"/>
                <w:lang w:val="en-US" w:eastAsia="zh-CN"/>
              </w:rPr>
              <w:t>2</w:t>
            </w:r>
            <w:r>
              <w:rPr>
                <w:rFonts w:hint="eastAsia" w:ascii="宋体" w:hAnsi="宋体"/>
                <w:b/>
                <w:color w:val="FF0000"/>
                <w:sz w:val="21"/>
                <w:szCs w:val="21"/>
              </w:rPr>
              <w:t>项一般不符合（</w:t>
            </w:r>
            <w:r>
              <w:rPr>
                <w:rFonts w:hint="eastAsia" w:ascii="宋体" w:hAnsi="宋体"/>
                <w:b/>
                <w:color w:val="FF0000"/>
                <w:sz w:val="21"/>
                <w:szCs w:val="21"/>
                <w:lang w:val="en-US" w:eastAsia="zh-CN"/>
              </w:rPr>
              <w:t>业务部Q8.2.3\生产部</w:t>
            </w:r>
            <w:bookmarkStart w:id="3" w:name="_GoBack"/>
            <w:bookmarkEnd w:id="3"/>
            <w:r>
              <w:rPr>
                <w:rFonts w:hint="eastAsia" w:ascii="宋体" w:hAnsi="宋体"/>
                <w:b/>
                <w:color w:val="FF0000"/>
                <w:sz w:val="21"/>
                <w:szCs w:val="21"/>
                <w:lang w:val="en-US" w:eastAsia="zh-CN"/>
              </w:rPr>
              <w:t>Q7.1.5条款</w:t>
            </w:r>
            <w:r>
              <w:rPr>
                <w:rFonts w:hint="eastAsia" w:ascii="宋体" w:hAnsi="宋体"/>
                <w:b/>
                <w:color w:val="FF0000"/>
                <w:sz w:val="21"/>
                <w:szCs w:val="21"/>
              </w:rPr>
              <w:t>）已实施纠正措施，纠正措施实施未见不符合。</w:t>
            </w:r>
          </w:p>
          <w:p>
            <w:pPr>
              <w:rPr>
                <w:rFonts w:hint="eastAsia" w:ascii="宋体" w:hAnsi="宋体" w:eastAsia="宋体" w:cs="Times New Roman"/>
                <w:b/>
                <w:color w:val="FF0000"/>
                <w:sz w:val="21"/>
                <w:szCs w:val="21"/>
                <w:lang w:eastAsia="zh-CN"/>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p>
            <w:pPr>
              <w:rPr>
                <w:rFonts w:hint="default" w:eastAsia="宋体"/>
                <w:lang w:val="en-US" w:eastAsia="zh-CN"/>
              </w:rPr>
            </w:pPr>
            <w:r>
              <w:rPr>
                <w:rFonts w:hint="eastAsia"/>
                <w:lang w:val="en-US" w:eastAsia="zh-CN"/>
              </w:rPr>
              <w:t>，</w:t>
            </w:r>
            <w:r>
              <w:rPr>
                <w:rFonts w:hint="eastAsia"/>
                <w:vertAlign w:val="baseline"/>
                <w:lang w:val="en-US" w:eastAsia="zh-CN"/>
              </w:rPr>
              <w:t>体系运行期间</w:t>
            </w:r>
            <w:r>
              <w:rPr>
                <w:rFonts w:hint="eastAsia"/>
                <w:lang w:val="en-US" w:eastAsia="zh-CN"/>
              </w:rPr>
              <w:t>无投诉</w:t>
            </w:r>
            <w:r>
              <w:rPr>
                <w:rFonts w:hint="eastAsia"/>
                <w:vertAlign w:val="baseline"/>
                <w:lang w:val="en-US" w:eastAsia="zh-CN"/>
              </w:rPr>
              <w:t>或事故发生，无政府部门抽查情况</w:t>
            </w:r>
          </w:p>
        </w:tc>
        <w:tc>
          <w:tcPr>
            <w:tcW w:w="1585"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auto"/>
              </w:rPr>
            </w:pPr>
            <w:r>
              <w:rPr>
                <w:rFonts w:hint="eastAsia"/>
                <w:color w:val="auto"/>
              </w:rPr>
              <w:t>理解组织及其环境</w:t>
            </w:r>
          </w:p>
        </w:tc>
        <w:tc>
          <w:tcPr>
            <w:tcW w:w="960" w:type="dxa"/>
            <w:vMerge w:val="restart"/>
          </w:tcPr>
          <w:p>
            <w:pPr>
              <w:rPr>
                <w:color w:val="auto"/>
              </w:rPr>
            </w:pPr>
            <w:r>
              <w:rPr>
                <w:rFonts w:hint="eastAsia"/>
                <w:color w:val="auto"/>
              </w:rPr>
              <w:t xml:space="preserve">Q4.1 </w:t>
            </w:r>
          </w:p>
        </w:tc>
        <w:tc>
          <w:tcPr>
            <w:tcW w:w="745" w:type="dxa"/>
          </w:tcPr>
          <w:p>
            <w:pPr>
              <w:rPr>
                <w:color w:val="auto"/>
              </w:rPr>
            </w:pPr>
            <w:r>
              <w:rPr>
                <w:rFonts w:hint="eastAsia"/>
                <w:color w:val="auto"/>
              </w:rPr>
              <w:t>文件名称</w:t>
            </w:r>
          </w:p>
        </w:tc>
        <w:tc>
          <w:tcPr>
            <w:tcW w:w="9259" w:type="dxa"/>
          </w:tcPr>
          <w:p>
            <w:pPr>
              <w:rPr>
                <w:color w:val="auto"/>
              </w:rPr>
            </w:pPr>
            <w:r>
              <w:rPr>
                <w:rFonts w:hint="eastAsia"/>
                <w:color w:val="auto"/>
              </w:rPr>
              <w:t>如：</w:t>
            </w:r>
            <w:r>
              <w:rPr>
                <w:rFonts w:hint="eastAsia"/>
                <w:color w:val="auto"/>
              </w:rPr>
              <w:sym w:font="Wingdings" w:char="00FE"/>
            </w:r>
            <w:r>
              <w:rPr>
                <w:rFonts w:hint="eastAsia"/>
                <w:color w:val="auto"/>
              </w:rPr>
              <w:t>《组织环境分析控制程序》、</w:t>
            </w:r>
            <w:r>
              <w:rPr>
                <w:rFonts w:hint="eastAsia"/>
                <w:color w:val="auto"/>
              </w:rPr>
              <w:sym w:font="Wingdings" w:char="00FE"/>
            </w:r>
            <w:r>
              <w:rPr>
                <w:rFonts w:hint="eastAsia"/>
                <w:color w:val="auto"/>
              </w:rPr>
              <w:t>管理手册第4.1章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160" w:type="dxa"/>
            <w:vMerge w:val="continue"/>
          </w:tcPr>
          <w:p>
            <w:pPr>
              <w:rPr>
                <w:color w:val="auto"/>
              </w:rPr>
            </w:pPr>
          </w:p>
        </w:tc>
        <w:tc>
          <w:tcPr>
            <w:tcW w:w="960" w:type="dxa"/>
            <w:vMerge w:val="continue"/>
          </w:tcPr>
          <w:p>
            <w:pPr>
              <w:rPr>
                <w:color w:val="auto"/>
              </w:rPr>
            </w:pPr>
          </w:p>
        </w:tc>
        <w:tc>
          <w:tcPr>
            <w:tcW w:w="745" w:type="dxa"/>
          </w:tcPr>
          <w:p>
            <w:pPr>
              <w:rPr>
                <w:color w:val="auto"/>
              </w:rPr>
            </w:pPr>
            <w:r>
              <w:rPr>
                <w:rFonts w:hint="eastAsia"/>
                <w:color w:val="auto"/>
              </w:rPr>
              <w:t>运行证据</w:t>
            </w:r>
          </w:p>
        </w:tc>
        <w:tc>
          <w:tcPr>
            <w:tcW w:w="9259" w:type="dxa"/>
          </w:tcPr>
          <w:p>
            <w:pPr>
              <w:rPr>
                <w:color w:val="auto"/>
                <w:szCs w:val="21"/>
              </w:rPr>
            </w:pPr>
            <w:r>
              <w:rPr>
                <w:rFonts w:hint="eastAsia"/>
                <w:color w:val="auto"/>
                <w:szCs w:val="21"/>
              </w:rPr>
              <w:t>与最高管理者沟通：</w:t>
            </w:r>
          </w:p>
          <w:p>
            <w:pPr>
              <w:rPr>
                <w:color w:val="auto"/>
                <w:szCs w:val="21"/>
              </w:rPr>
            </w:pPr>
            <w:r>
              <w:rPr>
                <w:rFonts w:hint="eastAsia"/>
                <w:color w:val="auto"/>
                <w:szCs w:val="21"/>
              </w:rPr>
              <w:t>组织的环境：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外部环境</w:t>
                  </w:r>
                </w:p>
              </w:tc>
              <w:tc>
                <w:tcPr>
                  <w:tcW w:w="7375" w:type="dxa"/>
                </w:tcPr>
                <w:p>
                  <w:pPr>
                    <w:rPr>
                      <w:color w:val="auto"/>
                    </w:rPr>
                  </w:pPr>
                  <w:r>
                    <w:rPr>
                      <w:rFonts w:hint="eastAsia"/>
                      <w:color w:val="auto"/>
                    </w:rPr>
                    <w:t>☑</w:t>
                  </w:r>
                  <w:r>
                    <w:rPr>
                      <w:rFonts w:hint="eastAsia" w:ascii="宋体" w:hAnsi="宋体" w:eastAsia="宋体" w:cs="宋体"/>
                      <w:color w:val="auto"/>
                      <w:kern w:val="0"/>
                      <w:sz w:val="20"/>
                      <w:szCs w:val="20"/>
                    </w:rPr>
                    <w:t>政治因素</w:t>
                  </w:r>
                  <w:r>
                    <w:rPr>
                      <w:rFonts w:hint="eastAsia"/>
                      <w:color w:val="auto"/>
                    </w:rPr>
                    <w:t xml:space="preserve"> ☑</w:t>
                  </w:r>
                  <w:r>
                    <w:rPr>
                      <w:rFonts w:hint="eastAsia" w:ascii="宋体" w:hAnsi="宋体" w:eastAsia="宋体" w:cs="宋体"/>
                      <w:color w:val="auto"/>
                      <w:kern w:val="0"/>
                      <w:sz w:val="20"/>
                      <w:szCs w:val="20"/>
                    </w:rPr>
                    <w:t>经济因素</w:t>
                  </w:r>
                  <w:r>
                    <w:rPr>
                      <w:rFonts w:hint="eastAsia"/>
                      <w:color w:val="auto"/>
                    </w:rPr>
                    <w:t xml:space="preserve"> ☑</w:t>
                  </w:r>
                  <w:r>
                    <w:rPr>
                      <w:rFonts w:hint="eastAsia" w:ascii="宋体" w:hAnsi="宋体" w:eastAsia="宋体" w:cs="宋体"/>
                      <w:color w:val="auto"/>
                      <w:kern w:val="0"/>
                      <w:sz w:val="20"/>
                      <w:szCs w:val="20"/>
                    </w:rPr>
                    <w:t>社会因素</w:t>
                  </w:r>
                  <w:r>
                    <w:rPr>
                      <w:rFonts w:hint="eastAsia"/>
                      <w:color w:val="auto"/>
                    </w:rPr>
                    <w:t xml:space="preserve"> ☑</w:t>
                  </w:r>
                  <w:r>
                    <w:rPr>
                      <w:rFonts w:hint="eastAsia" w:ascii="宋体" w:hAnsi="宋体" w:eastAsia="宋体" w:cs="宋体"/>
                      <w:color w:val="auto"/>
                      <w:kern w:val="0"/>
                      <w:sz w:val="20"/>
                      <w:szCs w:val="20"/>
                    </w:rPr>
                    <w:t>技术因素</w:t>
                  </w:r>
                  <w:r>
                    <w:rPr>
                      <w:rFonts w:hint="eastAsia"/>
                      <w:color w:val="auto"/>
                    </w:rPr>
                    <w:t xml:space="preserve"> </w:t>
                  </w:r>
                  <w:r>
                    <w:rPr>
                      <w:rFonts w:hint="eastAsia"/>
                      <w:color w:val="auto"/>
                      <w:lang w:eastAsia="zh-CN"/>
                    </w:rPr>
                    <w:t>☑</w:t>
                  </w:r>
                  <w:r>
                    <w:rPr>
                      <w:rFonts w:hint="eastAsia" w:ascii="宋体" w:hAnsi="宋体" w:eastAsia="宋体" w:cs="宋体"/>
                      <w:color w:val="auto"/>
                      <w:kern w:val="0"/>
                      <w:sz w:val="20"/>
                      <w:szCs w:val="20"/>
                    </w:rPr>
                    <w:t>法律法规因素</w:t>
                  </w:r>
                  <w:r>
                    <w:rPr>
                      <w:rFonts w:hint="eastAsia"/>
                      <w:color w:val="auto"/>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hint="eastAsia" w:ascii="宋体" w:hAnsi="宋体" w:eastAsia="宋体" w:cs="宋体"/>
                      <w:color w:val="auto"/>
                      <w:kern w:val="0"/>
                      <w:sz w:val="20"/>
                      <w:szCs w:val="20"/>
                    </w:rPr>
                    <w:t>一系列的社会因素，造成公司人力资源成本越来越高，招工难为本年度公司发展的一大难题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内部环境</w:t>
                  </w:r>
                </w:p>
              </w:tc>
              <w:tc>
                <w:tcPr>
                  <w:tcW w:w="7375" w:type="dxa"/>
                </w:tcPr>
                <w:p>
                  <w:pPr>
                    <w:rPr>
                      <w:color w:val="auto"/>
                    </w:rPr>
                  </w:pPr>
                  <w:r>
                    <w:rPr>
                      <w:rFonts w:hint="eastAsia"/>
                      <w:color w:val="auto"/>
                    </w:rPr>
                    <w:t>☑</w:t>
                  </w:r>
                  <w:r>
                    <w:rPr>
                      <w:rFonts w:hint="eastAsia" w:ascii="宋体" w:hAnsi="宋体" w:eastAsia="宋体" w:cs="宋体"/>
                      <w:color w:val="auto"/>
                      <w:kern w:val="0"/>
                      <w:sz w:val="20"/>
                      <w:szCs w:val="20"/>
                    </w:rPr>
                    <w:t>企业文化</w:t>
                  </w:r>
                  <w:r>
                    <w:rPr>
                      <w:rFonts w:hint="eastAsia"/>
                      <w:color w:val="auto"/>
                    </w:rPr>
                    <w:t xml:space="preserve">  ☑</w:t>
                  </w:r>
                  <w:r>
                    <w:rPr>
                      <w:rFonts w:hint="eastAsia" w:ascii="宋体" w:hAnsi="宋体" w:eastAsia="宋体" w:cs="宋体"/>
                      <w:color w:val="auto"/>
                      <w:kern w:val="0"/>
                      <w:sz w:val="20"/>
                      <w:szCs w:val="20"/>
                    </w:rPr>
                    <w:t>技术能力</w:t>
                  </w:r>
                  <w:r>
                    <w:rPr>
                      <w:rFonts w:hint="eastAsia"/>
                      <w:color w:val="auto"/>
                    </w:rPr>
                    <w:t xml:space="preserve">  ☑</w:t>
                  </w:r>
                  <w:r>
                    <w:rPr>
                      <w:rFonts w:ascii="宋体" w:hAnsi="宋体" w:eastAsia="宋体" w:cs="宋体"/>
                      <w:color w:val="auto"/>
                      <w:kern w:val="0"/>
                      <w:sz w:val="20"/>
                      <w:szCs w:val="20"/>
                    </w:rPr>
                    <w:t>设备资源</w:t>
                  </w:r>
                  <w:r>
                    <w:rPr>
                      <w:rFonts w:hint="eastAsia"/>
                      <w:color w:val="auto"/>
                    </w:rPr>
                    <w:t xml:space="preserve"> ☑</w:t>
                  </w:r>
                  <w:r>
                    <w:rPr>
                      <w:rFonts w:hint="eastAsia" w:ascii="宋体" w:hAnsi="宋体" w:eastAsia="宋体" w:cs="宋体"/>
                      <w:color w:val="auto"/>
                      <w:kern w:val="0"/>
                      <w:sz w:val="20"/>
                      <w:szCs w:val="20"/>
                    </w:rPr>
                    <w:t>人力环境</w:t>
                  </w:r>
                  <w:r>
                    <w:rPr>
                      <w:rFonts w:hint="eastAsia"/>
                      <w:color w:val="auto"/>
                    </w:rPr>
                    <w:t xml:space="preserve"> ☑</w:t>
                  </w:r>
                  <w:r>
                    <w:rPr>
                      <w:rFonts w:hint="eastAsia" w:ascii="宋体" w:hAnsi="宋体" w:eastAsia="宋体" w:cs="宋体"/>
                      <w:color w:val="auto"/>
                      <w:kern w:val="0"/>
                      <w:sz w:val="20"/>
                      <w:szCs w:val="20"/>
                    </w:rPr>
                    <w:t>执行力</w:t>
                  </w:r>
                  <w:r>
                    <w:rPr>
                      <w:rFonts w:hint="eastAsia"/>
                      <w:color w:val="auto"/>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rPr>
                    <w:t>列举主要的内容</w:t>
                  </w:r>
                </w:p>
              </w:tc>
              <w:tc>
                <w:tcPr>
                  <w:tcW w:w="7375" w:type="dxa"/>
                </w:tcPr>
                <w:p>
                  <w:pPr>
                    <w:rPr>
                      <w:color w:val="auto"/>
                    </w:rPr>
                  </w:pPr>
                  <w:r>
                    <w:rPr>
                      <w:rFonts w:ascii="宋体" w:hAnsi="宋体" w:eastAsia="宋体" w:cs="宋体"/>
                      <w:color w:val="auto"/>
                      <w:kern w:val="0"/>
                      <w:sz w:val="20"/>
                      <w:szCs w:val="20"/>
                    </w:rPr>
                    <w:t>设备资源因素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组织优势说明</w:t>
                  </w:r>
                </w:p>
              </w:tc>
              <w:tc>
                <w:tcPr>
                  <w:tcW w:w="7375" w:type="dxa"/>
                </w:tcPr>
                <w:p>
                  <w:pPr>
                    <w:rPr>
                      <w:color w:val="auto"/>
                    </w:rPr>
                  </w:pPr>
                  <w:r>
                    <w:rPr>
                      <w:rFonts w:ascii="宋体" w:hAnsi="宋体" w:eastAsia="宋体" w:cs="宋体"/>
                      <w:color w:val="auto"/>
                      <w:kern w:val="0"/>
                      <w:sz w:val="20"/>
                      <w:szCs w:val="20"/>
                    </w:rPr>
                    <w:t>随着公司的逐步发</w:t>
                  </w:r>
                  <w:r>
                    <w:rPr>
                      <w:rFonts w:hint="eastAsia" w:ascii="宋体" w:hAnsi="宋体" w:cs="宋体"/>
                      <w:color w:val="auto"/>
                      <w:kern w:val="0"/>
                      <w:sz w:val="20"/>
                      <w:szCs w:val="20"/>
                      <w:lang w:val="en-US" w:eastAsia="zh-CN"/>
                    </w:rPr>
                    <w:t>展</w:t>
                  </w:r>
                  <w:r>
                    <w:rPr>
                      <w:rFonts w:ascii="宋体" w:hAnsi="宋体" w:eastAsia="宋体" w:cs="宋体"/>
                      <w:color w:val="auto"/>
                      <w:kern w:val="0"/>
                      <w:sz w:val="20"/>
                      <w:szCs w:val="20"/>
                    </w:rPr>
                    <w:t>，每年添置了多台新设备，为生产提供有利的保障。</w:t>
                  </w:r>
                  <w:r>
                    <w:rPr>
                      <w:rFonts w:ascii="宋体" w:hAnsi="宋体" w:eastAsia="宋体" w:cs="宋体"/>
                      <w:color w:val="auto"/>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组织劣势说明</w:t>
                  </w:r>
                </w:p>
              </w:tc>
              <w:tc>
                <w:tcPr>
                  <w:tcW w:w="7375" w:type="dxa"/>
                </w:tcPr>
                <w:p>
                  <w:pPr>
                    <w:rPr>
                      <w:color w:val="auto"/>
                    </w:rPr>
                  </w:pPr>
                  <w:r>
                    <w:rPr>
                      <w:rFonts w:ascii="宋体" w:hAnsi="宋体" w:eastAsia="宋体" w:cs="宋体"/>
                      <w:color w:val="auto"/>
                      <w:kern w:val="0"/>
                      <w:sz w:val="20"/>
                      <w:szCs w:val="20"/>
                    </w:rPr>
                    <w:t>部分设备已使用多年，已经逐渐老化。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主要风险的说明</w:t>
                  </w:r>
                </w:p>
              </w:tc>
              <w:tc>
                <w:tcPr>
                  <w:tcW w:w="7375" w:type="dxa"/>
                </w:tcPr>
                <w:p>
                  <w:pPr>
                    <w:rPr>
                      <w:color w:val="auto"/>
                    </w:rPr>
                  </w:pPr>
                  <w:r>
                    <w:rPr>
                      <w:rFonts w:ascii="宋体" w:hAnsi="宋体" w:eastAsia="宋体" w:cs="宋体"/>
                      <w:color w:val="auto"/>
                      <w:kern w:val="0"/>
                      <w:sz w:val="20"/>
                      <w:szCs w:val="20"/>
                    </w:rPr>
                    <w:t>旧</w:t>
                  </w:r>
                  <w:r>
                    <w:rPr>
                      <w:rFonts w:hint="eastAsia" w:ascii="宋体" w:hAnsi="宋体" w:eastAsia="宋体" w:cs="宋体"/>
                      <w:color w:val="auto"/>
                      <w:kern w:val="0"/>
                      <w:sz w:val="20"/>
                      <w:szCs w:val="20"/>
                    </w:rPr>
                    <w:t>设备</w:t>
                  </w:r>
                  <w:r>
                    <w:rPr>
                      <w:rFonts w:ascii="宋体" w:hAnsi="宋体" w:eastAsia="宋体" w:cs="宋体"/>
                      <w:color w:val="auto"/>
                      <w:kern w:val="0"/>
                      <w:sz w:val="20"/>
                      <w:szCs w:val="20"/>
                    </w:rPr>
                    <w:t>的老化现象已影响到要关产品的质量，如维修频率过高，性能不稳定，生产或检验之产品精度无法答到要求，线路老化引起的安全隐患等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auto"/>
                    </w:rPr>
                  </w:pPr>
                  <w:r>
                    <w:rPr>
                      <w:rFonts w:hint="eastAsia"/>
                      <w:color w:val="auto"/>
                      <w:szCs w:val="21"/>
                    </w:rPr>
                    <w:t>机遇的说明</w:t>
                  </w:r>
                </w:p>
              </w:tc>
              <w:tc>
                <w:tcPr>
                  <w:tcW w:w="7375" w:type="dxa"/>
                </w:tcPr>
                <w:p>
                  <w:pPr>
                    <w:rPr>
                      <w:rFonts w:hint="default" w:eastAsia="宋体"/>
                      <w:color w:val="auto"/>
                      <w:lang w:val="en-US" w:eastAsia="zh-CN"/>
                    </w:rPr>
                  </w:pPr>
                  <w:r>
                    <w:rPr>
                      <w:rFonts w:hint="eastAsia"/>
                      <w:color w:val="auto"/>
                      <w:lang w:val="en-US" w:eastAsia="zh-CN"/>
                    </w:rPr>
                    <w:t>新设备的引进，提升产品质量，满足客户要求</w:t>
                  </w:r>
                </w:p>
              </w:tc>
            </w:tr>
          </w:tbl>
          <w:p>
            <w:pPr>
              <w:rPr>
                <w:color w:val="auto"/>
                <w:szCs w:val="21"/>
              </w:rPr>
            </w:pPr>
          </w:p>
          <w:p>
            <w:pPr>
              <w:rPr>
                <w:color w:val="auto"/>
                <w:szCs w:val="21"/>
              </w:rPr>
            </w:pPr>
            <w:r>
              <w:rPr>
                <w:rFonts w:hint="eastAsia"/>
                <w:color w:val="auto"/>
                <w:szCs w:val="21"/>
              </w:rPr>
              <w:t>主要证据体现在</w:t>
            </w:r>
            <w:r>
              <w:rPr>
                <w:rFonts w:hint="eastAsia"/>
                <w:color w:val="auto"/>
              </w:rPr>
              <w:t xml:space="preserve"> </w:t>
            </w:r>
            <w:r>
              <w:rPr>
                <w:rFonts w:hint="eastAsia"/>
                <w:color w:val="auto"/>
              </w:rPr>
              <w:sym w:font="Wingdings" w:char="00FE"/>
            </w:r>
            <w:r>
              <w:rPr>
                <w:rFonts w:hint="eastAsia"/>
                <w:color w:val="auto"/>
              </w:rPr>
              <w:t xml:space="preserve">《组织内外部环境因素识别表》  </w:t>
            </w:r>
            <w:r>
              <w:rPr>
                <w:rFonts w:hint="eastAsia"/>
                <w:color w:val="auto"/>
              </w:rPr>
              <w:sym w:font="Wingdings" w:char="00A8"/>
            </w:r>
            <w:r>
              <w:rPr>
                <w:rFonts w:hint="eastAsia"/>
                <w:color w:val="auto"/>
              </w:rPr>
              <w:t xml:space="preserve">《年度业务计划》 </w:t>
            </w:r>
            <w:r>
              <w:rPr>
                <w:rFonts w:hint="eastAsia"/>
                <w:color w:val="auto"/>
              </w:rPr>
              <w:sym w:font="Wingdings" w:char="00A8"/>
            </w:r>
            <w:r>
              <w:rPr>
                <w:rFonts w:hint="eastAsia"/>
                <w:color w:val="auto"/>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理解相关方的需求和期望</w:t>
            </w:r>
          </w:p>
        </w:tc>
        <w:tc>
          <w:tcPr>
            <w:tcW w:w="960" w:type="dxa"/>
            <w:vMerge w:val="restart"/>
          </w:tcPr>
          <w:p>
            <w:r>
              <w:rPr>
                <w:rFonts w:hint="eastAsia"/>
              </w:rPr>
              <w:t xml:space="preserve">Q4.2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《理解相关方的需求和期望控制程序》、</w:t>
            </w:r>
            <w:r>
              <w:rPr>
                <w:rFonts w:hint="eastAsia"/>
              </w:rPr>
              <w:sym w:font="Wingdings" w:char="00FE"/>
            </w:r>
            <w:r>
              <w:rPr>
                <w:rFonts w:hint="eastAsia"/>
              </w:rPr>
              <w:t>管理手册第4.2章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80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highlight w:val="cyan"/>
                    </w:rPr>
                  </w:pPr>
                  <w:r>
                    <w:rPr>
                      <w:rFonts w:hint="eastAsia"/>
                    </w:rPr>
                    <w:t>重要的相关方</w:t>
                  </w:r>
                </w:p>
              </w:tc>
              <w:tc>
                <w:tcPr>
                  <w:tcW w:w="3805" w:type="dxa"/>
                </w:tcPr>
                <w:p>
                  <w:pPr>
                    <w:rPr>
                      <w:highlight w:val="cyan"/>
                    </w:rPr>
                  </w:pPr>
                  <w:r>
                    <w:rPr>
                      <w:rFonts w:hint="eastAsia"/>
                    </w:rPr>
                    <w:t>相关方名称举例</w:t>
                  </w:r>
                </w:p>
              </w:tc>
              <w:tc>
                <w:tcPr>
                  <w:tcW w:w="3625"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☑政府机构</w:t>
                  </w:r>
                </w:p>
              </w:tc>
              <w:tc>
                <w:tcPr>
                  <w:tcW w:w="3805" w:type="dxa"/>
                </w:tcPr>
                <w:p>
                  <w:r>
                    <w:rPr>
                      <w:rFonts w:hint="eastAsia"/>
                    </w:rPr>
                    <w:t>如</w:t>
                  </w:r>
                  <w:r>
                    <w:t>福建省南安市</w:t>
                  </w:r>
                  <w:r>
                    <w:rPr>
                      <w:rFonts w:hint="eastAsia"/>
                    </w:rPr>
                    <w:t>市场监督管理局</w:t>
                  </w:r>
                </w:p>
              </w:tc>
              <w:tc>
                <w:tcPr>
                  <w:tcW w:w="3625" w:type="dxa"/>
                </w:tcPr>
                <w:p>
                  <w:r>
                    <w:rPr>
                      <w:rFonts w:hint="eastAsia"/>
                    </w:rPr>
                    <w:t>☑遵守质量相关的法律法规</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☑供方</w:t>
                  </w:r>
                </w:p>
              </w:tc>
              <w:tc>
                <w:tcPr>
                  <w:tcW w:w="3805" w:type="dxa"/>
                </w:tcPr>
                <w:p>
                  <w:pPr>
                    <w:rPr>
                      <w:rFonts w:hint="default" w:eastAsia="宋体"/>
                      <w:lang w:val="en-US" w:eastAsia="zh-CN"/>
                    </w:rPr>
                  </w:pPr>
                  <w:r>
                    <w:rPr>
                      <w:rFonts w:hint="eastAsia"/>
                    </w:rPr>
                    <w:t>例如：</w:t>
                  </w:r>
                  <w:r>
                    <w:rPr>
                      <w:rFonts w:hint="eastAsia" w:ascii="Arial" w:hAnsi="Arial" w:cs="Arial"/>
                      <w:lang w:val="en-US" w:eastAsia="zh-CN"/>
                    </w:rPr>
                    <w:t>泉州市鹏顺钢铁贸易有限公司</w:t>
                  </w:r>
                </w:p>
              </w:tc>
              <w:tc>
                <w:tcPr>
                  <w:tcW w:w="3625" w:type="dxa"/>
                </w:tcPr>
                <w:p>
                  <w:r>
                    <w:rPr>
                      <w:rFonts w:hint="eastAsia"/>
                    </w:rPr>
                    <w:t xml:space="preserve">☑进料合格率高                               </w:t>
                  </w:r>
                </w:p>
                <w:p>
                  <w:r>
                    <w:rPr>
                      <w:rFonts w:hint="eastAsia"/>
                      <w:lang w:eastAsia="zh-CN"/>
                    </w:rPr>
                    <w:t>☑</w:t>
                  </w:r>
                  <w:r>
                    <w:rPr>
                      <w:rFonts w:hint="eastAsia"/>
                    </w:rPr>
                    <w:t xml:space="preserve">长期合作、双赢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☑顾客</w:t>
                  </w:r>
                </w:p>
              </w:tc>
              <w:tc>
                <w:tcPr>
                  <w:tcW w:w="3805" w:type="dxa"/>
                </w:tcPr>
                <w:p>
                  <w:r>
                    <w:rPr>
                      <w:rFonts w:hint="eastAsia"/>
                    </w:rPr>
                    <w:t>例如：</w:t>
                  </w:r>
                  <w:r>
                    <w:rPr>
                      <w:rFonts w:hint="eastAsia"/>
                      <w:lang w:val="en-US" w:eastAsia="zh-CN"/>
                    </w:rPr>
                    <w:t>福建佳欣消防科技有限公司</w:t>
                  </w:r>
                </w:p>
              </w:tc>
              <w:tc>
                <w:tcPr>
                  <w:tcW w:w="3625" w:type="dxa"/>
                </w:tcPr>
                <w:p>
                  <w:r>
                    <w:rPr>
                      <w:rFonts w:hint="eastAsia"/>
                    </w:rPr>
                    <w:t>☑按时按质按量交付产品或服务；</w:t>
                  </w:r>
                </w:p>
                <w:p>
                  <w:r>
                    <w:rPr>
                      <w:rFonts w:hint="eastAsia"/>
                    </w:rPr>
                    <w:t>☑产品/服务质量持续满足要求</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□消费者</w:t>
                  </w:r>
                </w:p>
              </w:tc>
              <w:tc>
                <w:tcPr>
                  <w:tcW w:w="3805" w:type="dxa"/>
                </w:tcPr>
                <w:p>
                  <w:r>
                    <w:rPr>
                      <w:rFonts w:hint="eastAsia"/>
                    </w:rPr>
                    <w:t>——</w:t>
                  </w:r>
                </w:p>
              </w:tc>
              <w:tc>
                <w:tcPr>
                  <w:tcW w:w="3625" w:type="dxa"/>
                </w:tcPr>
                <w:p>
                  <w:r>
                    <w:rPr>
                      <w:rFonts w:hint="eastAsia"/>
                    </w:rPr>
                    <w:t>□良好的使用感受、持续经营</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szCs w:val="24"/>
                    </w:rPr>
                  </w:pPr>
                  <w:r>
                    <w:rPr>
                      <w:rFonts w:hint="eastAsia"/>
                    </w:rPr>
                    <w:t>☑员工</w:t>
                  </w:r>
                </w:p>
              </w:tc>
              <w:tc>
                <w:tcPr>
                  <w:tcW w:w="3805" w:type="dxa"/>
                </w:tcPr>
                <w:p>
                  <w:pPr>
                    <w:rPr>
                      <w:szCs w:val="24"/>
                    </w:rPr>
                  </w:pPr>
                  <w:r>
                    <w:rPr>
                      <w:rFonts w:hint="eastAsia"/>
                      <w:szCs w:val="24"/>
                    </w:rPr>
                    <w:t>——</w:t>
                  </w:r>
                </w:p>
              </w:tc>
              <w:tc>
                <w:tcPr>
                  <w:tcW w:w="3625" w:type="dxa"/>
                </w:tcPr>
                <w:p>
                  <w:r>
                    <w:rPr>
                      <w:rFonts w:hint="eastAsia"/>
                    </w:rPr>
                    <w:t>☑组织的持续经营、自我发展</w:t>
                  </w:r>
                </w:p>
                <w:p>
                  <w:r>
                    <w:rPr>
                      <w:rFonts w:hint="eastAsia"/>
                      <w:lang w:eastAsia="zh-CN"/>
                    </w:rPr>
                    <w:t>☑</w:t>
                  </w:r>
                  <w:r>
                    <w:rPr>
                      <w:rFonts w:hint="eastAsia"/>
                    </w:rPr>
                    <w:t xml:space="preserve">薪资、福利增加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hint="default" w:eastAsia="宋体"/>
                      <w:lang w:val="en-US" w:eastAsia="zh-CN"/>
                    </w:rPr>
                  </w:pPr>
                  <w:r>
                    <w:rPr>
                      <w:rFonts w:hint="eastAsia"/>
                    </w:rPr>
                    <w:t>☑</w:t>
                  </w:r>
                  <w:r>
                    <w:rPr>
                      <w:rFonts w:hint="eastAsia"/>
                      <w:lang w:val="en-US" w:eastAsia="zh-CN"/>
                    </w:rPr>
                    <w:t>审核机构</w:t>
                  </w:r>
                </w:p>
              </w:tc>
              <w:tc>
                <w:tcPr>
                  <w:tcW w:w="3805" w:type="dxa"/>
                </w:tcPr>
                <w:p>
                  <w:pPr>
                    <w:rPr>
                      <w:rFonts w:hint="default" w:eastAsia="宋体"/>
                      <w:lang w:val="en-US" w:eastAsia="zh-CN"/>
                    </w:rPr>
                  </w:pPr>
                  <w:r>
                    <w:rPr>
                      <w:rFonts w:hint="eastAsia"/>
                      <w:lang w:val="en-US" w:eastAsia="zh-CN"/>
                    </w:rPr>
                    <w:t>第三方认证公司</w:t>
                  </w:r>
                </w:p>
              </w:tc>
              <w:tc>
                <w:tcPr>
                  <w:tcW w:w="3625" w:type="dxa"/>
                </w:tcPr>
                <w:p>
                  <w:pPr>
                    <w:rPr>
                      <w:rFonts w:hint="eastAsia"/>
                    </w:rPr>
                  </w:pPr>
                  <w:r>
                    <w:rPr>
                      <w:rFonts w:hint="eastAsia"/>
                    </w:rPr>
                    <w:t>☑公司体系运作的有效性、充分性和符合性</w:t>
                  </w: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r>
                    <w:rPr>
                      <w:rFonts w:hint="eastAsia"/>
                    </w:rPr>
                    <w:t>□其他</w:t>
                  </w:r>
                </w:p>
              </w:tc>
              <w:tc>
                <w:tcPr>
                  <w:tcW w:w="3805" w:type="dxa"/>
                </w:tcPr>
                <w:p/>
              </w:tc>
              <w:tc>
                <w:tcPr>
                  <w:tcW w:w="3625" w:type="dxa"/>
                </w:tcPr>
                <w:p/>
              </w:tc>
            </w:tr>
          </w:tbl>
          <w:p>
            <w:pPr>
              <w:rPr>
                <w:color w:val="000000"/>
                <w:szCs w:val="21"/>
              </w:rPr>
            </w:pPr>
          </w:p>
          <w:p>
            <w:pPr>
              <w:rPr>
                <w:color w:val="000000"/>
                <w:szCs w:val="21"/>
              </w:rPr>
            </w:pPr>
            <w:r>
              <w:rPr>
                <w:rFonts w:hint="eastAsia"/>
                <w:color w:val="000000"/>
                <w:szCs w:val="21"/>
              </w:rPr>
              <w:t>主要证据体现在</w:t>
            </w:r>
            <w:r>
              <w:rPr>
                <w:rFonts w:hint="eastAsia"/>
              </w:rPr>
              <w:t xml:space="preserve"> </w:t>
            </w:r>
            <w:r>
              <w:rPr>
                <w:rFonts w:hint="eastAsia"/>
              </w:rPr>
              <w:sym w:font="Wingdings" w:char="00FE"/>
            </w:r>
            <w:r>
              <w:rPr>
                <w:rFonts w:hint="eastAsia"/>
              </w:rPr>
              <w:t xml:space="preserve">《相关方及相关方要求清单》  </w:t>
            </w:r>
            <w:r>
              <w:rPr>
                <w:rFonts w:hint="eastAsia"/>
              </w:rPr>
              <w:sym w:font="Wingdings" w:char="00A8"/>
            </w:r>
            <w:r>
              <w:rPr>
                <w:rFonts w:hint="eastAsia"/>
              </w:rPr>
              <w:t xml:space="preserve">《年度业务计划》 </w:t>
            </w:r>
            <w:r>
              <w:rPr>
                <w:rFonts w:hint="eastAsia"/>
              </w:rPr>
              <w:sym w:font="Wingdings" w:char="00A8"/>
            </w:r>
            <w:r>
              <w:rPr>
                <w:rFonts w:hint="eastAsia"/>
              </w:rPr>
              <w:t>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确定质量管理体系的范围</w:t>
            </w:r>
          </w:p>
        </w:tc>
        <w:tc>
          <w:tcPr>
            <w:tcW w:w="960" w:type="dxa"/>
            <w:vMerge w:val="restart"/>
          </w:tcPr>
          <w:p>
            <w:r>
              <w:rPr>
                <w:rFonts w:hint="eastAsia"/>
              </w:rPr>
              <w:t>Q4.3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管理手册第4.3章和</w:t>
            </w:r>
            <w:r>
              <w:rPr>
                <w:rFonts w:hint="eastAsia"/>
              </w:rPr>
              <w:sym w:font="Wingdings" w:char="00FE"/>
            </w:r>
            <w:r>
              <w:rPr>
                <w:rFonts w:hint="eastAsia"/>
              </w:rPr>
              <w:t>“公司介绍”</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组织应明确相关管理体系的范围；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dxa"/>
                </w:tcPr>
                <w:p>
                  <w:r>
                    <w:rPr>
                      <w:rFonts w:hint="eastAsia"/>
                    </w:rPr>
                    <w:t>范围的项目</w:t>
                  </w:r>
                </w:p>
              </w:tc>
              <w:tc>
                <w:tcPr>
                  <w:tcW w:w="7132" w:type="dxa"/>
                </w:tcPr>
                <w:p>
                  <w:r>
                    <w:rPr>
                      <w:rFonts w:hint="eastAsia"/>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产品/服务的活动</w:t>
                  </w:r>
                </w:p>
              </w:tc>
              <w:tc>
                <w:tcPr>
                  <w:tcW w:w="7132" w:type="dxa"/>
                </w:tcPr>
                <w:p>
                  <w:bookmarkStart w:id="1" w:name="审核范围"/>
                  <w:r>
                    <w:rPr>
                      <w:rFonts w:hint="eastAsia" w:ascii="宋体" w:hAnsi="宋体"/>
                      <w:szCs w:val="21"/>
                    </w:rPr>
                    <w:t>资质范围内灭火设备的生产</w:t>
                  </w:r>
                  <w:bookmarkEnd w:id="1"/>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注册地址</w:t>
                  </w:r>
                </w:p>
              </w:tc>
              <w:tc>
                <w:tcPr>
                  <w:tcW w:w="7132" w:type="dxa"/>
                </w:tcPr>
                <w:p>
                  <w:bookmarkStart w:id="2" w:name="生产地址"/>
                  <w:r>
                    <w:t>福建省南安市扶茂工业园后畲180号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经营地址</w:t>
                  </w:r>
                </w:p>
              </w:tc>
              <w:tc>
                <w:tcPr>
                  <w:tcW w:w="7132" w:type="dxa"/>
                </w:tcPr>
                <w:p>
                  <w:r>
                    <w:t>福建省南安市扶茂工业园后畲180号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组织单元（部门/分支）</w:t>
                  </w:r>
                </w:p>
              </w:tc>
              <w:tc>
                <w:tcPr>
                  <w:tcW w:w="7132" w:type="dxa"/>
                </w:tcPr>
                <w:p>
                  <w:r>
                    <w:rPr>
                      <w:rFonts w:hint="eastAsia"/>
                    </w:rPr>
                    <w:sym w:font="Wingdings" w:char="00FE"/>
                  </w:r>
                  <w:r>
                    <w:rPr>
                      <w:rFonts w:hint="eastAsia"/>
                    </w:rPr>
                    <w:t>与组织结构图一致</w:t>
                  </w:r>
                </w:p>
                <w:p>
                  <w:pPr>
                    <w:rPr>
                      <w:u w:val="single"/>
                    </w:rPr>
                  </w:pPr>
                  <w:r>
                    <w:rPr>
                      <w:rFonts w:hint="eastAsia"/>
                    </w:rPr>
                    <w:sym w:font="Wingdings" w:char="00A8"/>
                  </w:r>
                  <w:r>
                    <w:rPr>
                      <w:rFonts w:hint="eastAsia"/>
                    </w:rPr>
                    <w:t xml:space="preserve">分支机构，如： </w:t>
                  </w:r>
                  <w:r>
                    <w:rPr>
                      <w:rFonts w:hint="eastAsia"/>
                      <w:u w:val="single"/>
                    </w:rPr>
                    <w:t xml:space="preserve">                  </w:t>
                  </w:r>
                </w:p>
                <w:p>
                  <w:r>
                    <w:rPr>
                      <w:rFonts w:hint="eastAsia"/>
                    </w:rPr>
                    <w:sym w:font="Wingdings" w:char="00A8"/>
                  </w:r>
                  <w:r>
                    <w:rPr>
                      <w:rFonts w:hint="eastAsia"/>
                    </w:rPr>
                    <w:t xml:space="preserve">临时场所，如：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r>
                    <w:rPr>
                      <w:rFonts w:hint="eastAsia"/>
                    </w:rPr>
                    <w:t>时间</w:t>
                  </w:r>
                </w:p>
              </w:tc>
              <w:tc>
                <w:tcPr>
                  <w:tcW w:w="7132" w:type="dxa"/>
                </w:tcPr>
                <w:p>
                  <w:r>
                    <w:rPr>
                      <w:rFonts w:hint="eastAsia"/>
                    </w:rPr>
                    <w:sym w:font="Wingdings" w:char="00FE"/>
                  </w:r>
                  <w:r>
                    <w:rPr>
                      <w:rFonts w:hint="eastAsia"/>
                    </w:rPr>
                    <w:t xml:space="preserve"> 体系建立以来</w:t>
                  </w:r>
                </w:p>
                <w:p>
                  <w:r>
                    <w:rPr>
                      <w:rFonts w:hint="eastAsia"/>
                    </w:rPr>
                    <w:sym w:font="Wingdings" w:char="00A8"/>
                  </w:r>
                  <w:r>
                    <w:rPr>
                      <w:rFonts w:hint="eastAsia"/>
                    </w:rPr>
                    <w:t>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不适用ISO9001的条款</w:t>
                  </w:r>
                </w:p>
              </w:tc>
              <w:tc>
                <w:tcPr>
                  <w:tcW w:w="7132" w:type="dxa"/>
                </w:tcPr>
                <w:p>
                  <w:r>
                    <w:rPr>
                      <w:rFonts w:hint="eastAsia"/>
                    </w:rPr>
                    <w:sym w:font="Wingdings" w:char="00FE"/>
                  </w:r>
                  <w:r>
                    <w:rPr>
                      <w:rFonts w:hint="eastAsia"/>
                    </w:rPr>
                    <w:t>8.3产品和服务的设计和开发</w:t>
                  </w:r>
                </w:p>
                <w:p>
                  <w:r>
                    <w:rPr>
                      <w:rFonts w:hint="eastAsia"/>
                    </w:rPr>
                    <w:sym w:font="Wingdings" w:char="00A8"/>
                  </w:r>
                  <w:r>
                    <w:rPr>
                      <w:rFonts w:hint="eastAsia"/>
                    </w:rPr>
                    <w:t>无不适用条款</w:t>
                  </w:r>
                </w:p>
                <w:p>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rPr>
                      <w:szCs w:val="24"/>
                    </w:rPr>
                  </w:pPr>
                  <w:r>
                    <w:rPr>
                      <w:rFonts w:hint="eastAsia"/>
                    </w:rPr>
                    <w:t>不适用的理由（可多选）</w:t>
                  </w:r>
                </w:p>
              </w:tc>
              <w:tc>
                <w:tcPr>
                  <w:tcW w:w="7132" w:type="dxa"/>
                  <w:vAlign w:val="center"/>
                </w:tcPr>
                <w:p>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bl>
          <w:p/>
          <w:p>
            <w:pPr>
              <w:rPr>
                <w:color w:val="000000"/>
                <w:szCs w:val="21"/>
              </w:rPr>
            </w:pPr>
            <w:r>
              <w:rPr>
                <w:rFonts w:hint="eastAsia"/>
                <w:color w:val="000000"/>
                <w:szCs w:val="21"/>
              </w:rPr>
              <w:t>在企业的管理手册中有描述。</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质量管理体系及其过程</w:t>
            </w:r>
          </w:p>
        </w:tc>
        <w:tc>
          <w:tcPr>
            <w:tcW w:w="960" w:type="dxa"/>
            <w:vMerge w:val="restart"/>
          </w:tcPr>
          <w:p>
            <w:r>
              <w:rPr>
                <w:rFonts w:hint="eastAsia"/>
              </w:rPr>
              <w:t xml:space="preserve">Q4.4 </w:t>
            </w:r>
          </w:p>
        </w:tc>
        <w:tc>
          <w:tcPr>
            <w:tcW w:w="745" w:type="dxa"/>
          </w:tcPr>
          <w:p>
            <w:r>
              <w:rPr>
                <w:rFonts w:hint="eastAsia"/>
              </w:rPr>
              <w:t>文件名称</w:t>
            </w:r>
          </w:p>
        </w:tc>
        <w:tc>
          <w:tcPr>
            <w:tcW w:w="9259" w:type="dxa"/>
          </w:tcPr>
          <w:p>
            <w:r>
              <w:rPr>
                <w:rFonts w:hint="eastAsia"/>
              </w:rPr>
              <w:t>如：☑管理手册第4.4章和</w:t>
            </w:r>
            <w:r>
              <w:rPr>
                <w:rFonts w:hint="eastAsia"/>
                <w:lang w:eastAsia="zh-CN"/>
              </w:rPr>
              <w:t>☑</w:t>
            </w:r>
            <w:r>
              <w:rPr>
                <w:rFonts w:hint="eastAsia"/>
              </w:rPr>
              <w:t>《过程风险与机遇评价与应对策划表》</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spacing w:before="40" w:after="40"/>
              <w:rPr>
                <w:lang w:val="en-GB"/>
              </w:rPr>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pP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rPr>
                <w:b/>
                <w:bCs/>
              </w:rPr>
            </w:pPr>
            <w:r>
              <w:rPr>
                <w:rFonts w:hint="eastAsia"/>
              </w:rPr>
              <w:t xml:space="preserve">☑订单评审过程 ☑制造过程 ☑交付和顾客反馈过程 ☑经营计划过程☑内部审核过程 ☑管理评审过程 </w:t>
            </w:r>
            <w:r>
              <w:rPr>
                <w:rFonts w:hint="eastAsia"/>
                <w:lang w:eastAsia="zh-CN"/>
              </w:rPr>
              <w:t>☑</w:t>
            </w:r>
            <w:r>
              <w:rPr>
                <w:rFonts w:hint="eastAsia"/>
              </w:rPr>
              <w:t xml:space="preserve">文件记录管理过程 ☑人力资源管理过程 ☑采购过程 ☑检验过程 </w:t>
            </w:r>
            <w:r>
              <w:rPr>
                <w:rFonts w:hint="eastAsia"/>
                <w:lang w:eastAsia="zh-CN"/>
              </w:rPr>
              <w:t>☑</w:t>
            </w:r>
            <w:r>
              <w:rPr>
                <w:rFonts w:hint="eastAsia"/>
              </w:rPr>
              <w:t>设备工装管理过程☑检验设备管理过程☑不合格管理过程☑改进过程</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□新产品设计开发 □原材料订制 </w:t>
            </w:r>
            <w:r>
              <w:rPr>
                <w:rFonts w:hint="eastAsia"/>
                <w:lang w:eastAsia="zh-CN"/>
              </w:rPr>
              <w:t>□</w:t>
            </w:r>
            <w:r>
              <w:rPr>
                <w:rFonts w:hint="eastAsia"/>
              </w:rPr>
              <w:t>生产/服务过程 □检验检测 ☑产品运输 □设备维修</w:t>
            </w:r>
          </w:p>
          <w:p>
            <w:pPr>
              <w:spacing w:before="40" w:after="40"/>
            </w:pPr>
            <w:r>
              <w:rPr>
                <w:rFonts w:hint="eastAsia"/>
              </w:rPr>
              <w:t>□人员培训 □其他</w:t>
            </w:r>
          </w:p>
          <w:p>
            <w:pPr>
              <w:rPr>
                <w:highlight w:val="cyan"/>
              </w:rPr>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领导作用与承诺</w:t>
            </w:r>
          </w:p>
        </w:tc>
        <w:tc>
          <w:tcPr>
            <w:tcW w:w="960" w:type="dxa"/>
            <w:vMerge w:val="restart"/>
          </w:tcPr>
          <w:p>
            <w:r>
              <w:rPr>
                <w:rFonts w:hint="eastAsia"/>
              </w:rPr>
              <w:t>Q5.1  </w:t>
            </w:r>
          </w:p>
        </w:tc>
        <w:tc>
          <w:tcPr>
            <w:tcW w:w="745" w:type="dxa"/>
          </w:tcPr>
          <w:p>
            <w:r>
              <w:rPr>
                <w:rFonts w:hint="eastAsia"/>
              </w:rPr>
              <w:t>文件名称</w:t>
            </w:r>
          </w:p>
        </w:tc>
        <w:tc>
          <w:tcPr>
            <w:tcW w:w="9259" w:type="dxa"/>
          </w:tcPr>
          <w:p>
            <w:r>
              <w:rPr>
                <w:rFonts w:hint="eastAsia"/>
              </w:rPr>
              <w:t>如：☑管理手册第5.1章和☑“总经理岗位职责”</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与最高管理者沟通其领导作用与承诺：</w:t>
            </w:r>
          </w:p>
          <w:p>
            <w:pPr>
              <w:rPr>
                <w:color w:val="000000"/>
                <w:szCs w:val="21"/>
              </w:rPr>
            </w:pPr>
            <w:r>
              <w:rPr>
                <w:rFonts w:hint="eastAsia"/>
                <w:color w:val="000000"/>
                <w:szCs w:val="21"/>
              </w:rPr>
              <w:sym w:font="Wingdings" w:char="00FE"/>
            </w:r>
            <w:r>
              <w:rPr>
                <w:rFonts w:hint="eastAsia"/>
                <w:color w:val="000000"/>
                <w:szCs w:val="21"/>
              </w:rPr>
              <w:t xml:space="preserve">对质量管理体系的有效性承担责任； </w:t>
            </w:r>
          </w:p>
          <w:p>
            <w:pPr>
              <w:rPr>
                <w:color w:val="000000"/>
                <w:szCs w:val="21"/>
              </w:rPr>
            </w:pPr>
            <w:r>
              <w:rPr>
                <w:rFonts w:hint="eastAsia"/>
                <w:color w:val="000000"/>
                <w:szCs w:val="21"/>
              </w:rPr>
              <w:sym w:font="Wingdings" w:char="00FE"/>
            </w:r>
            <w:r>
              <w:rPr>
                <w:rFonts w:hint="eastAsia"/>
                <w:color w:val="000000"/>
                <w:szCs w:val="21"/>
              </w:rPr>
              <w:t xml:space="preserve">确保制定质量管理体系的质量方针和质量目标，并与组织的环境和战略方向相一致； </w:t>
            </w:r>
          </w:p>
          <w:p>
            <w:pPr>
              <w:rPr>
                <w:color w:val="000000"/>
                <w:szCs w:val="21"/>
              </w:rPr>
            </w:pPr>
            <w:r>
              <w:rPr>
                <w:rFonts w:hint="eastAsia"/>
                <w:color w:val="000000"/>
                <w:szCs w:val="21"/>
              </w:rPr>
              <w:sym w:font="Wingdings" w:char="00FE"/>
            </w:r>
            <w:r>
              <w:rPr>
                <w:rFonts w:hint="eastAsia"/>
                <w:color w:val="000000"/>
                <w:szCs w:val="21"/>
              </w:rPr>
              <w:t xml:space="preserve">确保质量管理体系要求融入组织的业务过程；  </w:t>
            </w:r>
          </w:p>
          <w:p>
            <w:pPr>
              <w:rPr>
                <w:color w:val="000000"/>
                <w:szCs w:val="21"/>
              </w:rPr>
            </w:pPr>
            <w:r>
              <w:rPr>
                <w:rFonts w:hint="eastAsia"/>
                <w:color w:val="000000"/>
                <w:szCs w:val="21"/>
              </w:rPr>
              <w:sym w:font="Wingdings" w:char="00FE"/>
            </w:r>
            <w:r>
              <w:rPr>
                <w:rFonts w:hint="eastAsia"/>
                <w:color w:val="000000"/>
                <w:szCs w:val="21"/>
              </w:rPr>
              <w:t xml:space="preserve">促进使用过程方法和基于风险的思维； </w:t>
            </w:r>
          </w:p>
          <w:p>
            <w:pPr>
              <w:rPr>
                <w:color w:val="000000"/>
                <w:szCs w:val="21"/>
              </w:rPr>
            </w:pPr>
            <w:r>
              <w:rPr>
                <w:rFonts w:hint="eastAsia"/>
                <w:color w:val="000000"/>
                <w:szCs w:val="21"/>
              </w:rPr>
              <w:sym w:font="Wingdings" w:char="00FE"/>
            </w:r>
            <w:r>
              <w:rPr>
                <w:rFonts w:hint="eastAsia"/>
                <w:color w:val="000000"/>
                <w:szCs w:val="21"/>
              </w:rPr>
              <w:t xml:space="preserve">确保质量管理体系所需的资源是可用的； </w:t>
            </w:r>
          </w:p>
          <w:p>
            <w:pPr>
              <w:rPr>
                <w:color w:val="000000"/>
                <w:szCs w:val="21"/>
              </w:rPr>
            </w:pPr>
            <w:r>
              <w:rPr>
                <w:rFonts w:hint="eastAsia"/>
                <w:color w:val="000000"/>
                <w:szCs w:val="21"/>
              </w:rPr>
              <w:sym w:font="Wingdings" w:char="00FE"/>
            </w:r>
            <w:r>
              <w:rPr>
                <w:rFonts w:hint="eastAsia"/>
                <w:color w:val="000000"/>
                <w:szCs w:val="21"/>
              </w:rPr>
              <w:t>沟通有效的质量管理和符合质量管理体系要求的重要性；</w:t>
            </w:r>
          </w:p>
          <w:p>
            <w:pPr>
              <w:rPr>
                <w:color w:val="000000"/>
                <w:szCs w:val="21"/>
              </w:rPr>
            </w:pPr>
            <w:r>
              <w:rPr>
                <w:rFonts w:hint="eastAsia"/>
                <w:color w:val="000000"/>
                <w:szCs w:val="21"/>
              </w:rPr>
              <w:sym w:font="Wingdings" w:char="00FE"/>
            </w:r>
            <w:r>
              <w:rPr>
                <w:rFonts w:hint="eastAsia"/>
                <w:color w:val="000000"/>
                <w:szCs w:val="21"/>
              </w:rPr>
              <w:t>确保质量管理体系实现其预期结果；</w:t>
            </w:r>
          </w:p>
          <w:p>
            <w:pPr>
              <w:rPr>
                <w:color w:val="000000"/>
                <w:szCs w:val="21"/>
              </w:rPr>
            </w:pPr>
            <w:r>
              <w:rPr>
                <w:rFonts w:hint="eastAsia"/>
                <w:color w:val="000000"/>
                <w:szCs w:val="21"/>
              </w:rPr>
              <w:sym w:font="Wingdings" w:char="00FE"/>
            </w:r>
            <w:r>
              <w:rPr>
                <w:rFonts w:hint="eastAsia"/>
                <w:color w:val="000000"/>
                <w:szCs w:val="21"/>
              </w:rPr>
              <w:t>促使员工积极参与、指导和支持他们为质量管理体系的有效性作出贡献；</w:t>
            </w:r>
          </w:p>
          <w:p>
            <w:pPr>
              <w:rPr>
                <w:color w:val="000000"/>
                <w:szCs w:val="21"/>
              </w:rPr>
            </w:pPr>
            <w:r>
              <w:rPr>
                <w:rFonts w:hint="eastAsia"/>
                <w:color w:val="000000"/>
                <w:szCs w:val="21"/>
              </w:rPr>
              <w:sym w:font="Wingdings" w:char="00FE"/>
            </w:r>
            <w:r>
              <w:rPr>
                <w:rFonts w:hint="eastAsia"/>
                <w:color w:val="000000"/>
                <w:szCs w:val="21"/>
              </w:rPr>
              <w:t>推动改进；</w:t>
            </w:r>
          </w:p>
          <w:p>
            <w:pPr>
              <w:rPr>
                <w:color w:val="000000"/>
                <w:szCs w:val="21"/>
              </w:rPr>
            </w:pPr>
            <w:r>
              <w:rPr>
                <w:rFonts w:hint="eastAsia"/>
                <w:color w:val="000000"/>
                <w:szCs w:val="21"/>
              </w:rPr>
              <w:sym w:font="Wingdings" w:char="00FE"/>
            </w:r>
            <w:r>
              <w:rPr>
                <w:rFonts w:hint="eastAsia"/>
                <w:color w:val="000000"/>
                <w:szCs w:val="21"/>
              </w:rPr>
              <w:t>支持其他相关管理者在其职责范围内发挥领导作用。</w:t>
            </w:r>
          </w:p>
          <w:p>
            <w:pPr>
              <w:rPr>
                <w:color w:val="000000"/>
                <w:szCs w:val="21"/>
              </w:rPr>
            </w:pPr>
          </w:p>
          <w:p>
            <w:pPr>
              <w:rPr>
                <w:color w:val="000000"/>
                <w:szCs w:val="21"/>
              </w:rPr>
            </w:pPr>
            <w:r>
              <w:rPr>
                <w:rFonts w:hint="eastAsia"/>
                <w:color w:val="000000"/>
                <w:szCs w:val="21"/>
              </w:rPr>
              <w:sym w:font="Wingdings" w:char="00FE"/>
            </w:r>
            <w:r>
              <w:rPr>
                <w:rFonts w:hint="eastAsia"/>
                <w:color w:val="000000"/>
                <w:szCs w:val="21"/>
              </w:rPr>
              <w:t xml:space="preserve"> 覆盖了标准第5.1章的全面要求，</w:t>
            </w:r>
            <w:r>
              <w:rPr>
                <w:rFonts w:hint="eastAsia"/>
                <w:color w:val="000000"/>
                <w:szCs w:val="21"/>
              </w:rPr>
              <w:sym w:font="Wingdings" w:char="00A8"/>
            </w:r>
            <w:r>
              <w:rPr>
                <w:rFonts w:hint="eastAsia"/>
                <w:color w:val="000000"/>
                <w:szCs w:val="21"/>
              </w:rPr>
              <w:t xml:space="preserve"> 未覆盖标准第5.1章的全面要求，缺少：</w:t>
            </w:r>
            <w:r>
              <w:rPr>
                <w:rFonts w:hint="eastAsia"/>
                <w:color w:val="000000"/>
                <w:szCs w:val="21"/>
                <w:u w:val="single"/>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以顾客为关注焦点</w:t>
            </w:r>
          </w:p>
          <w:p/>
        </w:tc>
        <w:tc>
          <w:tcPr>
            <w:tcW w:w="960" w:type="dxa"/>
            <w:vMerge w:val="restart"/>
          </w:tcPr>
          <w:p>
            <w:r>
              <w:rPr>
                <w:rFonts w:hint="eastAsia"/>
              </w:rPr>
              <w:t>Q5.1.2  </w:t>
            </w:r>
          </w:p>
        </w:tc>
        <w:tc>
          <w:tcPr>
            <w:tcW w:w="745" w:type="dxa"/>
          </w:tcPr>
          <w:p>
            <w:r>
              <w:rPr>
                <w:rFonts w:hint="eastAsia"/>
              </w:rPr>
              <w:t>文件名称</w:t>
            </w:r>
          </w:p>
        </w:tc>
        <w:tc>
          <w:tcPr>
            <w:tcW w:w="9259" w:type="dxa"/>
          </w:tcPr>
          <w:p>
            <w:r>
              <w:rPr>
                <w:rFonts w:hint="eastAsia"/>
              </w:rPr>
              <w:t>如：☑管理手册第5.1章</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 最高管理者证实其以顾客为关注焦点的领导作用和承诺：</w:t>
            </w:r>
          </w:p>
          <w:p>
            <w:pPr>
              <w:rPr>
                <w:color w:val="000000"/>
                <w:szCs w:val="21"/>
              </w:rPr>
            </w:pPr>
            <w:r>
              <w:rPr>
                <w:rFonts w:hint="eastAsia"/>
              </w:rPr>
              <w:t>☑</w:t>
            </w:r>
            <w:r>
              <w:rPr>
                <w:rFonts w:hint="eastAsia"/>
                <w:color w:val="000000"/>
                <w:szCs w:val="21"/>
              </w:rPr>
              <w:t xml:space="preserve">确定、理解并持续地满足顾客要求以及适用的法律法规要求； </w:t>
            </w:r>
          </w:p>
          <w:p>
            <w:pPr>
              <w:rPr>
                <w:color w:val="000000"/>
                <w:szCs w:val="21"/>
              </w:rPr>
            </w:pPr>
            <w:r>
              <w:rPr>
                <w:rFonts w:hint="eastAsia"/>
              </w:rPr>
              <w:t>☑</w:t>
            </w:r>
            <w:r>
              <w:rPr>
                <w:rFonts w:hint="eastAsia"/>
                <w:color w:val="000000"/>
                <w:szCs w:val="21"/>
              </w:rPr>
              <w:t xml:space="preserve">确定和应对能够影响产品和服务的符合性以及增强顾客满意能力的风险和机遇； </w:t>
            </w:r>
          </w:p>
          <w:p>
            <w:pPr>
              <w:rPr>
                <w:color w:val="000000"/>
                <w:szCs w:val="21"/>
              </w:rPr>
            </w:pPr>
            <w:r>
              <w:rPr>
                <w:rFonts w:hint="eastAsia"/>
              </w:rPr>
              <w:t>☑</w:t>
            </w:r>
            <w:r>
              <w:rPr>
                <w:rFonts w:hint="eastAsia"/>
                <w:color w:val="000000"/>
                <w:szCs w:val="21"/>
              </w:rPr>
              <w:t xml:space="preserve">始终致力于增强顾客满意。 </w:t>
            </w:r>
          </w:p>
          <w:p>
            <w:pPr>
              <w:rPr>
                <w:color w:val="000000"/>
                <w:szCs w:val="21"/>
              </w:rPr>
            </w:pPr>
            <w:r>
              <w:rPr>
                <w:rFonts w:hint="eastAsia"/>
              </w:rPr>
              <w:t>通过的方式——</w:t>
            </w:r>
          </w:p>
          <w:p>
            <w:pPr>
              <w:rPr>
                <w:color w:val="000000"/>
                <w:szCs w:val="21"/>
              </w:rPr>
            </w:pPr>
            <w:r>
              <w:rPr>
                <w:rFonts w:hint="eastAsia"/>
                <w:color w:val="000000"/>
                <w:szCs w:val="21"/>
              </w:rPr>
              <w:t xml:space="preserve"> </w:t>
            </w:r>
            <w:r>
              <w:rPr>
                <w:rFonts w:hint="eastAsia"/>
              </w:rPr>
              <w:t>☑以身作则 ☑建立机制 ☑法规宣传 ☑风险机遇的应对 ☑重视顾客反馈 ☑目标考核 □其他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方针</w:t>
            </w:r>
          </w:p>
        </w:tc>
        <w:tc>
          <w:tcPr>
            <w:tcW w:w="960" w:type="dxa"/>
            <w:vMerge w:val="restart"/>
          </w:tcPr>
          <w:p>
            <w:r>
              <w:rPr>
                <w:rFonts w:hint="eastAsia"/>
              </w:rPr>
              <w:t>Q5.2  </w:t>
            </w:r>
          </w:p>
        </w:tc>
        <w:tc>
          <w:tcPr>
            <w:tcW w:w="745" w:type="dxa"/>
          </w:tcPr>
          <w:p>
            <w:r>
              <w:rPr>
                <w:rFonts w:hint="eastAsia"/>
              </w:rPr>
              <w:t>文件名称</w:t>
            </w:r>
          </w:p>
        </w:tc>
        <w:tc>
          <w:tcPr>
            <w:tcW w:w="9259" w:type="dxa"/>
          </w:tcPr>
          <w:p>
            <w:r>
              <w:rPr>
                <w:rFonts w:hint="eastAsia"/>
              </w:rPr>
              <w:t>如：☑管理手册第5.2章 ☑质量方针</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u w:val="single"/>
              </w:rPr>
            </w:pPr>
            <w:r>
              <w:rPr>
                <w:rFonts w:hint="eastAsia"/>
                <w:color w:val="000000"/>
                <w:szCs w:val="21"/>
              </w:rPr>
              <w:t xml:space="preserve"> </w:t>
            </w:r>
            <w:r>
              <w:rPr>
                <w:rFonts w:hint="eastAsia"/>
              </w:rPr>
              <w:t>最高管理者制定了文件化的管理体系方针：</w:t>
            </w:r>
          </w:p>
          <w:p>
            <w:pPr>
              <w:ind w:left="480"/>
              <w:rPr>
                <w:u w:val="single"/>
              </w:rPr>
            </w:pPr>
            <w:r>
              <w:rPr>
                <w:rFonts w:hint="eastAsia"/>
                <w:u w:val="single"/>
              </w:rPr>
              <w:t xml:space="preserve">          </w:t>
            </w:r>
            <w:r>
              <w:rPr>
                <w:rFonts w:hint="eastAsia"/>
                <w:szCs w:val="22"/>
                <w:u w:val="single"/>
              </w:rPr>
              <w:t xml:space="preserve"> </w:t>
            </w:r>
            <w:r>
              <w:rPr>
                <w:rFonts w:hint="eastAsia"/>
                <w:color w:val="000000"/>
                <w:szCs w:val="18"/>
                <w:u w:val="single"/>
              </w:rPr>
              <w:t>质量为本、服务至上、持续改进、用户满意</w:t>
            </w:r>
            <w:r>
              <w:rPr>
                <w:rFonts w:hint="eastAsia"/>
                <w:b/>
                <w:bCs/>
                <w:u w:val="single"/>
              </w:rPr>
              <w:t xml:space="preserve"> </w:t>
            </w:r>
            <w:r>
              <w:rPr>
                <w:rFonts w:hint="eastAsia"/>
                <w:u w:val="single"/>
              </w:rPr>
              <w:t xml:space="preserve">                                                        </w:t>
            </w:r>
          </w:p>
          <w:p>
            <w:r>
              <w:rPr>
                <w:rFonts w:hint="eastAsia"/>
              </w:rPr>
              <w:t>☑适应组织的宗旨和环境并支持其战略方向</w:t>
            </w:r>
          </w:p>
          <w:p>
            <w:pPr>
              <w:rPr>
                <w:lang w:val="en-GB"/>
              </w:rPr>
            </w:pPr>
            <w:r>
              <w:rPr>
                <w:rFonts w:hint="eastAsia"/>
              </w:rPr>
              <w:t>☑</w:t>
            </w:r>
            <w:r>
              <w:rPr>
                <w:rFonts w:hint="eastAsia"/>
                <w:lang w:val="en-GB"/>
              </w:rPr>
              <w:t>质量方针合理恰当并为相应的质量目标提供了框架。</w:t>
            </w:r>
          </w:p>
          <w:p>
            <w:r>
              <w:rPr>
                <w:rFonts w:hint="eastAsia"/>
              </w:rPr>
              <w:t xml:space="preserve">☑包括满足适用要求的承诺； </w:t>
            </w:r>
          </w:p>
          <w:p>
            <w:pPr>
              <w:rPr>
                <w:lang w:val="en-GB"/>
              </w:rPr>
            </w:pPr>
            <w:r>
              <w:rPr>
                <w:rFonts w:hint="eastAsia"/>
              </w:rPr>
              <w:t>☑包括持续改进质量管理体系的承诺</w:t>
            </w:r>
          </w:p>
          <w:p/>
          <w:p>
            <w:r>
              <w:rPr>
                <w:rFonts w:hint="eastAsia"/>
              </w:rPr>
              <w:t>☑在组织内得到沟通、理解和应用，通过：</w:t>
            </w:r>
            <w:r>
              <w:rPr>
                <w:rFonts w:hint="eastAsia"/>
              </w:rPr>
              <w:sym w:font="Wingdings" w:char="00FE"/>
            </w:r>
            <w:r>
              <w:rPr>
                <w:rFonts w:hint="eastAsia"/>
              </w:rPr>
              <w:t xml:space="preserve">展板  </w:t>
            </w:r>
            <w:r>
              <w:rPr>
                <w:rFonts w:hint="eastAsia"/>
              </w:rPr>
              <w:sym w:font="Wingdings" w:char="00FE"/>
            </w:r>
            <w:r>
              <w:rPr>
                <w:rFonts w:hint="eastAsia"/>
              </w:rPr>
              <w:t xml:space="preserve">标语  </w:t>
            </w:r>
            <w:r>
              <w:rPr>
                <w:rFonts w:hint="eastAsia"/>
              </w:rPr>
              <w:sym w:font="Wingdings" w:char="00FE"/>
            </w:r>
            <w:r>
              <w:rPr>
                <w:rFonts w:hint="eastAsia"/>
              </w:rPr>
              <w:t xml:space="preserve">会议  </w:t>
            </w:r>
            <w:r>
              <w:rPr>
                <w:rFonts w:hint="eastAsia"/>
              </w:rPr>
              <w:sym w:font="Wingdings" w:char="00FE"/>
            </w:r>
            <w:r>
              <w:rPr>
                <w:rFonts w:hint="eastAsia"/>
              </w:rPr>
              <w:t xml:space="preserve">文件发放   </w:t>
            </w:r>
            <w:r>
              <w:rPr>
                <w:rFonts w:hint="eastAsia"/>
              </w:rPr>
              <w:sym w:font="Wingdings" w:char="00A8"/>
            </w:r>
            <w:r>
              <w:rPr>
                <w:rFonts w:hint="eastAsia"/>
              </w:rPr>
              <w:t xml:space="preserve">其他  </w:t>
            </w:r>
          </w:p>
          <w:p>
            <w:r>
              <w:rPr>
                <w:rFonts w:hint="eastAsia"/>
              </w:rPr>
              <w:t>☑在相关方有需要时提供。通过：</w:t>
            </w:r>
            <w:r>
              <w:rPr>
                <w:rFonts w:hint="eastAsia"/>
              </w:rPr>
              <w:sym w:font="Wingdings" w:char="00FE"/>
            </w:r>
            <w:r>
              <w:rPr>
                <w:rFonts w:hint="eastAsia"/>
              </w:rPr>
              <w:t xml:space="preserve">网站 </w:t>
            </w:r>
            <w:r>
              <w:rPr>
                <w:rFonts w:hint="eastAsia"/>
              </w:rPr>
              <w:sym w:font="Wingdings" w:char="00FE"/>
            </w:r>
            <w:r>
              <w:rPr>
                <w:rFonts w:hint="eastAsia"/>
              </w:rPr>
              <w:t xml:space="preserve">宣传册 </w:t>
            </w:r>
            <w:r>
              <w:rPr>
                <w:rFonts w:hint="eastAsia"/>
              </w:rPr>
              <w:sym w:font="Wingdings" w:char="00A8"/>
            </w:r>
            <w:r>
              <w:rPr>
                <w:rFonts w:hint="eastAsia"/>
              </w:rPr>
              <w:t>其他</w:t>
            </w: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组织的岗位、职责和权限</w:t>
            </w:r>
          </w:p>
          <w:p/>
        </w:tc>
        <w:tc>
          <w:tcPr>
            <w:tcW w:w="960" w:type="dxa"/>
            <w:vMerge w:val="restart"/>
          </w:tcPr>
          <w:p>
            <w:r>
              <w:rPr>
                <w:rFonts w:hint="eastAsia"/>
              </w:rPr>
              <w:t>Q5.3  </w:t>
            </w:r>
          </w:p>
        </w:tc>
        <w:tc>
          <w:tcPr>
            <w:tcW w:w="745" w:type="dxa"/>
          </w:tcPr>
          <w:p>
            <w:r>
              <w:rPr>
                <w:rFonts w:hint="eastAsia"/>
              </w:rPr>
              <w:t>文件名称</w:t>
            </w:r>
          </w:p>
        </w:tc>
        <w:tc>
          <w:tcPr>
            <w:tcW w:w="9259" w:type="dxa"/>
          </w:tcPr>
          <w:p>
            <w:pPr>
              <w:jc w:val="left"/>
              <w:rPr>
                <w:rFonts w:hint="eastAsia" w:eastAsia="宋体"/>
                <w:lang w:eastAsia="zh-CN"/>
              </w:rPr>
            </w:pPr>
            <w:r>
              <w:rPr>
                <w:rFonts w:hint="eastAsia"/>
              </w:rPr>
              <w:t>如：☑管理手册第5.3章</w:t>
            </w:r>
            <w:r>
              <w:rPr>
                <w:rFonts w:hint="eastAsia"/>
                <w:lang w:eastAsia="zh-CN"/>
              </w:rPr>
              <w:t>，</w:t>
            </w:r>
            <w:r>
              <w:rPr>
                <w:rFonts w:hint="eastAsia"/>
              </w:rPr>
              <w:t>☑</w:t>
            </w:r>
            <w:r>
              <w:rPr>
                <w:rFonts w:hint="eastAsia"/>
                <w:lang w:eastAsia="zh-CN"/>
              </w:rPr>
              <w:t>《</w:t>
            </w:r>
            <w:r>
              <w:rPr>
                <w:rFonts w:hint="eastAsia"/>
                <w:szCs w:val="22"/>
              </w:rPr>
              <w:t>岗位职责及任职要求</w:t>
            </w:r>
            <w:r>
              <w:rPr>
                <w:rFonts w:hint="eastAsia"/>
                <w:lang w:eastAsia="zh-CN"/>
              </w:rPr>
              <w:t>》</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最高管理者确定了组织架构及相关岗位的职责、权限，并进行了全员的沟通和理解；</w:t>
            </w:r>
          </w:p>
          <w:p>
            <w:r>
              <w:rPr>
                <w:rFonts w:hint="eastAsia"/>
              </w:rPr>
              <w:t>如：</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0" w:type="dxa"/>
                </w:tcPr>
                <w:p>
                  <w:pPr>
                    <w:rPr>
                      <w:rFonts w:hint="eastAsia" w:eastAsia="宋体"/>
                      <w:lang w:val="en-US" w:eastAsia="zh-CN"/>
                    </w:rPr>
                  </w:pPr>
                  <w:r>
                    <w:rPr>
                      <w:rFonts w:hint="eastAsia"/>
                    </w:rPr>
                    <w:t>过程</w:t>
                  </w:r>
                  <w:r>
                    <w:rPr>
                      <w:rFonts w:hint="eastAsia"/>
                      <w:lang w:val="en-US" w:eastAsia="zh-CN"/>
                    </w:rPr>
                    <w:t>名称</w:t>
                  </w:r>
                </w:p>
              </w:tc>
              <w:tc>
                <w:tcPr>
                  <w:tcW w:w="2261" w:type="dxa"/>
                </w:tcPr>
                <w:p>
                  <w:r>
                    <w:rPr>
                      <w:rFonts w:hint="eastAsia"/>
                    </w:rPr>
                    <w:t>主管部门名称</w:t>
                  </w:r>
                </w:p>
              </w:tc>
              <w:tc>
                <w:tcPr>
                  <w:tcW w:w="2261" w:type="dxa"/>
                </w:tcPr>
                <w:p>
                  <w:r>
                    <w:rPr>
                      <w:rFonts w:hint="eastAsia"/>
                    </w:rPr>
                    <w:t>过程名称</w:t>
                  </w:r>
                </w:p>
              </w:tc>
              <w:tc>
                <w:tcPr>
                  <w:tcW w:w="2261" w:type="dxa"/>
                </w:tcPr>
                <w:p>
                  <w:r>
                    <w:rPr>
                      <w:rFonts w:hint="eastAsia"/>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lang w:val="en-US" w:eastAsia="zh-CN"/>
                    </w:rPr>
                    <w:t>生产</w:t>
                  </w:r>
                  <w:r>
                    <w:rPr>
                      <w:rFonts w:hint="eastAsia"/>
                    </w:rPr>
                    <w:t>过程</w:t>
                  </w:r>
                </w:p>
              </w:tc>
              <w:tc>
                <w:tcPr>
                  <w:tcW w:w="2261" w:type="dxa"/>
                </w:tcPr>
                <w:p>
                  <w:r>
                    <w:rPr>
                      <w:rFonts w:hint="eastAsia"/>
                      <w:lang w:val="en-US" w:eastAsia="zh-CN"/>
                    </w:rPr>
                    <w:t>生产部</w:t>
                  </w:r>
                  <w:r>
                    <w:rPr>
                      <w:rFonts w:hint="eastAsia"/>
                    </w:rPr>
                    <w:t>部</w:t>
                  </w:r>
                </w:p>
              </w:tc>
              <w:tc>
                <w:tcPr>
                  <w:tcW w:w="2261" w:type="dxa"/>
                </w:tcPr>
                <w:p>
                  <w:r>
                    <w:rPr>
                      <w:rFonts w:hint="eastAsia"/>
                    </w:rPr>
                    <w:t>人力资源管理过程</w:t>
                  </w:r>
                </w:p>
              </w:tc>
              <w:tc>
                <w:tcPr>
                  <w:tcW w:w="2261" w:type="dxa"/>
                </w:tcPr>
                <w:p>
                  <w:pPr>
                    <w:rPr>
                      <w:rFonts w:hint="eastAsia" w:eastAsia="宋体"/>
                      <w:lang w:eastAsia="zh-CN"/>
                    </w:rPr>
                  </w:pP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顾客满意调查分析</w:t>
                  </w:r>
                </w:p>
              </w:tc>
              <w:tc>
                <w:tcPr>
                  <w:tcW w:w="2261" w:type="dxa"/>
                </w:tcPr>
                <w:p>
                  <w:r>
                    <w:rPr>
                      <w:rFonts w:hint="eastAsia"/>
                      <w:lang w:val="en-US" w:eastAsia="zh-CN"/>
                    </w:rPr>
                    <w:t>业务</w:t>
                  </w:r>
                  <w:r>
                    <w:rPr>
                      <w:rFonts w:hint="eastAsia"/>
                    </w:rPr>
                    <w:t>部</w:t>
                  </w:r>
                </w:p>
              </w:tc>
              <w:tc>
                <w:tcPr>
                  <w:tcW w:w="2261" w:type="dxa"/>
                  <w:vAlign w:val="top"/>
                </w:tcPr>
                <w:p>
                  <w:r>
                    <w:rPr>
                      <w:rFonts w:hint="eastAsia"/>
                    </w:rPr>
                    <w:t>生产/服务放行过程</w:t>
                  </w:r>
                </w:p>
              </w:tc>
              <w:tc>
                <w:tcPr>
                  <w:tcW w:w="2261" w:type="dxa"/>
                  <w:vAlign w:val="top"/>
                </w:tcPr>
                <w:p>
                  <w:pPr>
                    <w:rPr>
                      <w:rFonts w:hint="default" w:eastAsia="宋体"/>
                      <w:lang w:val="en-US" w:eastAsia="zh-CN"/>
                    </w:rPr>
                  </w:pPr>
                  <w:r>
                    <w:rPr>
                      <w:rFonts w:hint="eastAsia"/>
                      <w:lang w:val="en-US" w:eastAsia="zh-CN"/>
                    </w:rPr>
                    <w:t>生产</w:t>
                  </w:r>
                  <w:r>
                    <w:rPr>
                      <w:rFonts w:hint="eastAsi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r>
                    <w:rPr>
                      <w:rFonts w:hint="eastAsia"/>
                    </w:rPr>
                    <w:t>外部供方控制</w:t>
                  </w:r>
                </w:p>
              </w:tc>
              <w:tc>
                <w:tcPr>
                  <w:tcW w:w="2261" w:type="dxa"/>
                </w:tcPr>
                <w:p>
                  <w:r>
                    <w:rPr>
                      <w:rFonts w:hint="eastAsia"/>
                      <w:lang w:val="en-US" w:eastAsia="zh-CN"/>
                    </w:rPr>
                    <w:t>综合部</w:t>
                  </w:r>
                  <w:r>
                    <w:rPr>
                      <w:rFonts w:hint="eastAsia"/>
                    </w:rPr>
                    <w:t>部</w:t>
                  </w:r>
                </w:p>
              </w:tc>
              <w:tc>
                <w:tcPr>
                  <w:tcW w:w="2261" w:type="dxa"/>
                </w:tcPr>
                <w:p/>
              </w:tc>
              <w:tc>
                <w:tcPr>
                  <w:tcW w:w="2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tc>
              <w:tc>
                <w:tcPr>
                  <w:tcW w:w="2261" w:type="dxa"/>
                </w:tcPr>
                <w:p/>
              </w:tc>
              <w:tc>
                <w:tcPr>
                  <w:tcW w:w="2261" w:type="dxa"/>
                </w:tcPr>
                <w:p/>
              </w:tc>
              <w:tc>
                <w:tcPr>
                  <w:tcW w:w="2261"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应对风险和机遇的措施</w:t>
            </w:r>
          </w:p>
          <w:p/>
        </w:tc>
        <w:tc>
          <w:tcPr>
            <w:tcW w:w="960" w:type="dxa"/>
            <w:vMerge w:val="restart"/>
          </w:tcPr>
          <w:p>
            <w:r>
              <w:rPr>
                <w:rFonts w:hint="eastAsia"/>
                <w:color w:val="000000"/>
                <w:szCs w:val="21"/>
              </w:rPr>
              <w:t>Q6.1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w:t>
            </w:r>
            <w:r>
              <w:rPr>
                <w:rFonts w:hint="eastAsia"/>
                <w:color w:val="000000"/>
                <w:szCs w:val="21"/>
              </w:rPr>
              <w:t>风险识别控制程序</w:t>
            </w:r>
            <w:r>
              <w:rPr>
                <w:rFonts w:hint="eastAsia"/>
              </w:rPr>
              <w:t>》、</w:t>
            </w:r>
            <w:r>
              <w:rPr>
                <w:rFonts w:hint="eastAsia"/>
              </w:rPr>
              <w:sym w:font="Wingdings" w:char="00FE"/>
            </w:r>
            <w:r>
              <w:rPr>
                <w:rFonts w:hint="eastAsia"/>
              </w:rPr>
              <w:t>管理手册第6.1条款</w:t>
            </w:r>
          </w:p>
        </w:tc>
        <w:tc>
          <w:tcPr>
            <w:tcW w:w="1585" w:type="dxa"/>
            <w:vMerge w:val="restart"/>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分析风险的方法：</w:t>
            </w:r>
            <w:r>
              <w:rPr>
                <w:rFonts w:hint="eastAsia"/>
              </w:rPr>
              <w:sym w:font="Wingdings" w:char="00FE"/>
            </w:r>
            <w:r>
              <w:rPr>
                <w:rFonts w:hint="eastAsia"/>
              </w:rPr>
              <w:t xml:space="preserve">头脑风暴法 </w:t>
            </w:r>
            <w:r>
              <w:rPr>
                <w:rFonts w:hint="eastAsia"/>
              </w:rPr>
              <w:sym w:font="Wingdings" w:char="00A8"/>
            </w:r>
            <w:r>
              <w:rPr>
                <w:rFonts w:hint="eastAsia"/>
              </w:rPr>
              <w:t>FMEA（潜在失效模式分析）</w:t>
            </w:r>
            <w:r>
              <w:rPr>
                <w:rFonts w:hint="eastAsia"/>
              </w:rPr>
              <w:sym w:font="Wingdings" w:char="00A8"/>
            </w:r>
            <w:r>
              <w:rPr>
                <w:rFonts w:hint="eastAsia"/>
              </w:rPr>
              <w:t>其他</w:t>
            </w:r>
          </w:p>
          <w:p/>
          <w:p>
            <w:r>
              <w:rPr>
                <w:rFonts w:hint="eastAsia"/>
              </w:rPr>
              <w:t xml:space="preserve">应对风险的措施类型包括： </w:t>
            </w:r>
          </w:p>
          <w:p>
            <w:r>
              <w:rPr>
                <w:rFonts w:hint="eastAsia"/>
              </w:rPr>
              <w:sym w:font="Wingdings" w:char="00FE"/>
            </w:r>
            <w:r>
              <w:rPr>
                <w:rFonts w:hint="eastAsia"/>
              </w:rPr>
              <w:t xml:space="preserve">规避风险 </w:t>
            </w:r>
            <w:r>
              <w:rPr>
                <w:rFonts w:hint="eastAsia"/>
              </w:rPr>
              <w:sym w:font="Wingdings" w:char="00FE"/>
            </w:r>
            <w:r>
              <w:rPr>
                <w:rFonts w:hint="eastAsia"/>
              </w:rPr>
              <w:t>为寻求机遇承担风险、</w:t>
            </w:r>
            <w:r>
              <w:rPr>
                <w:rFonts w:hint="eastAsia"/>
              </w:rPr>
              <w:sym w:font="Wingdings" w:char="00FE"/>
            </w:r>
            <w:r>
              <w:rPr>
                <w:rFonts w:hint="eastAsia"/>
              </w:rPr>
              <w:t xml:space="preserve">消除风险源 </w:t>
            </w:r>
            <w:r>
              <w:rPr>
                <w:rFonts w:hint="eastAsia"/>
              </w:rPr>
              <w:sym w:font="Wingdings" w:char="00FE"/>
            </w:r>
            <w:r>
              <w:rPr>
                <w:rFonts w:hint="eastAsia"/>
              </w:rPr>
              <w:t>改变风险的可能性和后果、</w:t>
            </w:r>
            <w:r>
              <w:rPr>
                <w:rFonts w:hint="eastAsia"/>
              </w:rPr>
              <w:sym w:font="Wingdings" w:char="00FE"/>
            </w:r>
            <w:r>
              <w:rPr>
                <w:rFonts w:hint="eastAsia"/>
              </w:rPr>
              <w:t xml:space="preserve">分担风险 </w:t>
            </w:r>
            <w:r>
              <w:rPr>
                <w:rFonts w:hint="eastAsia"/>
              </w:rPr>
              <w:sym w:font="Wingdings" w:char="00FE"/>
            </w:r>
            <w:r>
              <w:rPr>
                <w:rFonts w:hint="eastAsia"/>
              </w:rPr>
              <w:t xml:space="preserve">通过信息充分的决策而保留风险 </w:t>
            </w:r>
            <w:r>
              <w:rPr>
                <w:rFonts w:hint="eastAsia"/>
              </w:rPr>
              <w:sym w:font="Wingdings" w:char="00A8"/>
            </w:r>
            <w:r>
              <w:rPr>
                <w:rFonts w:hint="eastAsia"/>
              </w:rPr>
              <w:t>其他</w:t>
            </w:r>
          </w:p>
          <w:p/>
          <w:p>
            <w:r>
              <w:rPr>
                <w:rFonts w:hint="eastAsia"/>
              </w:rPr>
              <w:t xml:space="preserve">列举2~3项应对主要风险的描述：         </w:t>
            </w:r>
          </w:p>
          <w:tbl>
            <w:tblPr>
              <w:tblStyle w:val="7"/>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1"/>
              <w:gridCol w:w="53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91" w:type="dxa"/>
                </w:tcPr>
                <w:p>
                  <w:r>
                    <w:rPr>
                      <w:rFonts w:hint="eastAsia"/>
                    </w:rPr>
                    <w:t>主要的风险描述</w:t>
                  </w:r>
                </w:p>
              </w:tc>
              <w:tc>
                <w:tcPr>
                  <w:tcW w:w="5350" w:type="dxa"/>
                </w:tcPr>
                <w:p>
                  <w:pPr>
                    <w:rPr>
                      <w:szCs w:val="24"/>
                    </w:rPr>
                  </w:pPr>
                  <w:r>
                    <w:rPr>
                      <w:rFonts w:hint="eastAsia"/>
                    </w:rPr>
                    <w:t>应对措施</w:t>
                  </w:r>
                </w:p>
              </w:tc>
              <w:tc>
                <w:tcPr>
                  <w:tcW w:w="988"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rFonts w:hint="eastAsia"/>
                      <w:szCs w:val="22"/>
                    </w:rPr>
                  </w:pPr>
                  <w:r>
                    <w:rPr>
                      <w:rFonts w:hint="eastAsia"/>
                      <w:szCs w:val="22"/>
                    </w:rPr>
                    <w:t>1、供应商审核：未审核2、供应商产品审核</w:t>
                  </w:r>
                  <w:r>
                    <w:rPr>
                      <w:rFonts w:hint="eastAsia"/>
                      <w:szCs w:val="22"/>
                      <w:lang w:eastAsia="zh-CN"/>
                    </w:rPr>
                    <w:t>：</w:t>
                  </w:r>
                  <w:r>
                    <w:rPr>
                      <w:rFonts w:hint="eastAsia"/>
                      <w:szCs w:val="22"/>
                    </w:rPr>
                    <w:t>资质过期；3、销售人员资质审核</w:t>
                  </w:r>
                  <w:r>
                    <w:rPr>
                      <w:rFonts w:hint="eastAsia"/>
                      <w:szCs w:val="22"/>
                      <w:lang w:eastAsia="zh-CN"/>
                    </w:rPr>
                    <w:t>：</w:t>
                  </w:r>
                  <w:r>
                    <w:rPr>
                      <w:rFonts w:hint="eastAsia"/>
                      <w:szCs w:val="22"/>
                    </w:rPr>
                    <w:t>审核不到位</w:t>
                  </w:r>
                </w:p>
              </w:tc>
              <w:tc>
                <w:tcPr>
                  <w:tcW w:w="5350" w:type="dxa"/>
                </w:tcPr>
                <w:p>
                  <w:pPr>
                    <w:rPr>
                      <w:rFonts w:hint="eastAsia"/>
                      <w:szCs w:val="22"/>
                    </w:rPr>
                  </w:pPr>
                  <w:r>
                    <w:rPr>
                      <w:rFonts w:hint="eastAsia"/>
                      <w:szCs w:val="22"/>
                    </w:rPr>
                    <w:t>1、供应商未经审核，不能确认企业为合格供应商；资质过期，取消合格供应商资格；2、对审核人员加强产品购进管理制度、首营企业和首营品种审核制度及相关程序的培训；3、通过年度产品质量进货评审，对质量信誉不好的企业退出供应，不购进其产品。</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4"/>
                    </w:rPr>
                  </w:pPr>
                  <w:r>
                    <w:rPr>
                      <w:rFonts w:hint="eastAsia"/>
                      <w:szCs w:val="24"/>
                    </w:rPr>
                    <w:t>1、接收非我公司购进的产品；2、接收劣质产品；3、接收产品质量明显缺陷（外观质量问题、短少等）产品。</w:t>
                  </w:r>
                </w:p>
              </w:tc>
              <w:tc>
                <w:tcPr>
                  <w:tcW w:w="5350" w:type="dxa"/>
                </w:tcPr>
                <w:p>
                  <w:r>
                    <w:rPr>
                      <w:rFonts w:hint="eastAsia"/>
                    </w:rPr>
                    <w:t>1、仓库凭经</w:t>
                  </w:r>
                  <w:r>
                    <w:rPr>
                      <w:rFonts w:hint="eastAsia"/>
                      <w:lang w:eastAsia="zh-CN"/>
                    </w:rPr>
                    <w:t>行政部</w:t>
                  </w:r>
                  <w:r>
                    <w:rPr>
                      <w:rFonts w:hint="eastAsia"/>
                    </w:rPr>
                    <w:t>（采购）确认的采购单，接受货物；2、对收货人员加强产品购进管理制度、收货管理制度及程序的培训；3、严格执行产品收货原则。</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1" w:type="dxa"/>
                </w:tcPr>
                <w:p>
                  <w:pPr>
                    <w:rPr>
                      <w:szCs w:val="24"/>
                    </w:rPr>
                  </w:pPr>
                  <w:r>
                    <w:rPr>
                      <w:rFonts w:hint="eastAsia"/>
                      <w:szCs w:val="24"/>
                    </w:rPr>
                    <w:t>1、没有严格按照操作规程作业；2、相关控制条件不符合要求（人员、设备、环境、参数控制）；3、过程检验特殊工序确认不到位</w:t>
                  </w:r>
                </w:p>
              </w:tc>
              <w:tc>
                <w:tcPr>
                  <w:tcW w:w="5350" w:type="dxa"/>
                </w:tcPr>
                <w:p>
                  <w:r>
                    <w:rPr>
                      <w:rFonts w:hint="eastAsia"/>
                    </w:rPr>
                    <w:t>1、加强作业检查，确保严格按照操作规程作业；2、加强人员上岗培训和考核持证上岗，设备定期检定，环境按要求每日检查记录，参数控制要专人或多人检查；3、加强和定期确认过程检验和特殊工序确认。</w:t>
                  </w:r>
                </w:p>
              </w:tc>
              <w:tc>
                <w:tcPr>
                  <w:tcW w:w="988" w:type="dxa"/>
                </w:tcPr>
                <w:p>
                  <w:r>
                    <w:rPr>
                      <w:rFonts w:hint="eastAsia"/>
                    </w:rPr>
                    <w:sym w:font="Wingdings" w:char="00FE"/>
                  </w:r>
                  <w:r>
                    <w:rPr>
                      <w:rFonts w:hint="eastAsia"/>
                    </w:rPr>
                    <w:t>有效</w:t>
                  </w:r>
                  <w:r>
                    <w:rPr>
                      <w:rFonts w:hint="eastAsia"/>
                    </w:rPr>
                    <w:sym w:font="Wingdings" w:char="00A8"/>
                  </w:r>
                  <w:r>
                    <w:rPr>
                      <w:rFonts w:hint="eastAsia"/>
                    </w:rPr>
                    <w:t>不足</w:t>
                  </w:r>
                </w:p>
              </w:tc>
            </w:tr>
          </w:tbl>
          <w:p/>
          <w:p>
            <w:r>
              <w:rPr>
                <w:rFonts w:hint="eastAsia"/>
              </w:rPr>
              <w:t xml:space="preserve">应对机遇的措施类型包括： </w:t>
            </w:r>
          </w:p>
          <w:p>
            <w:r>
              <w:rPr>
                <w:rFonts w:hint="eastAsia"/>
              </w:rPr>
              <w:sym w:font="Wingdings" w:char="00FE"/>
            </w:r>
            <w:r>
              <w:rPr>
                <w:rFonts w:hint="eastAsia"/>
              </w:rPr>
              <w:t xml:space="preserve">采用新实践 </w:t>
            </w:r>
            <w:r>
              <w:rPr>
                <w:rFonts w:hint="eastAsia"/>
              </w:rPr>
              <w:sym w:font="Wingdings" w:char="00FE"/>
            </w:r>
            <w:r>
              <w:rPr>
                <w:rFonts w:hint="eastAsia"/>
              </w:rPr>
              <w:t xml:space="preserve">推出新产品  </w:t>
            </w:r>
            <w:r>
              <w:rPr>
                <w:rFonts w:hint="eastAsia"/>
              </w:rPr>
              <w:sym w:font="Wingdings" w:char="00FE"/>
            </w:r>
            <w:r>
              <w:rPr>
                <w:rFonts w:hint="eastAsia"/>
              </w:rPr>
              <w:t xml:space="preserve">开辟新市场  </w:t>
            </w:r>
            <w:r>
              <w:rPr>
                <w:rFonts w:hint="eastAsia"/>
              </w:rPr>
              <w:sym w:font="Wingdings" w:char="00FE"/>
            </w:r>
            <w:r>
              <w:rPr>
                <w:rFonts w:hint="eastAsia"/>
              </w:rPr>
              <w:t xml:space="preserve">赢得新顾客  </w:t>
            </w:r>
            <w:r>
              <w:rPr>
                <w:rFonts w:hint="eastAsia"/>
              </w:rPr>
              <w:sym w:font="Wingdings" w:char="00A8"/>
            </w:r>
            <w:r>
              <w:rPr>
                <w:rFonts w:hint="eastAsia"/>
              </w:rPr>
              <w:t xml:space="preserve">建立合作伙伴关系  </w:t>
            </w:r>
            <w:r>
              <w:rPr>
                <w:rFonts w:hint="eastAsia"/>
              </w:rPr>
              <w:sym w:font="Wingdings" w:char="00FE"/>
            </w:r>
            <w:r>
              <w:rPr>
                <w:rFonts w:hint="eastAsia"/>
              </w:rPr>
              <w:t xml:space="preserve">利用新技术  </w:t>
            </w:r>
            <w:r>
              <w:rPr>
                <w:rFonts w:hint="eastAsia"/>
              </w:rPr>
              <w:sym w:font="Wingdings" w:char="00A8"/>
            </w:r>
            <w:r>
              <w:rPr>
                <w:rFonts w:hint="eastAsia"/>
              </w:rPr>
              <w:t>其他</w:t>
            </w:r>
          </w:p>
          <w:p>
            <w:r>
              <w:rPr>
                <w:rFonts w:hint="eastAsia"/>
              </w:rPr>
              <w:t>列举2~3项应对重要机遇的描述：</w:t>
            </w:r>
          </w:p>
          <w:tbl>
            <w:tblPr>
              <w:tblStyle w:val="7"/>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367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rPr>
                  </w:pPr>
                  <w:r>
                    <w:rPr>
                      <w:rFonts w:hint="eastAsia"/>
                      <w:color w:val="auto"/>
                    </w:rPr>
                    <w:t>主要的机遇描述</w:t>
                  </w:r>
                </w:p>
              </w:tc>
              <w:tc>
                <w:tcPr>
                  <w:tcW w:w="3675" w:type="dxa"/>
                </w:tcPr>
                <w:p>
                  <w:pPr>
                    <w:rPr>
                      <w:color w:val="auto"/>
                      <w:szCs w:val="24"/>
                    </w:rPr>
                  </w:pPr>
                  <w:r>
                    <w:rPr>
                      <w:rFonts w:hint="eastAsia"/>
                      <w:color w:val="auto"/>
                    </w:rPr>
                    <w:t>应对措施</w:t>
                  </w:r>
                </w:p>
              </w:tc>
              <w:tc>
                <w:tcPr>
                  <w:tcW w:w="1717" w:type="dxa"/>
                </w:tcPr>
                <w:p>
                  <w:pPr>
                    <w:rPr>
                      <w:color w:val="auto"/>
                    </w:rPr>
                  </w:pPr>
                  <w:r>
                    <w:rPr>
                      <w:rFonts w:hint="eastAsia"/>
                      <w:color w:val="auto"/>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highlight w:val="cyan"/>
                    </w:rPr>
                  </w:pPr>
                  <w:r>
                    <w:rPr>
                      <w:rFonts w:hint="eastAsia" w:ascii="Arial Narrow" w:hAnsi="Arial Narrow" w:cs="宋体"/>
                      <w:kern w:val="0"/>
                      <w:szCs w:val="21"/>
                    </w:rPr>
                    <w:t>产品</w:t>
                  </w:r>
                  <w:r>
                    <w:rPr>
                      <w:rFonts w:ascii="Arial Narrow" w:hAnsi="Arial Narrow" w:cs="宋体"/>
                      <w:kern w:val="0"/>
                      <w:szCs w:val="21"/>
                    </w:rPr>
                    <w:t>质量好</w:t>
                  </w:r>
                </w:p>
              </w:tc>
              <w:tc>
                <w:tcPr>
                  <w:tcW w:w="3675" w:type="dxa"/>
                </w:tcPr>
                <w:p>
                  <w:r>
                    <w:rPr>
                      <w:rFonts w:hint="eastAsia"/>
                    </w:rPr>
                    <w:t>1、</w:t>
                  </w:r>
                  <w:r>
                    <w:rPr>
                      <w:rFonts w:hint="eastAsia"/>
                    </w:rPr>
                    <w:tab/>
                  </w:r>
                  <w:r>
                    <w:rPr>
                      <w:rFonts w:hint="eastAsia"/>
                    </w:rPr>
                    <w:t>组织逐步采用机械自动化作业，尽量减少操作人员的手工操作；</w:t>
                  </w:r>
                </w:p>
                <w:p>
                  <w:pPr>
                    <w:rPr>
                      <w:color w:val="auto"/>
                    </w:rPr>
                  </w:pP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r>
                    <w:rPr>
                      <w:rFonts w:ascii="Arial Narrow" w:hAnsi="Arial Narrow" w:cs="宋体"/>
                      <w:kern w:val="0"/>
                      <w:szCs w:val="21"/>
                    </w:rPr>
                    <w:t>市场需求急剧增加</w:t>
                  </w:r>
                </w:p>
              </w:tc>
              <w:tc>
                <w:tcPr>
                  <w:tcW w:w="3675" w:type="dxa"/>
                </w:tcPr>
                <w:p>
                  <w:r>
                    <w:rPr>
                      <w:rFonts w:hint="eastAsia"/>
                      <w:lang w:val="en-US" w:eastAsia="zh-CN"/>
                    </w:rPr>
                    <w:t>2</w:t>
                  </w:r>
                  <w:r>
                    <w:rPr>
                      <w:rFonts w:hint="eastAsia"/>
                    </w:rPr>
                    <w:t>、</w:t>
                  </w:r>
                  <w:r>
                    <w:rPr>
                      <w:rFonts w:hint="eastAsia"/>
                    </w:rPr>
                    <w:tab/>
                  </w:r>
                  <w:r>
                    <w:rPr>
                      <w:rFonts w:hint="eastAsia"/>
                    </w:rPr>
                    <w:t>逐步规范化作业，降低管理费用；</w:t>
                  </w:r>
                </w:p>
                <w:p>
                  <w:pPr>
                    <w:rPr>
                      <w:color w:val="auto"/>
                    </w:rPr>
                  </w:pPr>
                </w:p>
              </w:tc>
              <w:tc>
                <w:tcPr>
                  <w:tcW w:w="1717" w:type="dxa"/>
                </w:tcPr>
                <w:p>
                  <w:pPr>
                    <w:rPr>
                      <w:color w:val="auto"/>
                    </w:rPr>
                  </w:pPr>
                  <w:r>
                    <w:rPr>
                      <w:rFonts w:hint="eastAsia"/>
                      <w:color w:val="auto"/>
                    </w:rPr>
                    <w:sym w:font="Wingdings" w:char="00FE"/>
                  </w:r>
                  <w:r>
                    <w:rPr>
                      <w:rFonts w:hint="eastAsia"/>
                      <w:color w:val="auto"/>
                    </w:rPr>
                    <w:t>有效</w:t>
                  </w:r>
                  <w:r>
                    <w:rPr>
                      <w:rFonts w:hint="eastAsia"/>
                      <w:color w:val="auto"/>
                    </w:rPr>
                    <w:sym w:font="Wingdings" w:char="00A8"/>
                  </w:r>
                  <w:r>
                    <w:rPr>
                      <w:rFonts w:hint="eastAsia"/>
                      <w:color w:val="auto"/>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rPr>
                      <w:color w:val="auto"/>
                      <w:szCs w:val="24"/>
                    </w:rPr>
                  </w:pPr>
                </w:p>
              </w:tc>
              <w:tc>
                <w:tcPr>
                  <w:tcW w:w="3675" w:type="dxa"/>
                </w:tcPr>
                <w:p>
                  <w:pPr>
                    <w:rPr>
                      <w:color w:val="auto"/>
                    </w:rPr>
                  </w:pPr>
                </w:p>
              </w:tc>
              <w:tc>
                <w:tcPr>
                  <w:tcW w:w="1717" w:type="dxa"/>
                </w:tcPr>
                <w:p>
                  <w:pPr>
                    <w:rPr>
                      <w:color w:val="auto"/>
                    </w:rPr>
                  </w:pPr>
                  <w:r>
                    <w:rPr>
                      <w:rFonts w:hint="eastAsia"/>
                      <w:color w:val="auto"/>
                    </w:rPr>
                    <w:sym w:font="Wingdings" w:char="00A8"/>
                  </w:r>
                  <w:r>
                    <w:rPr>
                      <w:rFonts w:hint="eastAsia"/>
                      <w:color w:val="auto"/>
                    </w:rPr>
                    <w:t>有效</w:t>
                  </w:r>
                  <w:r>
                    <w:rPr>
                      <w:rFonts w:hint="eastAsia"/>
                      <w:color w:val="auto"/>
                    </w:rPr>
                    <w:sym w:font="Wingdings" w:char="00A8"/>
                  </w:r>
                  <w:r>
                    <w:rPr>
                      <w:rFonts w:hint="eastAsia"/>
                      <w:color w:val="auto"/>
                    </w:rPr>
                    <w:t>不足</w:t>
                  </w:r>
                </w:p>
              </w:tc>
            </w:tr>
          </w:tbl>
          <w:p>
            <w:pPr>
              <w:rPr>
                <w:color w:val="auto"/>
              </w:rPr>
            </w:pPr>
          </w:p>
          <w:p>
            <w:r>
              <w:rPr>
                <w:rFonts w:hint="eastAsia"/>
                <w:color w:val="auto"/>
              </w:rPr>
              <w:t>查看</w:t>
            </w:r>
            <w:r>
              <w:rPr>
                <w:rFonts w:hint="eastAsia"/>
                <w:color w:val="auto"/>
              </w:rPr>
              <w:sym w:font="Wingdings" w:char="00FE"/>
            </w:r>
            <w:r>
              <w:rPr>
                <w:rFonts w:hint="eastAsia"/>
                <w:color w:val="auto"/>
              </w:rPr>
              <w:t>《风险识别评估记录表》</w:t>
            </w:r>
            <w:r>
              <w:rPr>
                <w:rFonts w:hint="eastAsia"/>
                <w:color w:val="auto"/>
              </w:rPr>
              <w:sym w:font="Wingdings" w:char="00FE"/>
            </w:r>
            <w:r>
              <w:rPr>
                <w:rFonts w:hint="eastAsia"/>
                <w:color w:val="auto"/>
              </w:rPr>
              <w:t>《</w:t>
            </w:r>
            <w:r>
              <w:rPr>
                <w:rFonts w:hint="eastAsia"/>
                <w:color w:val="auto"/>
                <w:lang w:val="en-US" w:eastAsia="zh-CN"/>
              </w:rPr>
              <w:t>组织风险和机遇控制清单</w:t>
            </w:r>
            <w:r>
              <w:rPr>
                <w:rFonts w:hint="eastAsia"/>
                <w:color w:val="auto"/>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质量目标及其实现的策划</w:t>
            </w:r>
          </w:p>
          <w:p/>
        </w:tc>
        <w:tc>
          <w:tcPr>
            <w:tcW w:w="960" w:type="dxa"/>
            <w:vMerge w:val="restart"/>
          </w:tcPr>
          <w:p>
            <w:r>
              <w:rPr>
                <w:rFonts w:hint="eastAsia"/>
                <w:color w:val="000000"/>
                <w:szCs w:val="21"/>
              </w:rPr>
              <w:t>Q6.2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手册第6.2条款、</w:t>
            </w:r>
            <w:r>
              <w:rPr>
                <w:rFonts w:hint="eastAsia"/>
              </w:rPr>
              <w:sym w:font="Wingdings" w:char="00FE"/>
            </w:r>
            <w:r>
              <w:rPr>
                <w:rFonts w:hint="eastAsia"/>
              </w:rPr>
              <w:t>《</w:t>
            </w:r>
            <w:r>
              <w:rPr>
                <w:rFonts w:hint="eastAsia"/>
                <w:color w:val="000000"/>
                <w:szCs w:val="21"/>
              </w:rPr>
              <w:t>质量目标</w:t>
            </w:r>
            <w:r>
              <w:rPr>
                <w:rFonts w:hint="eastAsia"/>
              </w:rPr>
              <w:t>》、</w:t>
            </w:r>
            <w:r>
              <w:rPr>
                <w:rFonts w:hint="eastAsia"/>
              </w:rPr>
              <w:sym w:font="Wingdings" w:char="00FE"/>
            </w:r>
            <w:r>
              <w:rPr>
                <w:rFonts w:hint="eastAsia"/>
              </w:rPr>
              <w:t>《2019-2020年管理目标完成统计表》</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组织建立了与方针一致的文件化的管理目标。为实现总质量目标而建立的各层级质量目标具体、有针对性、可测量并且可实现。</w:t>
            </w:r>
          </w:p>
          <w:p>
            <w:r>
              <w:rPr>
                <w:rFonts w:hint="eastAsia"/>
              </w:rPr>
              <w:t>总质量目标实现情况的评价，及其测量方法是：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913"/>
              <w:gridCol w:w="2350"/>
              <w:gridCol w:w="650"/>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hint="eastAsia"/>
                      <w:szCs w:val="22"/>
                    </w:rPr>
                  </w:pPr>
                  <w:r>
                    <w:rPr>
                      <w:rFonts w:hint="eastAsia"/>
                      <w:szCs w:val="22"/>
                    </w:rPr>
                    <w:t>质量目标</w:t>
                  </w:r>
                </w:p>
              </w:tc>
              <w:tc>
                <w:tcPr>
                  <w:tcW w:w="913" w:type="dxa"/>
                  <w:shd w:val="clear" w:color="auto" w:fill="auto"/>
                </w:tcPr>
                <w:p>
                  <w:pPr>
                    <w:rPr>
                      <w:rFonts w:hint="eastAsia"/>
                      <w:szCs w:val="22"/>
                    </w:rPr>
                  </w:pPr>
                  <w:r>
                    <w:rPr>
                      <w:rFonts w:hint="eastAsia"/>
                      <w:szCs w:val="22"/>
                    </w:rPr>
                    <w:t>目标值</w:t>
                  </w:r>
                </w:p>
              </w:tc>
              <w:tc>
                <w:tcPr>
                  <w:tcW w:w="2350" w:type="dxa"/>
                  <w:shd w:val="clear" w:color="auto" w:fill="auto"/>
                </w:tcPr>
                <w:p>
                  <w:pPr>
                    <w:rPr>
                      <w:rFonts w:hint="eastAsia"/>
                      <w:szCs w:val="22"/>
                    </w:rPr>
                  </w:pPr>
                  <w:r>
                    <w:rPr>
                      <w:rFonts w:hint="eastAsia"/>
                      <w:szCs w:val="22"/>
                    </w:rPr>
                    <w:t>计算方法</w:t>
                  </w:r>
                </w:p>
              </w:tc>
              <w:tc>
                <w:tcPr>
                  <w:tcW w:w="650" w:type="dxa"/>
                  <w:shd w:val="clear" w:color="auto" w:fill="auto"/>
                </w:tcPr>
                <w:p>
                  <w:pPr>
                    <w:rPr>
                      <w:rFonts w:hint="eastAsia"/>
                      <w:szCs w:val="22"/>
                    </w:rPr>
                  </w:pPr>
                  <w:r>
                    <w:rPr>
                      <w:rFonts w:hint="eastAsia"/>
                      <w:szCs w:val="22"/>
                    </w:rPr>
                    <w:t>频次</w:t>
                  </w:r>
                </w:p>
              </w:tc>
              <w:tc>
                <w:tcPr>
                  <w:tcW w:w="2923" w:type="dxa"/>
                  <w:shd w:val="clear" w:color="auto" w:fill="auto"/>
                </w:tcPr>
                <w:p>
                  <w:pPr>
                    <w:rPr>
                      <w:rFonts w:hint="eastAsia"/>
                      <w:szCs w:val="22"/>
                    </w:rPr>
                  </w:pPr>
                  <w:r>
                    <w:rPr>
                      <w:rFonts w:hint="eastAsia"/>
                    </w:rPr>
                    <w:t>2019-2020年</w:t>
                  </w:r>
                  <w:r>
                    <w:rPr>
                      <w:rFonts w:hint="eastAsia"/>
                      <w:szCs w:val="22"/>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产品一次交</w:t>
                  </w:r>
                  <w:r>
                    <w:rPr>
                      <w:rFonts w:hint="eastAsia" w:cs="Times New Roman"/>
                      <w:kern w:val="2"/>
                      <w:sz w:val="21"/>
                      <w:szCs w:val="22"/>
                      <w:lang w:val="en-US" w:eastAsia="zh-CN" w:bidi="ar-SA"/>
                    </w:rPr>
                    <w:t>检</w:t>
                  </w:r>
                  <w:r>
                    <w:rPr>
                      <w:rFonts w:hint="eastAsia" w:ascii="Times New Roman" w:hAnsi="Times New Roman" w:eastAsia="宋体" w:cs="Times New Roman"/>
                      <w:kern w:val="2"/>
                      <w:sz w:val="21"/>
                      <w:szCs w:val="22"/>
                      <w:lang w:val="en-US" w:eastAsia="zh-CN" w:bidi="ar-SA"/>
                    </w:rPr>
                    <w:t>合格率</w:t>
                  </w:r>
                </w:p>
              </w:tc>
              <w:tc>
                <w:tcPr>
                  <w:tcW w:w="913" w:type="dxa"/>
                  <w:shd w:val="clear" w:color="auto" w:fill="auto"/>
                  <w:vAlign w:val="center"/>
                </w:tcPr>
                <w:p>
                  <w:pPr>
                    <w:pStyle w:val="5"/>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≥98%</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合格数/交付数×100%</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每月</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5"/>
                    <w:pBdr>
                      <w:bottom w:val="none" w:color="auto" w:sz="0" w:space="0"/>
                    </w:pBdr>
                    <w:tabs>
                      <w:tab w:val="left" w:pos="420"/>
                    </w:tabs>
                    <w:spacing w:line="240" w:lineRule="exact"/>
                    <w:jc w:val="both"/>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顾客满意</w:t>
                  </w:r>
                </w:p>
              </w:tc>
              <w:tc>
                <w:tcPr>
                  <w:tcW w:w="913" w:type="dxa"/>
                  <w:shd w:val="clear" w:color="auto" w:fill="auto"/>
                  <w:vAlign w:val="center"/>
                </w:tcPr>
                <w:p>
                  <w:pPr>
                    <w:pStyle w:val="5"/>
                    <w:pBdr>
                      <w:bottom w:val="none" w:color="auto" w:sz="0" w:space="0"/>
                    </w:pBdr>
                    <w:tabs>
                      <w:tab w:val="left" w:pos="420"/>
                    </w:tabs>
                    <w:spacing w:line="240" w:lineRule="exact"/>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≥90分</w:t>
                  </w:r>
                </w:p>
              </w:tc>
              <w:tc>
                <w:tcPr>
                  <w:tcW w:w="2350" w:type="dxa"/>
                  <w:shd w:val="clear" w:color="auto" w:fill="auto"/>
                  <w:vAlign w:val="center"/>
                </w:tcPr>
                <w:p>
                  <w:pPr>
                    <w:spacing w:line="360" w:lineRule="exact"/>
                    <w:ind w:left="210" w:leftChars="0" w:hanging="210" w:hangingChars="10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数据统计分析</w:t>
                  </w:r>
                </w:p>
              </w:tc>
              <w:tc>
                <w:tcPr>
                  <w:tcW w:w="650" w:type="dxa"/>
                  <w:shd w:val="clear" w:color="auto" w:fill="auto"/>
                  <w:vAlign w:val="center"/>
                </w:tcPr>
                <w:p>
                  <w:pPr>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季度</w:t>
                  </w:r>
                </w:p>
              </w:tc>
              <w:tc>
                <w:tcPr>
                  <w:tcW w:w="2923" w:type="dxa"/>
                  <w:shd w:val="clear" w:color="auto" w:fill="auto"/>
                </w:tcPr>
                <w:p>
                  <w:pPr>
                    <w:rPr>
                      <w:rFonts w:hint="eastAsia" w:ascii="Times New Roman" w:hAnsi="Times New Roman" w:eastAsia="宋体" w:cs="Times New Roman"/>
                      <w:kern w:val="2"/>
                      <w:sz w:val="21"/>
                      <w:szCs w:val="22"/>
                      <w:lang w:val="en-GB" w:eastAsia="zh-CN" w:bidi="ar-SA"/>
                    </w:rPr>
                  </w:pPr>
                  <w:r>
                    <w:rPr>
                      <w:rFonts w:hint="eastAsia" w:ascii="Times New Roman" w:hAnsi="Times New Roman" w:eastAsia="宋体" w:cs="Times New Roman"/>
                      <w:kern w:val="2"/>
                      <w:sz w:val="21"/>
                      <w:szCs w:val="22"/>
                      <w:lang w:val="en-US" w:eastAsia="zh-CN" w:bidi="ar-SA"/>
                    </w:rPr>
                    <w:sym w:font="Wingdings" w:char="00FE"/>
                  </w:r>
                  <w:r>
                    <w:rPr>
                      <w:rFonts w:hint="eastAsia" w:ascii="Times New Roman" w:hAnsi="Times New Roman" w:eastAsia="宋体" w:cs="Times New Roman"/>
                      <w:kern w:val="2"/>
                      <w:sz w:val="21"/>
                      <w:szCs w:val="22"/>
                      <w:lang w:val="en-US" w:eastAsia="zh-CN" w:bidi="ar-SA"/>
                    </w:rPr>
                    <w:t xml:space="preserve">是 </w:t>
                  </w:r>
                  <w:r>
                    <w:rPr>
                      <w:rFonts w:hint="eastAsia" w:ascii="Times New Roman" w:hAnsi="Times New Roman" w:eastAsia="宋体" w:cs="Times New Roman"/>
                      <w:kern w:val="2"/>
                      <w:sz w:val="21"/>
                      <w:szCs w:val="22"/>
                      <w:lang w:val="en-US" w:eastAsia="zh-CN" w:bidi="ar-SA"/>
                    </w:rPr>
                    <w:sym w:font="Wingdings" w:char="00A8"/>
                  </w:r>
                  <w:r>
                    <w:rPr>
                      <w:rFonts w:hint="eastAsia" w:ascii="Times New Roman" w:hAnsi="Times New Roman" w:eastAsia="宋体" w:cs="Times New Roman"/>
                      <w:kern w:val="2"/>
                      <w:sz w:val="21"/>
                      <w:szCs w:val="22"/>
                      <w:lang w:val="en-US" w:eastAsia="zh-CN" w:bidi="ar-SA"/>
                    </w:rPr>
                    <w:t>否</w:t>
                  </w:r>
                </w:p>
              </w:tc>
            </w:tr>
          </w:tbl>
          <w:p>
            <w:r>
              <w:rPr>
                <w:rFonts w:hint="eastAsia"/>
              </w:rPr>
              <w:sym w:font="Wingdings" w:char="00FE"/>
            </w:r>
            <w:r>
              <w:rPr>
                <w:rFonts w:hint="eastAsia"/>
              </w:rPr>
              <w:t>目标已实现</w:t>
            </w:r>
          </w:p>
          <w:p>
            <w:r>
              <w:rPr>
                <w:rFonts w:hint="eastAsia"/>
              </w:rPr>
              <w:sym w:font="Wingdings" w:char="00A8"/>
            </w:r>
            <w:r>
              <w:rPr>
                <w:rFonts w:hint="eastAsia"/>
              </w:rPr>
              <w:t>目标没有实现的，组织在内部及时进行原因分析并采取了改进措施。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szCs w:val="21"/>
              </w:rPr>
            </w:pPr>
            <w:r>
              <w:rPr>
                <w:rFonts w:hint="eastAsia"/>
                <w:color w:val="000000"/>
                <w:szCs w:val="21"/>
              </w:rPr>
              <w:t>变更的策划</w:t>
            </w:r>
          </w:p>
          <w:p/>
        </w:tc>
        <w:tc>
          <w:tcPr>
            <w:tcW w:w="960" w:type="dxa"/>
            <w:vMerge w:val="restart"/>
          </w:tcPr>
          <w:p>
            <w:r>
              <w:rPr>
                <w:rFonts w:hint="eastAsia"/>
                <w:color w:val="000000"/>
                <w:szCs w:val="21"/>
              </w:rPr>
              <w:t>Q6.3  </w:t>
            </w:r>
          </w:p>
        </w:tc>
        <w:tc>
          <w:tcPr>
            <w:tcW w:w="745" w:type="dxa"/>
          </w:tcPr>
          <w:p>
            <w:r>
              <w:rPr>
                <w:rFonts w:hint="eastAsia"/>
              </w:rPr>
              <w:t>文件名称</w:t>
            </w:r>
          </w:p>
        </w:tc>
        <w:tc>
          <w:tcPr>
            <w:tcW w:w="9259" w:type="dxa"/>
          </w:tcPr>
          <w:p>
            <w:r>
              <w:rPr>
                <w:rFonts w:hint="eastAsia"/>
              </w:rPr>
              <w:t>如：手册第6.3条款、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color w:val="000000"/>
                <w:szCs w:val="21"/>
              </w:rPr>
              <w:t xml:space="preserve"> </w:t>
            </w:r>
            <w:r>
              <w:rPr>
                <w:rFonts w:hint="eastAsia"/>
              </w:rPr>
              <w:t>组织对相关管理体系进行变更时，变更应按所策划的方式实施；审核周期内的重大变更有：</w:t>
            </w:r>
          </w:p>
          <w:p>
            <w:pPr>
              <w:spacing w:before="40" w:after="40"/>
            </w:pPr>
            <w:r>
              <w:rPr>
                <w:rFonts w:hint="eastAsia"/>
              </w:rPr>
              <w:t xml:space="preserve">□组织结构变更 □部门职责变更 □主要原材料 □关键人员 □生产工艺/服务流程 </w:t>
            </w:r>
          </w:p>
          <w:p>
            <w:pPr>
              <w:spacing w:before="40" w:after="40"/>
            </w:pPr>
            <w:r>
              <w:rPr>
                <w:rFonts w:hint="eastAsia"/>
              </w:rPr>
              <w:t>□主要设备设施 □主要检测设备 ☑无变更</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63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体系变更的内容说明</w:t>
                  </w:r>
                </w:p>
              </w:tc>
              <w:tc>
                <w:tcPr>
                  <w:tcW w:w="3632" w:type="dxa"/>
                </w:tcPr>
                <w:p>
                  <w:pPr>
                    <w:rPr>
                      <w:highlight w:val="cyan"/>
                    </w:rPr>
                  </w:pPr>
                  <w:r>
                    <w:rPr>
                      <w:rFonts w:hint="eastAsia"/>
                    </w:rPr>
                    <w:t>无</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评价内容</w:t>
                  </w:r>
                </w:p>
              </w:tc>
              <w:tc>
                <w:tcPr>
                  <w:tcW w:w="3632" w:type="dxa"/>
                </w:tcPr>
                <w:p>
                  <w:r>
                    <w:rPr>
                      <w:rFonts w:hint="eastAsia"/>
                    </w:rPr>
                    <w:t>评价具体描述</w:t>
                  </w:r>
                </w:p>
              </w:tc>
              <w:tc>
                <w:tcPr>
                  <w:tcW w:w="3015" w:type="dxa"/>
                </w:tcPr>
                <w:p>
                  <w:r>
                    <w:rPr>
                      <w:rFonts w:hint="eastAsia"/>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变更目的</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其潜在后果</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质量管理体系的完整性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资源的可获得性</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tcPr>
                <w:p>
                  <w:r>
                    <w:rPr>
                      <w:rFonts w:hint="eastAsia"/>
                    </w:rPr>
                    <w:t>职责和权限的分配或再分配</w:t>
                  </w:r>
                </w:p>
              </w:tc>
              <w:tc>
                <w:tcPr>
                  <w:tcW w:w="3632" w:type="dxa"/>
                </w:tcPr>
                <w:p/>
              </w:tc>
              <w:tc>
                <w:tcPr>
                  <w:tcW w:w="3015" w:type="dxa"/>
                </w:tcPr>
                <w:p>
                  <w:r>
                    <w:rPr>
                      <w:rFonts w:hint="eastAsia"/>
                    </w:rPr>
                    <w:sym w:font="Wingdings" w:char="00A8"/>
                  </w:r>
                  <w:r>
                    <w:rPr>
                      <w:rFonts w:hint="eastAsia"/>
                    </w:rPr>
                    <w:t xml:space="preserve">可以满足    </w:t>
                  </w:r>
                  <w:r>
                    <w:rPr>
                      <w:rFonts w:hint="eastAsia"/>
                    </w:rPr>
                    <w:sym w:font="Wingdings" w:char="00A8"/>
                  </w:r>
                  <w:r>
                    <w:rPr>
                      <w:rFonts w:hint="eastAsia"/>
                    </w:rPr>
                    <w:t>不可以满足</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rPr>
              <w:t>资源（总则）</w:t>
            </w:r>
          </w:p>
        </w:tc>
        <w:tc>
          <w:tcPr>
            <w:tcW w:w="960" w:type="dxa"/>
            <w:vMerge w:val="restart"/>
          </w:tcPr>
          <w:p>
            <w:r>
              <w:rPr>
                <w:rFonts w:hint="eastAsia"/>
                <w:color w:val="000000"/>
                <w:szCs w:val="21"/>
              </w:rPr>
              <w:t>Q7.1 </w:t>
            </w:r>
          </w:p>
        </w:tc>
        <w:tc>
          <w:tcPr>
            <w:tcW w:w="745" w:type="dxa"/>
          </w:tcPr>
          <w:p>
            <w:r>
              <w:rPr>
                <w:rFonts w:hint="eastAsia"/>
              </w:rPr>
              <w:t>文件名称</w:t>
            </w:r>
          </w:p>
        </w:tc>
        <w:tc>
          <w:tcPr>
            <w:tcW w:w="9259" w:type="dxa"/>
          </w:tcPr>
          <w:p>
            <w:r>
              <w:rPr>
                <w:rFonts w:hint="eastAsia"/>
              </w:rPr>
              <w:t>如：手册第7.1条款、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 xml:space="preserve">和最高管理层确定并提供所需的资源，以建立、实施、保持和持续改进质量管理体系。 </w:t>
            </w:r>
          </w:p>
          <w:p>
            <w:pPr>
              <w:numPr>
                <w:ilvl w:val="0"/>
                <w:numId w:val="1"/>
              </w:numPr>
              <w:rPr>
                <w:color w:val="000000"/>
                <w:szCs w:val="21"/>
              </w:rPr>
            </w:pPr>
            <w:r>
              <w:rPr>
                <w:rFonts w:hint="eastAsia"/>
                <w:color w:val="000000"/>
                <w:szCs w:val="21"/>
              </w:rPr>
              <w:t>现有内部资源的能力；</w:t>
            </w:r>
          </w:p>
          <w:p>
            <w:pPr>
              <w:rPr>
                <w:color w:val="auto"/>
              </w:rPr>
            </w:pPr>
            <w:r>
              <w:rPr>
                <w:rFonts w:hint="eastAsia"/>
                <w:color w:val="auto"/>
              </w:rPr>
              <w:t>建筑面积</w:t>
            </w:r>
            <w:r>
              <w:rPr>
                <w:rFonts w:hint="eastAsia"/>
                <w:color w:val="auto"/>
                <w:u w:val="single"/>
              </w:rPr>
              <w:t xml:space="preserve">  </w:t>
            </w:r>
            <w:r>
              <w:rPr>
                <w:rFonts w:hint="eastAsia"/>
                <w:color w:val="auto"/>
                <w:u w:val="single"/>
                <w:lang w:val="en-US" w:eastAsia="zh-CN"/>
              </w:rPr>
              <w:t>1500</w:t>
            </w:r>
            <w:r>
              <w:rPr>
                <w:rFonts w:hint="eastAsia"/>
                <w:color w:val="auto"/>
                <w:u w:val="single"/>
              </w:rPr>
              <w:t xml:space="preserve">  </w:t>
            </w:r>
            <w:r>
              <w:rPr>
                <w:rFonts w:hint="eastAsia"/>
                <w:color w:val="auto"/>
              </w:rPr>
              <w:t>平方米；生产车间</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个；库房</w:t>
            </w:r>
            <w:r>
              <w:rPr>
                <w:rFonts w:hint="eastAsia"/>
                <w:color w:val="auto"/>
                <w:u w:val="single"/>
              </w:rPr>
              <w:t xml:space="preserve"> </w:t>
            </w:r>
            <w:r>
              <w:rPr>
                <w:rFonts w:hint="eastAsia"/>
                <w:color w:val="auto"/>
                <w:u w:val="single"/>
                <w:lang w:val="en-US" w:eastAsia="zh-CN"/>
              </w:rPr>
              <w:t>1</w:t>
            </w:r>
            <w:r>
              <w:rPr>
                <w:rFonts w:hint="eastAsia"/>
                <w:color w:val="auto"/>
                <w:u w:val="single"/>
              </w:rPr>
              <w:t xml:space="preserve">  </w:t>
            </w:r>
            <w:r>
              <w:rPr>
                <w:rFonts w:hint="eastAsia"/>
                <w:color w:val="auto"/>
              </w:rPr>
              <w:t>个；</w:t>
            </w:r>
          </w:p>
          <w:p>
            <w:pPr>
              <w:rPr>
                <w:u w:val="single"/>
              </w:rPr>
            </w:pPr>
            <w:r>
              <w:rPr>
                <w:rFonts w:hint="eastAsia"/>
              </w:rPr>
              <w:t>主要生产设备有：</w:t>
            </w:r>
            <w:r>
              <w:rPr>
                <w:rFonts w:hint="eastAsia"/>
                <w:u w:val="single"/>
              </w:rPr>
              <w:t xml:space="preserve"> 七氟丙烷药剂充装台，电动套丝机，钻铣攻丝机，台式砂轮机</w:t>
            </w:r>
            <w:r>
              <w:rPr>
                <w:rFonts w:hint="eastAsia"/>
                <w:color w:val="000000"/>
                <w:u w:val="single"/>
                <w:lang w:val="en-US" w:eastAsia="zh-CN"/>
              </w:rPr>
              <w:t>，</w:t>
            </w:r>
            <w:r>
              <w:rPr>
                <w:rFonts w:hint="eastAsia"/>
                <w:u w:val="single"/>
              </w:rPr>
              <w:t xml:space="preserve">    （列举2~4种）</w:t>
            </w:r>
          </w:p>
          <w:p>
            <w:r>
              <w:rPr>
                <w:rFonts w:hint="eastAsia"/>
              </w:rPr>
              <w:t>特种设备：</w:t>
            </w:r>
            <w:r>
              <w:rPr>
                <w:rFonts w:hint="eastAsia"/>
              </w:rPr>
              <w:sym w:font="Wingdings" w:char="00A8"/>
            </w:r>
            <w:r>
              <w:rPr>
                <w:rFonts w:hint="eastAsia"/>
              </w:rPr>
              <w:t xml:space="preserve">叉车 </w:t>
            </w:r>
            <w:r>
              <w:rPr>
                <w:rFonts w:hint="eastAsia"/>
              </w:rPr>
              <w:sym w:font="Wingdings" w:char="00A8"/>
            </w:r>
            <w:r>
              <w:rPr>
                <w:rFonts w:hint="eastAsia"/>
              </w:rPr>
              <w:t xml:space="preserve">行车 </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pPr>
            <w:r>
              <w:rPr>
                <w:rFonts w:hint="eastAsia"/>
                <w:color w:val="000000"/>
                <w:szCs w:val="21"/>
              </w:rPr>
              <w:t>需要从外部供方获得的资源：</w:t>
            </w:r>
            <w:r>
              <w:rPr>
                <w:rFonts w:hint="eastAsia"/>
              </w:rPr>
              <w:t xml:space="preserve"> </w:t>
            </w:r>
            <w:r>
              <w:rPr>
                <w:rFonts w:hint="eastAsia"/>
                <w:u w:val="single"/>
              </w:rPr>
              <w:t xml:space="preserve">   产品（成品）运输              </w:t>
            </w:r>
            <w:r>
              <w:rPr>
                <w:rFonts w:hint="eastAsia"/>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r>
              <w:rPr>
                <w:rFonts w:hint="eastAsia"/>
                <w:color w:val="000000"/>
                <w:szCs w:val="21"/>
              </w:rPr>
              <w:t>人员</w:t>
            </w:r>
          </w:p>
        </w:tc>
        <w:tc>
          <w:tcPr>
            <w:tcW w:w="960" w:type="dxa"/>
            <w:vMerge w:val="restart"/>
          </w:tcPr>
          <w:p>
            <w:r>
              <w:rPr>
                <w:rFonts w:hint="eastAsia"/>
                <w:color w:val="000000"/>
                <w:szCs w:val="21"/>
              </w:rPr>
              <w:t>Q7.1.2</w:t>
            </w:r>
          </w:p>
        </w:tc>
        <w:tc>
          <w:tcPr>
            <w:tcW w:w="745" w:type="dxa"/>
          </w:tcPr>
          <w:p>
            <w:r>
              <w:rPr>
                <w:rFonts w:hint="eastAsia"/>
              </w:rPr>
              <w:t>文件名称</w:t>
            </w:r>
          </w:p>
        </w:tc>
        <w:tc>
          <w:tcPr>
            <w:tcW w:w="9259" w:type="dxa"/>
          </w:tcPr>
          <w:p>
            <w:r>
              <w:rPr>
                <w:rFonts w:hint="eastAsia"/>
              </w:rPr>
              <w:t>如：人力资源控制程序</w:t>
            </w:r>
            <w:r>
              <w:rPr>
                <w:rFonts w:hint="eastAsia"/>
                <w:lang w:eastAsia="zh-CN"/>
              </w:rPr>
              <w:t>，</w:t>
            </w:r>
            <w:r>
              <w:rPr>
                <w:rFonts w:hint="eastAsia"/>
              </w:rPr>
              <w:t>手册第7.1条款、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auto"/>
                      <w:szCs w:val="21"/>
                    </w:rPr>
                  </w:pPr>
                  <w:r>
                    <w:rPr>
                      <w:rFonts w:hint="eastAsia"/>
                      <w:color w:val="auto"/>
                    </w:rPr>
                    <w:t>管理人员数</w:t>
                  </w:r>
                </w:p>
              </w:tc>
              <w:tc>
                <w:tcPr>
                  <w:tcW w:w="1292" w:type="dxa"/>
                </w:tcPr>
                <w:p>
                  <w:pPr>
                    <w:rPr>
                      <w:color w:val="auto"/>
                      <w:szCs w:val="21"/>
                    </w:rPr>
                  </w:pPr>
                  <w:r>
                    <w:rPr>
                      <w:rFonts w:hint="eastAsia"/>
                      <w:color w:val="auto"/>
                    </w:rPr>
                    <w:t>技术人员数</w:t>
                  </w:r>
                </w:p>
              </w:tc>
              <w:tc>
                <w:tcPr>
                  <w:tcW w:w="1292" w:type="dxa"/>
                </w:tcPr>
                <w:p>
                  <w:pPr>
                    <w:rPr>
                      <w:color w:val="auto"/>
                      <w:szCs w:val="21"/>
                    </w:rPr>
                  </w:pPr>
                  <w:r>
                    <w:rPr>
                      <w:rFonts w:hint="eastAsia"/>
                      <w:color w:val="auto"/>
                      <w:szCs w:val="21"/>
                    </w:rPr>
                    <w:t>临时工数</w:t>
                  </w:r>
                </w:p>
              </w:tc>
              <w:tc>
                <w:tcPr>
                  <w:tcW w:w="1292" w:type="dxa"/>
                </w:tcPr>
                <w:p>
                  <w:pPr>
                    <w:rPr>
                      <w:color w:val="auto"/>
                      <w:szCs w:val="21"/>
                    </w:rPr>
                  </w:pPr>
                  <w:r>
                    <w:rPr>
                      <w:rFonts w:hint="eastAsia"/>
                      <w:color w:val="auto"/>
                      <w:szCs w:val="21"/>
                    </w:rPr>
                    <w:t>季节工数</w:t>
                  </w:r>
                </w:p>
              </w:tc>
              <w:tc>
                <w:tcPr>
                  <w:tcW w:w="1292" w:type="dxa"/>
                </w:tcPr>
                <w:p>
                  <w:pPr>
                    <w:rPr>
                      <w:color w:val="auto"/>
                      <w:szCs w:val="21"/>
                    </w:rPr>
                  </w:pPr>
                  <w:r>
                    <w:rPr>
                      <w:rFonts w:hint="eastAsia"/>
                      <w:color w:val="auto"/>
                      <w:szCs w:val="21"/>
                    </w:rPr>
                    <w:t>辅助人员数</w:t>
                  </w:r>
                </w:p>
              </w:tc>
              <w:tc>
                <w:tcPr>
                  <w:tcW w:w="1292" w:type="dxa"/>
                </w:tcPr>
                <w:p>
                  <w:pPr>
                    <w:rPr>
                      <w:color w:val="auto"/>
                      <w:szCs w:val="21"/>
                    </w:rPr>
                  </w:pPr>
                  <w:r>
                    <w:rPr>
                      <w:rFonts w:hint="eastAsia"/>
                      <w:color w:val="auto"/>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rFonts w:hint="eastAsia" w:eastAsia="宋体"/>
                      <w:color w:val="auto"/>
                      <w:szCs w:val="21"/>
                      <w:lang w:eastAsia="zh-CN"/>
                    </w:rPr>
                  </w:pPr>
                  <w:r>
                    <w:rPr>
                      <w:rFonts w:hint="eastAsia"/>
                      <w:color w:val="auto"/>
                      <w:szCs w:val="21"/>
                      <w:lang w:val="en-US" w:eastAsia="zh-CN"/>
                    </w:rPr>
                    <w:t>4</w:t>
                  </w:r>
                </w:p>
              </w:tc>
              <w:tc>
                <w:tcPr>
                  <w:tcW w:w="1292" w:type="dxa"/>
                </w:tcPr>
                <w:p>
                  <w:pPr>
                    <w:rPr>
                      <w:rFonts w:hint="default" w:eastAsia="宋体"/>
                      <w:color w:val="auto"/>
                      <w:szCs w:val="21"/>
                      <w:lang w:val="en-US" w:eastAsia="zh-CN"/>
                    </w:rPr>
                  </w:pPr>
                  <w:r>
                    <w:rPr>
                      <w:rFonts w:hint="eastAsia"/>
                      <w:color w:val="auto"/>
                      <w:szCs w:val="21"/>
                      <w:lang w:val="en-US" w:eastAsia="zh-CN"/>
                    </w:rPr>
                    <w:t>17</w:t>
                  </w:r>
                </w:p>
              </w:tc>
              <w:tc>
                <w:tcPr>
                  <w:tcW w:w="1292" w:type="dxa"/>
                </w:tcPr>
                <w:p>
                  <w:pPr>
                    <w:rPr>
                      <w:color w:val="auto"/>
                      <w:szCs w:val="21"/>
                    </w:rPr>
                  </w:pPr>
                  <w:r>
                    <w:rPr>
                      <w:rFonts w:hint="eastAsia"/>
                      <w:color w:val="auto"/>
                      <w:szCs w:val="21"/>
                    </w:rPr>
                    <w:t>0</w:t>
                  </w:r>
                </w:p>
              </w:tc>
              <w:tc>
                <w:tcPr>
                  <w:tcW w:w="1292" w:type="dxa"/>
                </w:tcPr>
                <w:p>
                  <w:pPr>
                    <w:rPr>
                      <w:color w:val="auto"/>
                      <w:szCs w:val="21"/>
                    </w:rPr>
                  </w:pPr>
                  <w:r>
                    <w:rPr>
                      <w:rFonts w:hint="eastAsia"/>
                      <w:color w:val="auto"/>
                      <w:szCs w:val="21"/>
                    </w:rPr>
                    <w:t>0</w:t>
                  </w:r>
                </w:p>
              </w:tc>
              <w:tc>
                <w:tcPr>
                  <w:tcW w:w="1292" w:type="dxa"/>
                </w:tcPr>
                <w:p>
                  <w:pPr>
                    <w:rPr>
                      <w:rFonts w:hint="eastAsia" w:eastAsia="宋体"/>
                      <w:color w:val="auto"/>
                      <w:szCs w:val="21"/>
                      <w:lang w:eastAsia="zh-CN"/>
                    </w:rPr>
                  </w:pPr>
                  <w:r>
                    <w:rPr>
                      <w:rFonts w:hint="eastAsia"/>
                      <w:color w:val="auto"/>
                      <w:szCs w:val="21"/>
                      <w:lang w:val="en-US" w:eastAsia="zh-CN"/>
                    </w:rPr>
                    <w:t>0</w:t>
                  </w:r>
                </w:p>
              </w:tc>
              <w:tc>
                <w:tcPr>
                  <w:tcW w:w="1292" w:type="dxa"/>
                </w:tcPr>
                <w:p>
                  <w:pPr>
                    <w:rPr>
                      <w:rFonts w:hint="default" w:eastAsia="宋体"/>
                      <w:color w:val="auto"/>
                      <w:szCs w:val="21"/>
                      <w:lang w:val="en-US" w:eastAsia="zh-CN"/>
                    </w:rPr>
                  </w:pPr>
                  <w:r>
                    <w:rPr>
                      <w:rFonts w:hint="eastAsia"/>
                      <w:color w:val="auto"/>
                      <w:szCs w:val="21"/>
                      <w:lang w:val="en-US" w:eastAsia="zh-CN"/>
                    </w:rPr>
                    <w:t>21</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 xml:space="preserve"> 组织的知识</w:t>
            </w:r>
          </w:p>
        </w:tc>
        <w:tc>
          <w:tcPr>
            <w:tcW w:w="960" w:type="dxa"/>
            <w:vMerge w:val="restart"/>
          </w:tcPr>
          <w:p>
            <w:r>
              <w:rPr>
                <w:rFonts w:hint="eastAsia"/>
              </w:rPr>
              <w:t xml:space="preserve">Q7.1.6 </w:t>
            </w:r>
          </w:p>
        </w:tc>
        <w:tc>
          <w:tcPr>
            <w:tcW w:w="745" w:type="dxa"/>
          </w:tcPr>
          <w:p>
            <w:r>
              <w:rPr>
                <w:rFonts w:hint="eastAsia"/>
              </w:rPr>
              <w:t>文件名称</w:t>
            </w:r>
          </w:p>
        </w:tc>
        <w:tc>
          <w:tcPr>
            <w:tcW w:w="9259" w:type="dxa"/>
          </w:tcPr>
          <w:p>
            <w:r>
              <w:rPr>
                <w:rFonts w:hint="eastAsia"/>
              </w:rPr>
              <w:t>如：</w:t>
            </w:r>
            <w:r>
              <w:rPr>
                <w:rFonts w:hint="eastAsia"/>
              </w:rPr>
              <w:sym w:font="Wingdings" w:char="00A8"/>
            </w:r>
            <w:r>
              <w:rPr>
                <w:rFonts w:hint="eastAsia"/>
              </w:rPr>
              <w:t>《知识控制程序》、</w:t>
            </w:r>
            <w:r>
              <w:rPr>
                <w:rFonts w:hint="eastAsia"/>
              </w:rPr>
              <w:sym w:font="Wingdings" w:char="00FE"/>
            </w:r>
            <w:r>
              <w:rPr>
                <w:rFonts w:hint="eastAsia"/>
              </w:rPr>
              <w:t>手册第7.1.6条款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组织应确定所需的知识控制</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r>
                    <w:rPr>
                      <w:rFonts w:hint="eastAsia"/>
                    </w:rPr>
                    <w:t>知识产权；从经验获得的知识；从失败和成功项目吸取的经验和教训；获取和分享未成文件的知识和经验；以及过程、产品和服务的改进结果</w:t>
                  </w:r>
                </w:p>
              </w:tc>
              <w:tc>
                <w:tcPr>
                  <w:tcW w:w="1809" w:type="dxa"/>
                </w:tcPr>
                <w:p>
                  <w:pPr>
                    <w:rPr>
                      <w:rFonts w:hint="eastAsia" w:eastAsia="宋体"/>
                      <w:lang w:eastAsia="zh-CN"/>
                    </w:rPr>
                  </w:pPr>
                  <w:r>
                    <w:rPr>
                      <w:rFonts w:hint="eastAsia"/>
                      <w:lang w:val="en-US" w:eastAsia="zh-CN"/>
                    </w:rPr>
                    <w:t>综合部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FE"/>
                  </w:r>
                  <w:r>
                    <w:rPr>
                      <w:rFonts w:hint="eastAsia"/>
                    </w:rPr>
                    <w:t>微信群</w:t>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FE"/>
                  </w:r>
                  <w:r>
                    <w:rPr>
                      <w:rFonts w:hint="eastAsia"/>
                    </w:rPr>
                    <w:t>每月</w:t>
                  </w:r>
                </w:p>
                <w:p>
                  <w:r>
                    <w:rPr>
                      <w:rFonts w:hint="eastAsia"/>
                    </w:rPr>
                    <w:sym w:font="Wingdings" w:char="00FE"/>
                  </w:r>
                  <w:r>
                    <w:rPr>
                      <w:rFonts w:hint="eastAsia"/>
                    </w:rPr>
                    <w:t>每周例会</w:t>
                  </w:r>
                </w:p>
                <w:p>
                  <w:r>
                    <w:rPr>
                      <w:rFonts w:hint="eastAsia"/>
                    </w:rPr>
                    <w:sym w:font="Wingdings" w:char="00FE"/>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rPr>
                    <w:t>标准、学术交流、专业会议、从顾客或外部供方收集的知识</w:t>
                  </w:r>
                </w:p>
              </w:tc>
              <w:tc>
                <w:tcPr>
                  <w:tcW w:w="1809" w:type="dxa"/>
                </w:tcPr>
                <w:p>
                  <w:pPr>
                    <w:rPr>
                      <w:rFonts w:hint="eastAsia" w:eastAsia="宋体"/>
                      <w:lang w:eastAsia="zh-CN"/>
                    </w:rPr>
                  </w:pPr>
                  <w:r>
                    <w:rPr>
                      <w:rFonts w:hint="eastAsia"/>
                      <w:lang w:val="en-US" w:eastAsia="zh-CN"/>
                    </w:rPr>
                    <w:t>综合部</w:t>
                  </w:r>
                </w:p>
                <w:p>
                  <w:pPr>
                    <w:rPr>
                      <w:rFonts w:hint="eastAsia" w:eastAsia="宋体"/>
                      <w:lang w:eastAsia="zh-CN"/>
                    </w:rPr>
                  </w:pPr>
                  <w:r>
                    <w:rPr>
                      <w:rFonts w:hint="eastAsia"/>
                    </w:rPr>
                    <w:t>生</w:t>
                  </w:r>
                  <w:r>
                    <w:rPr>
                      <w:rFonts w:hint="eastAsia"/>
                      <w:lang w:val="en-US" w:eastAsia="zh-CN"/>
                    </w:rPr>
                    <w:t>产部</w:t>
                  </w:r>
                </w:p>
              </w:tc>
              <w:tc>
                <w:tcPr>
                  <w:tcW w:w="1809" w:type="dxa"/>
                </w:tcPr>
                <w:p>
                  <w:r>
                    <w:rPr>
                      <w:rFonts w:hint="eastAsia"/>
                    </w:rPr>
                    <w:sym w:font="Wingdings" w:char="00FE"/>
                  </w:r>
                  <w:r>
                    <w:rPr>
                      <w:rFonts w:hint="eastAsia"/>
                    </w:rPr>
                    <w:t>交流会议</w:t>
                  </w:r>
                </w:p>
                <w:p>
                  <w:r>
                    <w:rPr>
                      <w:rFonts w:hint="eastAsia"/>
                    </w:rPr>
                    <w:sym w:font="Wingdings" w:char="00FE"/>
                  </w:r>
                  <w:r>
                    <w:rPr>
                      <w:rFonts w:hint="eastAsia"/>
                    </w:rPr>
                    <w:t>工作总结</w:t>
                  </w:r>
                </w:p>
                <w:p>
                  <w:r>
                    <w:rPr>
                      <w:rFonts w:hint="eastAsia"/>
                    </w:rPr>
                    <w:sym w:font="Wingdings" w:char="00FE"/>
                  </w:r>
                  <w:r>
                    <w:rPr>
                      <w:rFonts w:hint="eastAsia"/>
                    </w:rPr>
                    <w:t>辅导</w:t>
                  </w:r>
                </w:p>
                <w:p>
                  <w:r>
                    <w:rPr>
                      <w:rFonts w:hint="eastAsia"/>
                    </w:rPr>
                    <w:sym w:font="Wingdings" w:char="00FE"/>
                  </w:r>
                  <w:r>
                    <w:rPr>
                      <w:rFonts w:hint="eastAsia"/>
                    </w:rPr>
                    <w:t>培训</w:t>
                  </w:r>
                </w:p>
                <w:p>
                  <w:r>
                    <w:rPr>
                      <w:rFonts w:hint="eastAsia"/>
                    </w:rPr>
                    <w:sym w:font="Wingdings" w:char="00A8"/>
                  </w:r>
                </w:p>
              </w:tc>
              <w:tc>
                <w:tcPr>
                  <w:tcW w:w="1809" w:type="dxa"/>
                </w:tcPr>
                <w:p>
                  <w:r>
                    <w:rPr>
                      <w:rFonts w:hint="eastAsia"/>
                    </w:rPr>
                    <w:sym w:font="Wingdings" w:char="00FE"/>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r>
              <w:rPr>
                <w:rFonts w:hint="eastAsia"/>
              </w:rPr>
              <w:t>意识</w:t>
            </w:r>
          </w:p>
        </w:tc>
        <w:tc>
          <w:tcPr>
            <w:tcW w:w="960" w:type="dxa"/>
            <w:vMerge w:val="restart"/>
          </w:tcPr>
          <w:p>
            <w:r>
              <w:rPr>
                <w:rFonts w:hint="eastAsia"/>
              </w:rPr>
              <w:t xml:space="preserve">Q7.3  </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《人力资源控制程序》、</w:t>
            </w:r>
            <w:r>
              <w:rPr>
                <w:rFonts w:hint="eastAsia"/>
              </w:rPr>
              <w:sym w:font="Wingdings" w:char="00A8"/>
            </w:r>
            <w:r>
              <w:rPr>
                <w:rFonts w:hint="eastAsia"/>
              </w:rPr>
              <w:t>《能力和意识控制程序》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组织工作人员提高质量意识的方式：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质量方针</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相关的质量目标</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对质量管理体系有效性的贡献，包括改进绩效的益处；</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不符合质量管理体系要求的后果</w:t>
                  </w:r>
                </w:p>
              </w:tc>
              <w:tc>
                <w:tcPr>
                  <w:tcW w:w="4061" w:type="dxa"/>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r>
              <w:rPr>
                <w:rFonts w:hint="eastAsia"/>
              </w:rPr>
              <w:t>管理评审</w:t>
            </w:r>
          </w:p>
        </w:tc>
        <w:tc>
          <w:tcPr>
            <w:tcW w:w="960" w:type="dxa"/>
            <w:vMerge w:val="restart"/>
          </w:tcPr>
          <w:p>
            <w:r>
              <w:rPr>
                <w:rFonts w:hint="eastAsia"/>
              </w:rPr>
              <w:t>Q9.3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《管理评审程序》</w:t>
            </w:r>
            <w:r>
              <w:rPr>
                <w:rFonts w:hint="eastAsia"/>
              </w:rPr>
              <w:sym w:font="Wingdings" w:char="00FE"/>
            </w:r>
            <w:r>
              <w:rPr>
                <w:rFonts w:hint="eastAsia"/>
              </w:rPr>
              <w:t>手册第9.3条款</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tc>
        <w:tc>
          <w:tcPr>
            <w:tcW w:w="960" w:type="dxa"/>
            <w:vMerge w:val="continue"/>
          </w:tcPr>
          <w:p/>
        </w:tc>
        <w:tc>
          <w:tcPr>
            <w:tcW w:w="745" w:type="dxa"/>
          </w:tcPr>
          <w:p>
            <w:pPr>
              <w:widowControl/>
              <w:spacing w:before="40"/>
              <w:jc w:val="left"/>
              <w:rPr>
                <w:color w:val="000000"/>
                <w:szCs w:val="18"/>
              </w:rPr>
            </w:pPr>
          </w:p>
          <w:p>
            <w:r>
              <w:rPr>
                <w:rFonts w:hint="eastAsia"/>
              </w:rPr>
              <w:t>运行证据</w:t>
            </w:r>
          </w:p>
        </w:tc>
        <w:tc>
          <w:tcPr>
            <w:tcW w:w="9259" w:type="dxa"/>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rFonts w:hint="eastAsia"/>
                <w:color w:val="000000"/>
                <w:szCs w:val="18"/>
                <w:u w:val="single"/>
                <w:lang w:val="en-US" w:eastAsia="zh-CN"/>
              </w:rPr>
              <w:t>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1</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15</w:t>
            </w:r>
            <w:r>
              <w:rPr>
                <w:rFonts w:hint="eastAsia"/>
                <w:color w:val="000000"/>
                <w:szCs w:val="18"/>
              </w:rPr>
              <w:t>日实施了管理评审；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lang w:eastAsia="zh-CN"/>
                    </w:rPr>
                    <w:t>□</w:t>
                  </w:r>
                  <w:r>
                    <w:rPr>
                      <w:rFonts w:hint="eastAsia"/>
                      <w:color w:val="000000"/>
                      <w:szCs w:val="21"/>
                    </w:rPr>
                    <w:t xml:space="preserve">符合 </w:t>
                  </w:r>
                  <w:r>
                    <w:rPr>
                      <w:rFonts w:hint="eastAsia"/>
                      <w:color w:val="000000"/>
                      <w:szCs w:val="21"/>
                      <w:lang w:eastAsia="zh-CN"/>
                    </w:rPr>
                    <w:t>☑</w:t>
                  </w:r>
                  <w:r>
                    <w:rPr>
                      <w:rFonts w:hint="eastAsia"/>
                      <w:color w:val="000000"/>
                      <w:szCs w:val="21"/>
                    </w:rPr>
                    <w:t>不符合</w:t>
                  </w:r>
                </w:p>
              </w:tc>
              <w:tc>
                <w:tcPr>
                  <w:tcW w:w="2816" w:type="dxa"/>
                </w:tcPr>
                <w:p>
                  <w:pPr>
                    <w:widowControl/>
                    <w:spacing w:before="40"/>
                    <w:jc w:val="left"/>
                    <w:rPr>
                      <w:rFonts w:hint="default" w:eastAsia="宋体"/>
                      <w:color w:val="000000"/>
                      <w:szCs w:val="21"/>
                      <w:highlight w:val="cyan"/>
                      <w:lang w:val="en-US" w:eastAsia="zh-CN"/>
                    </w:rPr>
                  </w:pPr>
                  <w:r>
                    <w:rPr>
                      <w:rFonts w:hint="eastAsia"/>
                      <w:color w:val="000000"/>
                      <w:szCs w:val="21"/>
                      <w:highlight w:val="none"/>
                      <w:lang w:val="en-US" w:eastAsia="zh-CN"/>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与质量管理体系相关的内外部因素的变化；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质量目标的实现程度及趋势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完成质量目标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生产及质量目标达标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无质量投诉，内审不符合已改进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2020年目标我完成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highlight w:val="none"/>
                      <w:vertAlign w:val="baseline"/>
                      <w:lang w:val="en-US" w:eastAsia="zh-CN"/>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default" w:eastAsia="宋体"/>
                      <w:color w:val="000000"/>
                      <w:szCs w:val="21"/>
                      <w:lang w:val="en-US" w:eastAsia="zh-CN"/>
                    </w:rPr>
                  </w:pPr>
                  <w:r>
                    <w:rPr>
                      <w:rFonts w:hint="eastAsia"/>
                      <w:color w:val="000000"/>
                      <w:szCs w:val="21"/>
                      <w:lang w:val="en-US" w:eastAsia="zh-CN"/>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暂无</w:t>
                  </w:r>
                </w:p>
              </w:tc>
            </w:tr>
          </w:tbl>
          <w:p>
            <w:pPr>
              <w:widowControl/>
              <w:spacing w:before="40"/>
              <w:jc w:val="left"/>
              <w:rPr>
                <w:rFonts w:hint="eastAsia"/>
                <w:color w:val="000000"/>
                <w:szCs w:val="21"/>
                <w:highlight w:val="cyan"/>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r>
                    <w:rPr>
                      <w:rFonts w:hint="eastAsia"/>
                      <w:b/>
                      <w:bCs/>
                      <w:color w:val="000000"/>
                      <w:szCs w:val="21"/>
                    </w:rPr>
                    <w:t>举例</w:t>
                  </w:r>
                  <w:r>
                    <w:rPr>
                      <w:rFonts w:hint="eastAsia"/>
                      <w:color w:val="000000"/>
                      <w:szCs w:val="21"/>
                    </w:rPr>
                    <w:t>）</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numPr>
                      <w:ilvl w:val="0"/>
                      <w:numId w:val="2"/>
                    </w:numPr>
                    <w:rPr>
                      <w:rFonts w:hint="eastAsia" w:ascii="宋体" w:hAnsi="宋体" w:eastAsia="宋体"/>
                      <w:b w:val="0"/>
                      <w:szCs w:val="24"/>
                    </w:rPr>
                  </w:pPr>
                  <w:r>
                    <w:rPr>
                      <w:rFonts w:hint="eastAsia" w:ascii="宋体" w:hAnsi="宋体" w:eastAsia="宋体"/>
                      <w:b w:val="0"/>
                      <w:szCs w:val="24"/>
                    </w:rPr>
                    <w:t>在销售过程中,设置了供应商的选择评价机制，消除或者减少了潜在的质量事故的发生。</w:t>
                  </w:r>
                </w:p>
                <w:p>
                  <w:pPr>
                    <w:numPr>
                      <w:ilvl w:val="0"/>
                      <w:numId w:val="2"/>
                    </w:numPr>
                    <w:rPr>
                      <w:rFonts w:hint="eastAsia" w:ascii="宋体" w:hAnsi="宋体" w:eastAsia="宋体"/>
                      <w:b w:val="0"/>
                      <w:szCs w:val="24"/>
                    </w:rPr>
                  </w:pPr>
                  <w:r>
                    <w:rPr>
                      <w:rFonts w:hint="eastAsia" w:ascii="宋体" w:hAnsi="宋体" w:eastAsia="宋体"/>
                      <w:b w:val="0"/>
                      <w:szCs w:val="24"/>
                    </w:rPr>
                    <w:t>在销售岗位的控制上,制定了作业指导文件,并由</w:t>
                  </w:r>
                  <w:r>
                    <w:rPr>
                      <w:rFonts w:hint="eastAsia" w:ascii="宋体" w:hAnsi="宋体" w:eastAsia="宋体"/>
                      <w:b w:val="0"/>
                      <w:szCs w:val="24"/>
                      <w:lang w:eastAsia="zh-CN"/>
                    </w:rPr>
                    <w:t>业务部</w:t>
                  </w:r>
                  <w:r>
                    <w:rPr>
                      <w:rFonts w:hint="eastAsia" w:ascii="宋体" w:hAnsi="宋体" w:eastAsia="宋体"/>
                      <w:b w:val="0"/>
                      <w:szCs w:val="24"/>
                    </w:rPr>
                    <w:t>经理进行监督,达到满足客户要求的质量和产品性能.</w:t>
                  </w:r>
                </w:p>
                <w:p>
                  <w:pPr>
                    <w:numPr>
                      <w:ilvl w:val="0"/>
                      <w:numId w:val="2"/>
                    </w:numPr>
                    <w:rPr>
                      <w:rFonts w:hint="eastAsia" w:eastAsia="仿宋_GB2312"/>
                      <w:color w:val="000000"/>
                      <w:szCs w:val="21"/>
                      <w:lang w:eastAsia="zh-CN"/>
                    </w:rPr>
                  </w:pPr>
                  <w:r>
                    <w:rPr>
                      <w:rFonts w:hint="eastAsia" w:ascii="宋体" w:hAnsi="宋体" w:eastAsia="宋体"/>
                      <w:b w:val="0"/>
                      <w:szCs w:val="24"/>
                    </w:rPr>
                    <w:t>加强部门管理与服务改善，以改进销售服务效率。</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质量管理体系所需的变更</w:t>
                  </w:r>
                </w:p>
              </w:tc>
              <w:tc>
                <w:tcPr>
                  <w:tcW w:w="4620"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rFonts w:hint="eastAsia" w:eastAsia="宋体"/>
                      <w:color w:val="000000"/>
                      <w:szCs w:val="21"/>
                      <w:lang w:val="en-US" w:eastAsia="zh-CN"/>
                    </w:rPr>
                  </w:pPr>
                  <w:r>
                    <w:rPr>
                      <w:rFonts w:hint="eastAsia"/>
                      <w:color w:val="000000"/>
                      <w:szCs w:val="21"/>
                      <w:lang w:val="en-US" w:eastAsia="zh-CN"/>
                    </w:rPr>
                    <w:t>投入资金</w:t>
                  </w:r>
                </w:p>
              </w:tc>
              <w:tc>
                <w:tcPr>
                  <w:tcW w:w="2496" w:type="dxa"/>
                </w:tcPr>
                <w:p>
                  <w:pPr>
                    <w:widowControl/>
                    <w:spacing w:before="40"/>
                    <w:jc w:val="left"/>
                    <w:rPr>
                      <w:color w:val="000000"/>
                      <w:szCs w:val="21"/>
                    </w:rPr>
                  </w:pPr>
                  <w:r>
                    <w:rPr>
                      <w:rFonts w:hint="eastAsia"/>
                      <w:color w:val="000000"/>
                      <w:szCs w:val="21"/>
                      <w:lang w:eastAsia="zh-CN"/>
                    </w:rPr>
                    <w:t>☑</w:t>
                  </w:r>
                  <w:r>
                    <w:rPr>
                      <w:rFonts w:hint="eastAsia"/>
                    </w:rPr>
                    <w:t>已落实</w:t>
                  </w:r>
                  <w:r>
                    <w:rPr>
                      <w:rFonts w:hint="eastAsia"/>
                      <w:color w:val="000000"/>
                      <w:szCs w:val="21"/>
                    </w:rPr>
                    <w:t xml:space="preserve"> □</w:t>
                  </w:r>
                  <w:r>
                    <w:rPr>
                      <w:rFonts w:hint="eastAsia"/>
                    </w:rPr>
                    <w:t>已部分落实</w:t>
                  </w:r>
                </w:p>
              </w:tc>
            </w:tr>
          </w:tbl>
          <w:p>
            <w:pPr>
              <w:rPr>
                <w:highlight w:val="cyan"/>
              </w:rPr>
            </w:pPr>
          </w:p>
          <w:p>
            <w:pPr>
              <w:rPr>
                <w:rFonts w:hint="eastAsia"/>
                <w:highlight w:val="cyan"/>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监视、测量、分析和评价</w:t>
            </w:r>
          </w:p>
          <w:p/>
        </w:tc>
        <w:tc>
          <w:tcPr>
            <w:tcW w:w="960" w:type="dxa"/>
            <w:vMerge w:val="restart"/>
          </w:tcPr>
          <w:p>
            <w:r>
              <w:rPr>
                <w:rFonts w:hint="eastAsia"/>
              </w:rPr>
              <w:t>Q9.1.1</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管理手册9.1.1章</w:t>
            </w:r>
            <w:r>
              <w:rPr>
                <w:rFonts w:hint="eastAsia"/>
                <w:lang w:eastAsia="zh-CN"/>
              </w:rPr>
              <w:t>，</w:t>
            </w:r>
            <w:r>
              <w:rPr>
                <w:rFonts w:hint="eastAsia"/>
              </w:rPr>
              <w:sym w:font="Wingdings" w:char="00FE"/>
            </w:r>
            <w:r>
              <w:rPr>
                <w:rFonts w:hint="eastAsia"/>
                <w:lang w:eastAsia="zh-CN"/>
              </w:rPr>
              <w:t>《监视和测量装置管理程序》</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组织对监视和测量的策划</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843"/>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3" w:type="dxa"/>
                </w:tcPr>
                <w:p>
                  <w:r>
                    <w:rPr>
                      <w:rFonts w:hint="eastAsia"/>
                    </w:rPr>
                    <w:t>监视和测量的对象</w:t>
                  </w:r>
                </w:p>
              </w:tc>
              <w:tc>
                <w:tcPr>
                  <w:tcW w:w="1843" w:type="dxa"/>
                </w:tcPr>
                <w:p>
                  <w:r>
                    <w:rPr>
                      <w:rFonts w:hint="eastAsia"/>
                    </w:rPr>
                    <w:t>监视、测量的方法</w:t>
                  </w:r>
                </w:p>
              </w:tc>
              <w:tc>
                <w:tcPr>
                  <w:tcW w:w="1986" w:type="dxa"/>
                </w:tcPr>
                <w:p>
                  <w:r>
                    <w:rPr>
                      <w:rFonts w:hint="eastAsia"/>
                    </w:rPr>
                    <w:t>监视和测量的频次和时机</w:t>
                  </w:r>
                </w:p>
              </w:tc>
              <w:tc>
                <w:tcPr>
                  <w:tcW w:w="1887" w:type="dxa"/>
                </w:tcPr>
                <w:p>
                  <w:r>
                    <w:rPr>
                      <w:rFonts w:hint="eastAsia"/>
                    </w:rPr>
                    <w:t>分析和评价的方法</w:t>
                  </w:r>
                </w:p>
              </w:tc>
              <w:tc>
                <w:tcPr>
                  <w:tcW w:w="2034" w:type="dxa"/>
                </w:tcPr>
                <w:p>
                  <w:r>
                    <w:rPr>
                      <w:rFonts w:hint="eastAsia"/>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产品</w:t>
                  </w:r>
                </w:p>
              </w:tc>
              <w:tc>
                <w:tcPr>
                  <w:tcW w:w="1843" w:type="dxa"/>
                </w:tcPr>
                <w:p>
                  <w:r>
                    <w:rPr>
                      <w:rFonts w:hint="eastAsia"/>
                    </w:rPr>
                    <w:t>产品（原材料、半成品、成品）检验</w:t>
                  </w:r>
                </w:p>
              </w:tc>
              <w:tc>
                <w:tcPr>
                  <w:tcW w:w="1986" w:type="dxa"/>
                </w:tcPr>
                <w:p>
                  <w:r>
                    <w:rPr>
                      <w:rFonts w:hint="eastAsia"/>
                      <w:color w:val="000000"/>
                      <w:szCs w:val="21"/>
                    </w:rPr>
                    <w:t>□</w:t>
                  </w:r>
                  <w:r>
                    <w:rPr>
                      <w:rFonts w:hint="eastAsia"/>
                    </w:rPr>
                    <w:t>见检验计划/规程</w:t>
                  </w:r>
                  <w:r>
                    <w:rPr>
                      <w:rFonts w:hint="eastAsia"/>
                      <w:color w:val="000000"/>
                      <w:szCs w:val="21"/>
                    </w:rPr>
                    <w:t>☑每批</w:t>
                  </w:r>
                </w:p>
              </w:tc>
              <w:tc>
                <w:tcPr>
                  <w:tcW w:w="1887" w:type="dxa"/>
                </w:tcPr>
                <w:p>
                  <w:r>
                    <w:rPr>
                      <w:rFonts w:hint="eastAsia"/>
                    </w:rPr>
                    <w:t>对产品合格率进行统计，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过程</w:t>
                  </w:r>
                </w:p>
              </w:tc>
              <w:tc>
                <w:tcPr>
                  <w:tcW w:w="1843" w:type="dxa"/>
                </w:tcPr>
                <w:p>
                  <w:r>
                    <w:rPr>
                      <w:rFonts w:hint="eastAsia"/>
                    </w:rPr>
                    <w:t>现场巡视</w:t>
                  </w:r>
                </w:p>
                <w:p>
                  <w:r>
                    <w:rPr>
                      <w:rFonts w:hint="eastAsia"/>
                    </w:rPr>
                    <w:t>抽查记录</w:t>
                  </w:r>
                </w:p>
              </w:tc>
              <w:tc>
                <w:tcPr>
                  <w:tcW w:w="1986" w:type="dxa"/>
                </w:tcPr>
                <w:p>
                  <w:r>
                    <w:rPr>
                      <w:rFonts w:hint="eastAsia"/>
                      <w:color w:val="000000"/>
                      <w:szCs w:val="21"/>
                    </w:rPr>
                    <w:t>☑</w:t>
                  </w:r>
                  <w:r>
                    <w:rPr>
                      <w:rFonts w:hint="eastAsia"/>
                    </w:rPr>
                    <w:t>定期检查</w:t>
                  </w:r>
                </w:p>
                <w:p>
                  <w:r>
                    <w:rPr>
                      <w:rFonts w:hint="eastAsia"/>
                      <w:color w:val="000000"/>
                      <w:szCs w:val="21"/>
                    </w:rPr>
                    <w:t>☑</w:t>
                  </w:r>
                  <w:r>
                    <w:rPr>
                      <w:rFonts w:hint="eastAsia"/>
                    </w:rPr>
                    <w:t>抽查</w:t>
                  </w:r>
                </w:p>
              </w:tc>
              <w:tc>
                <w:tcPr>
                  <w:tcW w:w="1887" w:type="dxa"/>
                </w:tcPr>
                <w:p>
                  <w:r>
                    <w:rPr>
                      <w:rFonts w:hint="eastAsia"/>
                    </w:rPr>
                    <w:t>对质量目标/Cpk进行统计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w:t>
                  </w:r>
                </w:p>
              </w:tc>
              <w:tc>
                <w:tcPr>
                  <w:tcW w:w="1843" w:type="dxa"/>
                </w:tcPr>
                <w:p>
                  <w:r>
                    <w:rPr>
                      <w:rFonts w:hint="eastAsia"/>
                    </w:rPr>
                    <w:t>内部审核</w:t>
                  </w:r>
                </w:p>
              </w:tc>
              <w:tc>
                <w:tcPr>
                  <w:tcW w:w="1986" w:type="dxa"/>
                </w:tcPr>
                <w:p>
                  <w:r>
                    <w:rPr>
                      <w:rFonts w:hint="eastAsia"/>
                      <w:color w:val="000000"/>
                      <w:szCs w:val="21"/>
                    </w:rPr>
                    <w:t>□</w:t>
                  </w:r>
                  <w:r>
                    <w:rPr>
                      <w:rFonts w:hint="eastAsia"/>
                    </w:rPr>
                    <w:t>按年度内审计划</w:t>
                  </w:r>
                </w:p>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对内审不符合项进行分析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体系有效性</w:t>
                  </w:r>
                </w:p>
              </w:tc>
              <w:tc>
                <w:tcPr>
                  <w:tcW w:w="1843" w:type="dxa"/>
                </w:tcPr>
                <w:p>
                  <w:r>
                    <w:rPr>
                      <w:rFonts w:hint="eastAsia"/>
                    </w:rPr>
                    <w:t>管理评审</w:t>
                  </w:r>
                </w:p>
              </w:tc>
              <w:tc>
                <w:tcPr>
                  <w:tcW w:w="1986" w:type="dxa"/>
                </w:tcPr>
                <w:p>
                  <w:r>
                    <w:rPr>
                      <w:rFonts w:hint="eastAsia"/>
                      <w:color w:val="000000"/>
                      <w:szCs w:val="21"/>
                    </w:rPr>
                    <w:t>☑</w:t>
                  </w:r>
                  <w:r>
                    <w:rPr>
                      <w:rFonts w:hint="eastAsia"/>
                    </w:rPr>
                    <w:t>每年一次</w:t>
                  </w:r>
                </w:p>
                <w:p>
                  <w:r>
                    <w:rPr>
                      <w:rFonts w:hint="eastAsia"/>
                      <w:color w:val="000000"/>
                      <w:szCs w:val="21"/>
                    </w:rPr>
                    <w:t>□特殊情况增加</w:t>
                  </w:r>
                </w:p>
              </w:tc>
              <w:tc>
                <w:tcPr>
                  <w:tcW w:w="1887" w:type="dxa"/>
                </w:tcPr>
                <w:p>
                  <w:r>
                    <w:rPr>
                      <w:rFonts w:hint="eastAsia"/>
                    </w:rPr>
                    <w:t>对QMS存在的需要问题进行分析</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tcPr>
                <w:p>
                  <w:r>
                    <w:rPr>
                      <w:rFonts w:hint="eastAsia"/>
                    </w:rPr>
                    <w:t>顾客满意</w:t>
                  </w:r>
                </w:p>
              </w:tc>
              <w:tc>
                <w:tcPr>
                  <w:tcW w:w="1843" w:type="dxa"/>
                </w:tcPr>
                <w:p>
                  <w:r>
                    <w:rPr>
                      <w:rFonts w:hint="eastAsia"/>
                    </w:rPr>
                    <w:t>问卷调查</w:t>
                  </w:r>
                </w:p>
              </w:tc>
              <w:tc>
                <w:tcPr>
                  <w:tcW w:w="1986" w:type="dxa"/>
                </w:tcPr>
                <w:p>
                  <w:r>
                    <w:rPr>
                      <w:rFonts w:hint="eastAsia"/>
                      <w:color w:val="000000"/>
                      <w:szCs w:val="21"/>
                    </w:rPr>
                    <w:t>☑</w:t>
                  </w:r>
                  <w:r>
                    <w:rPr>
                      <w:rFonts w:hint="eastAsia"/>
                    </w:rPr>
                    <w:t>每年一次</w:t>
                  </w:r>
                </w:p>
                <w:p>
                  <w:r>
                    <w:rPr>
                      <w:rFonts w:hint="eastAsia"/>
                      <w:color w:val="000000"/>
                      <w:szCs w:val="21"/>
                    </w:rPr>
                    <w:t>□</w:t>
                  </w:r>
                </w:p>
              </w:tc>
              <w:tc>
                <w:tcPr>
                  <w:tcW w:w="1887" w:type="dxa"/>
                </w:tcPr>
                <w:p>
                  <w:r>
                    <w:rPr>
                      <w:rFonts w:hint="eastAsia"/>
                    </w:rPr>
                    <w:t>对顾客满意率进行统计</w:t>
                  </w:r>
                </w:p>
              </w:tc>
              <w:tc>
                <w:tcPr>
                  <w:tcW w:w="2034" w:type="dxa"/>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分析与评价</w:t>
            </w:r>
          </w:p>
        </w:tc>
        <w:tc>
          <w:tcPr>
            <w:tcW w:w="960" w:type="dxa"/>
            <w:vMerge w:val="restart"/>
          </w:tcPr>
          <w:p>
            <w:r>
              <w:rPr>
                <w:rFonts w:hint="eastAsia"/>
              </w:rPr>
              <w:t>Q9.1.3</w:t>
            </w:r>
          </w:p>
        </w:tc>
        <w:tc>
          <w:tcPr>
            <w:tcW w:w="745" w:type="dxa"/>
          </w:tcPr>
          <w:p>
            <w:r>
              <w:rPr>
                <w:rFonts w:hint="eastAsia"/>
              </w:rPr>
              <w:t>文件名称</w:t>
            </w:r>
          </w:p>
        </w:tc>
        <w:tc>
          <w:tcPr>
            <w:tcW w:w="9259" w:type="dxa"/>
          </w:tcPr>
          <w:p>
            <w:pPr>
              <w:rPr>
                <w:rFonts w:hint="eastAsia" w:eastAsia="宋体"/>
                <w:lang w:eastAsia="zh-CN"/>
              </w:rPr>
            </w:pPr>
            <w:r>
              <w:rPr>
                <w:rFonts w:hint="eastAsia"/>
              </w:rPr>
              <w:t>如：</w:t>
            </w:r>
            <w:r>
              <w:rPr>
                <w:rFonts w:hint="eastAsia"/>
              </w:rPr>
              <w:sym w:font="Wingdings" w:char="00FE"/>
            </w:r>
            <w:r>
              <w:rPr>
                <w:rFonts w:hint="eastAsia"/>
              </w:rPr>
              <w:t>管理手册10.3章</w:t>
            </w:r>
            <w:r>
              <w:rPr>
                <w:rFonts w:hint="eastAsia"/>
                <w:lang w:eastAsia="zh-CN"/>
              </w:rPr>
              <w:t>，</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对获得的数据和信息进行分析与评价</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651"/>
              <w:gridCol w:w="1811"/>
              <w:gridCol w:w="134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分析和评价的对象</w:t>
                  </w:r>
                </w:p>
              </w:tc>
              <w:tc>
                <w:tcPr>
                  <w:tcW w:w="2651" w:type="dxa"/>
                </w:tcPr>
                <w:p>
                  <w:r>
                    <w:rPr>
                      <w:rFonts w:hint="eastAsia"/>
                    </w:rPr>
                    <w:t>分析和评价的方法</w:t>
                  </w:r>
                </w:p>
              </w:tc>
              <w:tc>
                <w:tcPr>
                  <w:tcW w:w="1811" w:type="dxa"/>
                </w:tcPr>
                <w:p>
                  <w:r>
                    <w:rPr>
                      <w:rFonts w:hint="eastAsia"/>
                    </w:rPr>
                    <w:t>分析和评价的频次和时机</w:t>
                  </w:r>
                </w:p>
              </w:tc>
              <w:tc>
                <w:tcPr>
                  <w:tcW w:w="1342" w:type="dxa"/>
                </w:tcPr>
                <w:p>
                  <w:r>
                    <w:rPr>
                      <w:rFonts w:hint="eastAsia"/>
                    </w:rPr>
                    <w:t>使用的统计技术</w:t>
                  </w:r>
                </w:p>
              </w:tc>
              <w:tc>
                <w:tcPr>
                  <w:tcW w:w="1314" w:type="dxa"/>
                </w:tcPr>
                <w:p>
                  <w:r>
                    <w:rPr>
                      <w:rFonts w:hint="eastAsia"/>
                    </w:rPr>
                    <w:t>分析的结果用于改进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产品和服务的符合性</w:t>
                  </w:r>
                </w:p>
              </w:tc>
              <w:tc>
                <w:tcPr>
                  <w:tcW w:w="2651" w:type="dxa"/>
                  <w:shd w:val="clear" w:color="auto" w:fill="auto"/>
                </w:tcPr>
                <w:p>
                  <w:r>
                    <w:rPr>
                      <w:rFonts w:hint="eastAsia"/>
                    </w:rPr>
                    <w:t>对产品合格率进行统计分析，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顾客满意程度</w:t>
                  </w:r>
                </w:p>
              </w:tc>
              <w:tc>
                <w:tcPr>
                  <w:tcW w:w="2651" w:type="dxa"/>
                  <w:shd w:val="clear" w:color="auto" w:fill="auto"/>
                </w:tcPr>
                <w:p>
                  <w:r>
                    <w:rPr>
                      <w:rFonts w:hint="eastAsia"/>
                    </w:rPr>
                    <w:t>对顾客满意率进行统计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color w:val="000000"/>
                      <w:szCs w:val="21"/>
                      <w:lang w:eastAsia="zh-CN"/>
                    </w:rPr>
                    <w:t>☑</w:t>
                  </w:r>
                  <w:r>
                    <w:rPr>
                      <w:rFonts w:hint="eastAsia"/>
                    </w:rPr>
                    <w:t xml:space="preserve">每季度 </w:t>
                  </w:r>
                  <w:r>
                    <w:rPr>
                      <w:rFonts w:hint="eastAsia"/>
                      <w:color w:val="000000"/>
                      <w:szCs w:val="21"/>
                      <w:lang w:eastAsia="zh-CN"/>
                    </w:rPr>
                    <w:t>□</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质量管理体系的绩效和有效性</w:t>
                  </w:r>
                </w:p>
              </w:tc>
              <w:tc>
                <w:tcPr>
                  <w:tcW w:w="2651" w:type="dxa"/>
                  <w:shd w:val="clear" w:color="auto" w:fill="auto"/>
                </w:tcPr>
                <w:p>
                  <w:r>
                    <w:rPr>
                      <w:rFonts w:hint="eastAsia"/>
                    </w:rPr>
                    <w:t>对内审不符合项进行分析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鱼刺图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策划是否得到有效实施</w:t>
                  </w:r>
                </w:p>
              </w:tc>
              <w:tc>
                <w:tcPr>
                  <w:tcW w:w="2651" w:type="dxa"/>
                  <w:shd w:val="clear" w:color="auto" w:fill="auto"/>
                </w:tcPr>
                <w:p>
                  <w:r>
                    <w:rPr>
                      <w:rFonts w:hint="eastAsia"/>
                    </w:rPr>
                    <w:t>对质量目标完成/Cpk进行统计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针对风险和机遇所采取措施的有效性</w:t>
                  </w:r>
                </w:p>
              </w:tc>
              <w:tc>
                <w:tcPr>
                  <w:tcW w:w="2651" w:type="dxa"/>
                  <w:shd w:val="clear" w:color="auto" w:fill="auto"/>
                </w:tcPr>
                <w:p>
                  <w:r>
                    <w:rPr>
                      <w:rFonts w:hint="eastAsia"/>
                    </w:rPr>
                    <w:t>对质量目标完成进行统计</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外部供方的绩效</w:t>
                  </w:r>
                </w:p>
              </w:tc>
              <w:tc>
                <w:tcPr>
                  <w:tcW w:w="2651" w:type="dxa"/>
                  <w:shd w:val="clear" w:color="auto" w:fill="auto"/>
                </w:tcPr>
                <w:p>
                  <w:r>
                    <w:rPr>
                      <w:rFonts w:hint="eastAsia"/>
                    </w:rPr>
                    <w:t>对外部供方的供货质量和服务质量进行统计分析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lang w:eastAsia="zh-CN"/>
                    </w:rPr>
                    <w:t>□</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质量管理体系改进的需求</w:t>
                  </w:r>
                </w:p>
              </w:tc>
              <w:tc>
                <w:tcPr>
                  <w:tcW w:w="2651" w:type="dxa"/>
                  <w:shd w:val="clear" w:color="auto" w:fill="auto"/>
                </w:tcPr>
                <w:p>
                  <w:r>
                    <w:rPr>
                      <w:rFonts w:hint="eastAsia"/>
                    </w:rPr>
                    <w:t>对QMS存在的需要问题进行分析</w:t>
                  </w:r>
                </w:p>
              </w:tc>
              <w:tc>
                <w:tcPr>
                  <w:tcW w:w="1811" w:type="dxa"/>
                  <w:shd w:val="clear" w:color="auto" w:fill="auto"/>
                </w:tcPr>
                <w:p>
                  <w:pPr>
                    <w:widowControl/>
                    <w:spacing w:before="40"/>
                    <w:jc w:val="left"/>
                    <w:rPr>
                      <w:color w:val="000000"/>
                      <w:szCs w:val="21"/>
                    </w:rPr>
                  </w:pPr>
                  <w:r>
                    <w:rPr>
                      <w:rFonts w:hint="eastAsia"/>
                      <w:color w:val="000000"/>
                      <w:szCs w:val="21"/>
                    </w:rPr>
                    <w:t>□</w:t>
                  </w:r>
                  <w:r>
                    <w:rPr>
                      <w:rFonts w:hint="eastAsia"/>
                    </w:rPr>
                    <w:t>每月</w:t>
                  </w:r>
                  <w:r>
                    <w:rPr>
                      <w:rFonts w:hint="eastAsia"/>
                      <w:color w:val="000000"/>
                      <w:szCs w:val="21"/>
                    </w:rPr>
                    <w:t xml:space="preserve"> □</w:t>
                  </w:r>
                  <w:r>
                    <w:rPr>
                      <w:rFonts w:hint="eastAsia"/>
                    </w:rPr>
                    <w:t xml:space="preserve">每季度 </w:t>
                  </w:r>
                  <w:r>
                    <w:rPr>
                      <w:rFonts w:hint="eastAsia"/>
                      <w:color w:val="000000"/>
                      <w:szCs w:val="21"/>
                    </w:rPr>
                    <w:t>☑每年</w:t>
                  </w:r>
                </w:p>
              </w:tc>
              <w:tc>
                <w:tcPr>
                  <w:tcW w:w="1342" w:type="dxa"/>
                  <w:shd w:val="clear" w:color="auto" w:fill="auto"/>
                </w:tcPr>
                <w:p>
                  <w:r>
                    <w:rPr>
                      <w:rFonts w:hint="eastAsia"/>
                      <w:color w:val="000000"/>
                      <w:szCs w:val="21"/>
                    </w:rPr>
                    <w:t>□</w:t>
                  </w:r>
                  <w:r>
                    <w:rPr>
                      <w:rFonts w:hint="eastAsia"/>
                    </w:rPr>
                    <w:t>柱状图</w:t>
                  </w:r>
                </w:p>
                <w:p>
                  <w:r>
                    <w:rPr>
                      <w:rFonts w:hint="eastAsia"/>
                      <w:color w:val="000000"/>
                      <w:szCs w:val="21"/>
                    </w:rPr>
                    <w:t>□</w:t>
                  </w:r>
                  <w:r>
                    <w:rPr>
                      <w:rFonts w:hint="eastAsia"/>
                    </w:rPr>
                    <w:t>饼状图</w:t>
                  </w:r>
                </w:p>
                <w:p>
                  <w:r>
                    <w:rPr>
                      <w:rFonts w:hint="eastAsia"/>
                      <w:color w:val="000000"/>
                      <w:szCs w:val="21"/>
                    </w:rPr>
                    <w:t>□</w:t>
                  </w:r>
                  <w:r>
                    <w:rPr>
                      <w:rFonts w:hint="eastAsia"/>
                    </w:rPr>
                    <w:t>SPC</w:t>
                  </w:r>
                </w:p>
              </w:tc>
              <w:tc>
                <w:tcPr>
                  <w:tcW w:w="1314" w:type="dxa"/>
                  <w:shd w:val="clear" w:color="auto" w:fill="auto"/>
                </w:tcPr>
                <w:p>
                  <w:r>
                    <w:rPr>
                      <w:rFonts w:hint="eastAsia"/>
                      <w:color w:val="000000"/>
                      <w:szCs w:val="21"/>
                    </w:rPr>
                    <w:t>☑</w:t>
                  </w:r>
                  <w:r>
                    <w:rPr>
                      <w:rFonts w:hint="eastAsia"/>
                    </w:rPr>
                    <w:t>已用于</w:t>
                  </w:r>
                </w:p>
                <w:p>
                  <w:r>
                    <w:rPr>
                      <w:rFonts w:hint="eastAsia"/>
                      <w:color w:val="000000"/>
                      <w:szCs w:val="21"/>
                    </w:rPr>
                    <w:t>□</w:t>
                  </w:r>
                  <w:r>
                    <w:rPr>
                      <w:rFonts w:hint="eastAsia"/>
                    </w:rPr>
                    <w:t>未用于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tc>
              <w:tc>
                <w:tcPr>
                  <w:tcW w:w="2651" w:type="dxa"/>
                </w:tcPr>
                <w:p/>
              </w:tc>
              <w:tc>
                <w:tcPr>
                  <w:tcW w:w="1811" w:type="dxa"/>
                </w:tcPr>
                <w:p>
                  <w:pPr>
                    <w:widowControl/>
                    <w:spacing w:before="40"/>
                    <w:jc w:val="left"/>
                    <w:rPr>
                      <w:color w:val="000000"/>
                      <w:szCs w:val="21"/>
                    </w:rPr>
                  </w:pPr>
                </w:p>
              </w:tc>
              <w:tc>
                <w:tcPr>
                  <w:tcW w:w="1342" w:type="dxa"/>
                </w:tcPr>
                <w:p/>
              </w:tc>
              <w:tc>
                <w:tcPr>
                  <w:tcW w:w="1314" w:type="dxa"/>
                </w:tcPr>
                <w:p>
                  <w:r>
                    <w:rPr>
                      <w:rFonts w:hint="eastAsia"/>
                      <w:color w:val="000000"/>
                      <w:szCs w:val="21"/>
                    </w:rPr>
                    <w:t>□</w:t>
                  </w:r>
                  <w:r>
                    <w:rPr>
                      <w:rFonts w:hint="eastAsia"/>
                    </w:rPr>
                    <w:t>已用于</w:t>
                  </w:r>
                </w:p>
                <w:p>
                  <w:r>
                    <w:rPr>
                      <w:rFonts w:hint="eastAsia"/>
                      <w:color w:val="000000"/>
                      <w:szCs w:val="21"/>
                    </w:rPr>
                    <w:t>□</w:t>
                  </w:r>
                  <w:r>
                    <w:rPr>
                      <w:rFonts w:hint="eastAsia"/>
                    </w:rPr>
                    <w:t>未用于</w:t>
                  </w:r>
                </w:p>
                <w:p>
                  <w:r>
                    <w:rPr>
                      <w:rFonts w:hint="eastAsia"/>
                      <w:color w:val="000000"/>
                      <w:szCs w:val="21"/>
                    </w:rPr>
                    <w:t>□</w:t>
                  </w:r>
                </w:p>
              </w:tc>
            </w:tr>
          </w:tbl>
          <w:p>
            <w:pPr>
              <w:rPr>
                <w:highlight w:val="cyan"/>
              </w:rPr>
            </w:pPr>
          </w:p>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改进</w:t>
            </w:r>
          </w:p>
        </w:tc>
        <w:tc>
          <w:tcPr>
            <w:tcW w:w="960" w:type="dxa"/>
            <w:vMerge w:val="restart"/>
          </w:tcPr>
          <w:p>
            <w:r>
              <w:rPr>
                <w:rFonts w:hint="eastAsia"/>
              </w:rPr>
              <w:t>Q10.1</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管理手册10.1章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组织确定和选择了改进机会，并采取必要措施，以满足顾客要求和增强顾客满意。 </w:t>
            </w:r>
          </w:p>
          <w:p>
            <w:r>
              <w:rPr>
                <w:rFonts w:hint="eastAsia"/>
              </w:rPr>
              <w:t xml:space="preserve">这包括： </w:t>
            </w:r>
          </w:p>
          <w:p>
            <w:r>
              <w:rPr>
                <w:rFonts w:hint="eastAsia"/>
              </w:rPr>
              <w:sym w:font="Wingdings" w:char="00FE"/>
            </w:r>
            <w:r>
              <w:rPr>
                <w:rFonts w:hint="eastAsia"/>
              </w:rPr>
              <w:t xml:space="preserve">改进产品和服务，以满足要求并应对未来的需求和期望； </w:t>
            </w:r>
          </w:p>
          <w:p>
            <w:r>
              <w:rPr>
                <w:rFonts w:hint="eastAsia"/>
              </w:rPr>
              <w:sym w:font="Wingdings" w:char="00FE"/>
            </w:r>
            <w:r>
              <w:rPr>
                <w:rFonts w:hint="eastAsia"/>
              </w:rPr>
              <w:t xml:space="preserve">纠正、预防或减少不利影响； </w:t>
            </w:r>
          </w:p>
          <w:p>
            <w:r>
              <w:rPr>
                <w:rFonts w:hint="eastAsia"/>
              </w:rPr>
              <w:sym w:font="Wingdings" w:char="00FE"/>
            </w:r>
            <w:r>
              <w:rPr>
                <w:rFonts w:hint="eastAsia"/>
              </w:rPr>
              <w:t xml:space="preserve">改进质量管理体系的绩效和有效性。 </w:t>
            </w:r>
          </w:p>
          <w:p/>
          <w:p>
            <w:r>
              <w:rPr>
                <w:rFonts w:hint="eastAsia"/>
              </w:rPr>
              <w:t xml:space="preserve">改进包括：纠正、纠正措施、持续改进、突破性变革、创新和重组。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r>
              <w:rPr>
                <w:rFonts w:hint="eastAsia"/>
              </w:rPr>
              <w:t>10.3 持续改进</w:t>
            </w:r>
          </w:p>
          <w:p/>
        </w:tc>
        <w:tc>
          <w:tcPr>
            <w:tcW w:w="960" w:type="dxa"/>
            <w:vMerge w:val="restart"/>
          </w:tcPr>
          <w:p>
            <w:r>
              <w:rPr>
                <w:rFonts w:hint="eastAsia"/>
              </w:rPr>
              <w:t>Q10.3</w:t>
            </w:r>
          </w:p>
        </w:tc>
        <w:tc>
          <w:tcPr>
            <w:tcW w:w="745" w:type="dxa"/>
          </w:tcPr>
          <w:p>
            <w:r>
              <w:rPr>
                <w:rFonts w:hint="eastAsia"/>
              </w:rPr>
              <w:t>文件名称</w:t>
            </w:r>
          </w:p>
        </w:tc>
        <w:tc>
          <w:tcPr>
            <w:tcW w:w="9259" w:type="dxa"/>
          </w:tcPr>
          <w:p>
            <w:r>
              <w:rPr>
                <w:rFonts w:hint="eastAsia"/>
              </w:rPr>
              <w:t>如：</w:t>
            </w:r>
            <w:r>
              <w:rPr>
                <w:rFonts w:hint="eastAsia"/>
              </w:rPr>
              <w:sym w:font="Wingdings" w:char="00FE"/>
            </w:r>
            <w:r>
              <w:rPr>
                <w:rFonts w:hint="eastAsia"/>
              </w:rPr>
              <w:t>管理手册10.3章</w:t>
            </w:r>
          </w:p>
        </w:tc>
        <w:tc>
          <w:tcPr>
            <w:tcW w:w="1585" w:type="dxa"/>
            <w:vMerge w:val="restart"/>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tc>
        <w:tc>
          <w:tcPr>
            <w:tcW w:w="960" w:type="dxa"/>
            <w:vMerge w:val="continue"/>
          </w:tcPr>
          <w:p/>
        </w:tc>
        <w:tc>
          <w:tcPr>
            <w:tcW w:w="745" w:type="dxa"/>
          </w:tcPr>
          <w:p>
            <w:r>
              <w:rPr>
                <w:rFonts w:hint="eastAsia"/>
              </w:rPr>
              <w:t>运行证据</w:t>
            </w:r>
          </w:p>
        </w:tc>
        <w:tc>
          <w:tcPr>
            <w:tcW w:w="9259" w:type="dxa"/>
          </w:tcPr>
          <w:p>
            <w:r>
              <w:rPr>
                <w:rFonts w:hint="eastAsia"/>
              </w:rPr>
              <w:t xml:space="preserve">组织已持续改进质量管理体系的适宜性、充分性和有效性。 </w:t>
            </w:r>
          </w:p>
          <w:p>
            <w:r>
              <w:rPr>
                <w:rFonts w:hint="eastAsia"/>
              </w:rPr>
              <w:t>组织考虑了分析和评价的结果以及管理评审的输出，确定是否存在需求或机遇，这些需求或机遇应作为持续改进的一部分加以应对。</w:t>
            </w:r>
          </w:p>
          <w:p/>
          <w:p>
            <w:r>
              <w:rPr>
                <w:rFonts w:hint="eastAsia"/>
              </w:rPr>
              <w:sym w:font="Wingdings" w:char="00FE"/>
            </w:r>
            <w:r>
              <w:rPr>
                <w:rFonts w:hint="eastAsia"/>
              </w:rPr>
              <w:t xml:space="preserve"> 管理评审改进措施已落实</w:t>
            </w:r>
          </w:p>
          <w:p>
            <w:pPr>
              <w:rPr>
                <w:u w:val="single"/>
              </w:rPr>
            </w:pPr>
            <w:r>
              <w:rPr>
                <w:rFonts w:hint="eastAsia"/>
              </w:rPr>
              <w:sym w:font="Wingdings" w:char="00A8"/>
            </w:r>
            <w:r>
              <w:rPr>
                <w:rFonts w:hint="eastAsia"/>
              </w:rPr>
              <w:t xml:space="preserve"> 管理评审改进措施未落实的原因：</w:t>
            </w:r>
            <w:r>
              <w:rPr>
                <w:rFonts w:hint="eastAsia"/>
                <w:u w:val="single"/>
              </w:rPr>
              <w:t xml:space="preserve">                              </w:t>
            </w:r>
          </w:p>
          <w:p/>
        </w:tc>
        <w:tc>
          <w:tcPr>
            <w:tcW w:w="1585" w:type="dxa"/>
            <w:vMerge w:val="continue"/>
          </w:tcPr>
          <w:p/>
        </w:tc>
      </w:tr>
    </w:tbl>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94F9"/>
    <w:multiLevelType w:val="singleLevel"/>
    <w:tmpl w:val="19E194F9"/>
    <w:lvl w:ilvl="0" w:tentative="0">
      <w:start w:val="1"/>
      <w:numFmt w:val="lowerLetter"/>
      <w:lvlText w:val="%1)"/>
      <w:lvlJc w:val="left"/>
      <w:pPr>
        <w:tabs>
          <w:tab w:val="left" w:pos="312"/>
        </w:tabs>
      </w:pPr>
    </w:lvl>
  </w:abstractNum>
  <w:abstractNum w:abstractNumId="1">
    <w:nsid w:val="3E1740B2"/>
    <w:multiLevelType w:val="multilevel"/>
    <w:tmpl w:val="3E1740B2"/>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2B5153"/>
    <w:rsid w:val="00314AF6"/>
    <w:rsid w:val="00337922"/>
    <w:rsid w:val="00340867"/>
    <w:rsid w:val="0034330B"/>
    <w:rsid w:val="00380837"/>
    <w:rsid w:val="003A198A"/>
    <w:rsid w:val="00410914"/>
    <w:rsid w:val="0048201E"/>
    <w:rsid w:val="00536930"/>
    <w:rsid w:val="00564E53"/>
    <w:rsid w:val="005D096A"/>
    <w:rsid w:val="005D5659"/>
    <w:rsid w:val="00600C20"/>
    <w:rsid w:val="00644FE2"/>
    <w:rsid w:val="0067640C"/>
    <w:rsid w:val="006E678B"/>
    <w:rsid w:val="006E7B1D"/>
    <w:rsid w:val="007757F3"/>
    <w:rsid w:val="00792035"/>
    <w:rsid w:val="007C1B48"/>
    <w:rsid w:val="007E3B15"/>
    <w:rsid w:val="007E6AEB"/>
    <w:rsid w:val="00865758"/>
    <w:rsid w:val="008973EE"/>
    <w:rsid w:val="00971600"/>
    <w:rsid w:val="009973B4"/>
    <w:rsid w:val="009C28C1"/>
    <w:rsid w:val="009F7EED"/>
    <w:rsid w:val="00A80636"/>
    <w:rsid w:val="00AF0AAB"/>
    <w:rsid w:val="00BF597E"/>
    <w:rsid w:val="00C51A36"/>
    <w:rsid w:val="00C55228"/>
    <w:rsid w:val="00C63768"/>
    <w:rsid w:val="00CE315A"/>
    <w:rsid w:val="00D06F59"/>
    <w:rsid w:val="00D2392F"/>
    <w:rsid w:val="00D8388C"/>
    <w:rsid w:val="00E6224C"/>
    <w:rsid w:val="00EB0164"/>
    <w:rsid w:val="00ED0F62"/>
    <w:rsid w:val="00FF7401"/>
    <w:rsid w:val="01260C71"/>
    <w:rsid w:val="01A321D9"/>
    <w:rsid w:val="01E27364"/>
    <w:rsid w:val="01FE18C8"/>
    <w:rsid w:val="02797701"/>
    <w:rsid w:val="02C75A20"/>
    <w:rsid w:val="032F5195"/>
    <w:rsid w:val="03A0688A"/>
    <w:rsid w:val="03A32F8E"/>
    <w:rsid w:val="03AB4A3B"/>
    <w:rsid w:val="03AC3D8E"/>
    <w:rsid w:val="03CE483E"/>
    <w:rsid w:val="03CF54E8"/>
    <w:rsid w:val="0405614C"/>
    <w:rsid w:val="04883DB3"/>
    <w:rsid w:val="04981EC9"/>
    <w:rsid w:val="050D3D1E"/>
    <w:rsid w:val="056577F0"/>
    <w:rsid w:val="05705C5F"/>
    <w:rsid w:val="057753FF"/>
    <w:rsid w:val="05A05014"/>
    <w:rsid w:val="05B44859"/>
    <w:rsid w:val="05D4332F"/>
    <w:rsid w:val="05F6270F"/>
    <w:rsid w:val="0605101B"/>
    <w:rsid w:val="061B4460"/>
    <w:rsid w:val="063554F0"/>
    <w:rsid w:val="06444A1B"/>
    <w:rsid w:val="067B702D"/>
    <w:rsid w:val="06994A8D"/>
    <w:rsid w:val="06AA7E97"/>
    <w:rsid w:val="06ED612A"/>
    <w:rsid w:val="07FD44A3"/>
    <w:rsid w:val="081E2104"/>
    <w:rsid w:val="086B3934"/>
    <w:rsid w:val="08761C7A"/>
    <w:rsid w:val="08767210"/>
    <w:rsid w:val="08851DD7"/>
    <w:rsid w:val="08C22483"/>
    <w:rsid w:val="08ED1EE8"/>
    <w:rsid w:val="09005957"/>
    <w:rsid w:val="09120187"/>
    <w:rsid w:val="094663BE"/>
    <w:rsid w:val="096333C5"/>
    <w:rsid w:val="09933EF9"/>
    <w:rsid w:val="09AA0CA5"/>
    <w:rsid w:val="09FA6045"/>
    <w:rsid w:val="0A0F142E"/>
    <w:rsid w:val="0A1C56C1"/>
    <w:rsid w:val="0A8709B9"/>
    <w:rsid w:val="0A904067"/>
    <w:rsid w:val="0AAB13CF"/>
    <w:rsid w:val="0ACA6ED2"/>
    <w:rsid w:val="0AEF4D8D"/>
    <w:rsid w:val="0BE64DFF"/>
    <w:rsid w:val="0C5423F7"/>
    <w:rsid w:val="0C8009B8"/>
    <w:rsid w:val="0CC102DA"/>
    <w:rsid w:val="0D181113"/>
    <w:rsid w:val="0D1E4D9B"/>
    <w:rsid w:val="0D270A06"/>
    <w:rsid w:val="0D4D1326"/>
    <w:rsid w:val="0D6A2C36"/>
    <w:rsid w:val="0DB35CC0"/>
    <w:rsid w:val="0E385B07"/>
    <w:rsid w:val="0E49595F"/>
    <w:rsid w:val="0EB8524B"/>
    <w:rsid w:val="0F86648B"/>
    <w:rsid w:val="0F9C35C1"/>
    <w:rsid w:val="0FFA42BF"/>
    <w:rsid w:val="10062D9E"/>
    <w:rsid w:val="100B6D7F"/>
    <w:rsid w:val="100D075A"/>
    <w:rsid w:val="106A3497"/>
    <w:rsid w:val="108219C2"/>
    <w:rsid w:val="10991918"/>
    <w:rsid w:val="10A120FB"/>
    <w:rsid w:val="10AB5B5F"/>
    <w:rsid w:val="10C112A0"/>
    <w:rsid w:val="10C11C69"/>
    <w:rsid w:val="10DD2E35"/>
    <w:rsid w:val="11536201"/>
    <w:rsid w:val="115D3DB9"/>
    <w:rsid w:val="119E3FF4"/>
    <w:rsid w:val="11BD2BE2"/>
    <w:rsid w:val="11BE2038"/>
    <w:rsid w:val="11DC0AC4"/>
    <w:rsid w:val="11E2439D"/>
    <w:rsid w:val="124C3B13"/>
    <w:rsid w:val="12563B2D"/>
    <w:rsid w:val="12A2571D"/>
    <w:rsid w:val="12A42EA7"/>
    <w:rsid w:val="12A506D3"/>
    <w:rsid w:val="12AC2E4B"/>
    <w:rsid w:val="13296CDD"/>
    <w:rsid w:val="134E7573"/>
    <w:rsid w:val="13890C2B"/>
    <w:rsid w:val="13A420AC"/>
    <w:rsid w:val="13C11723"/>
    <w:rsid w:val="13C31FF4"/>
    <w:rsid w:val="13EB79B2"/>
    <w:rsid w:val="140E0601"/>
    <w:rsid w:val="145B46D3"/>
    <w:rsid w:val="14BA1243"/>
    <w:rsid w:val="14C400FD"/>
    <w:rsid w:val="14EF5EB2"/>
    <w:rsid w:val="14F1297E"/>
    <w:rsid w:val="14F26225"/>
    <w:rsid w:val="15023387"/>
    <w:rsid w:val="15051B66"/>
    <w:rsid w:val="151414F9"/>
    <w:rsid w:val="154C7AB0"/>
    <w:rsid w:val="155F4281"/>
    <w:rsid w:val="158035C7"/>
    <w:rsid w:val="15BC540D"/>
    <w:rsid w:val="16210B83"/>
    <w:rsid w:val="16583F2B"/>
    <w:rsid w:val="16912340"/>
    <w:rsid w:val="169D3E09"/>
    <w:rsid w:val="16AB3CAD"/>
    <w:rsid w:val="16E341B9"/>
    <w:rsid w:val="16F10A78"/>
    <w:rsid w:val="1712627E"/>
    <w:rsid w:val="17226BDD"/>
    <w:rsid w:val="17446813"/>
    <w:rsid w:val="177551EA"/>
    <w:rsid w:val="179B1D36"/>
    <w:rsid w:val="17C079EC"/>
    <w:rsid w:val="17F76BA3"/>
    <w:rsid w:val="182A66F0"/>
    <w:rsid w:val="182F656A"/>
    <w:rsid w:val="186A6524"/>
    <w:rsid w:val="186F767B"/>
    <w:rsid w:val="187F0353"/>
    <w:rsid w:val="188852B3"/>
    <w:rsid w:val="18DD0D85"/>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327EE5"/>
    <w:rsid w:val="1B462375"/>
    <w:rsid w:val="1B5E3B97"/>
    <w:rsid w:val="1C392A3A"/>
    <w:rsid w:val="1C4C1E84"/>
    <w:rsid w:val="1C880B67"/>
    <w:rsid w:val="1C923014"/>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A5651D"/>
    <w:rsid w:val="21D24208"/>
    <w:rsid w:val="22044DFC"/>
    <w:rsid w:val="2241348F"/>
    <w:rsid w:val="226B1105"/>
    <w:rsid w:val="226B2F60"/>
    <w:rsid w:val="22813299"/>
    <w:rsid w:val="23194B67"/>
    <w:rsid w:val="232E1BCD"/>
    <w:rsid w:val="23461CA8"/>
    <w:rsid w:val="238A1BAA"/>
    <w:rsid w:val="23900E62"/>
    <w:rsid w:val="23BF3886"/>
    <w:rsid w:val="241A6B34"/>
    <w:rsid w:val="24285E2F"/>
    <w:rsid w:val="242A7B69"/>
    <w:rsid w:val="247622DE"/>
    <w:rsid w:val="2480482A"/>
    <w:rsid w:val="24A05D8E"/>
    <w:rsid w:val="24FC7C66"/>
    <w:rsid w:val="2519537A"/>
    <w:rsid w:val="258041F6"/>
    <w:rsid w:val="258609CC"/>
    <w:rsid w:val="261B55F8"/>
    <w:rsid w:val="261D5675"/>
    <w:rsid w:val="269C7CAD"/>
    <w:rsid w:val="271B4DE1"/>
    <w:rsid w:val="272228DE"/>
    <w:rsid w:val="27443F4D"/>
    <w:rsid w:val="274B78E8"/>
    <w:rsid w:val="27602485"/>
    <w:rsid w:val="27CF15FE"/>
    <w:rsid w:val="27D42EE9"/>
    <w:rsid w:val="27E10A81"/>
    <w:rsid w:val="27FE6486"/>
    <w:rsid w:val="280B3F2E"/>
    <w:rsid w:val="28247B4B"/>
    <w:rsid w:val="28341F0D"/>
    <w:rsid w:val="28481DD2"/>
    <w:rsid w:val="2892323E"/>
    <w:rsid w:val="289361DE"/>
    <w:rsid w:val="28E623FA"/>
    <w:rsid w:val="291C5E47"/>
    <w:rsid w:val="296D2D47"/>
    <w:rsid w:val="29CB46C2"/>
    <w:rsid w:val="29E253FB"/>
    <w:rsid w:val="29F77BA5"/>
    <w:rsid w:val="2A3A6E77"/>
    <w:rsid w:val="2A85024C"/>
    <w:rsid w:val="2B0D2F04"/>
    <w:rsid w:val="2B1D2572"/>
    <w:rsid w:val="2B206A2D"/>
    <w:rsid w:val="2B4C1179"/>
    <w:rsid w:val="2BD60481"/>
    <w:rsid w:val="2BEA3FA7"/>
    <w:rsid w:val="2C0D0D35"/>
    <w:rsid w:val="2C2E44D4"/>
    <w:rsid w:val="2C6F7203"/>
    <w:rsid w:val="2C7B6C71"/>
    <w:rsid w:val="2D357F0D"/>
    <w:rsid w:val="2D4E604F"/>
    <w:rsid w:val="2D5C2AB0"/>
    <w:rsid w:val="2D7A20E6"/>
    <w:rsid w:val="2DC57805"/>
    <w:rsid w:val="2DDA0493"/>
    <w:rsid w:val="2DDF08DF"/>
    <w:rsid w:val="2DFF79D8"/>
    <w:rsid w:val="2E32284C"/>
    <w:rsid w:val="2E367C56"/>
    <w:rsid w:val="2E440885"/>
    <w:rsid w:val="2EEE512C"/>
    <w:rsid w:val="2F462957"/>
    <w:rsid w:val="2F511B05"/>
    <w:rsid w:val="2F7C571D"/>
    <w:rsid w:val="2FA86B66"/>
    <w:rsid w:val="2FE823A5"/>
    <w:rsid w:val="2FEA1C57"/>
    <w:rsid w:val="300172B8"/>
    <w:rsid w:val="30945277"/>
    <w:rsid w:val="30C71DD4"/>
    <w:rsid w:val="30DC7CB1"/>
    <w:rsid w:val="30ED30CC"/>
    <w:rsid w:val="31064141"/>
    <w:rsid w:val="310D6AA3"/>
    <w:rsid w:val="31482B78"/>
    <w:rsid w:val="31B477DB"/>
    <w:rsid w:val="31B67BE2"/>
    <w:rsid w:val="31CA71DD"/>
    <w:rsid w:val="324E5138"/>
    <w:rsid w:val="331E21CE"/>
    <w:rsid w:val="33562A0D"/>
    <w:rsid w:val="33715F28"/>
    <w:rsid w:val="33F07155"/>
    <w:rsid w:val="340C6245"/>
    <w:rsid w:val="343C4522"/>
    <w:rsid w:val="347A0336"/>
    <w:rsid w:val="34F92D63"/>
    <w:rsid w:val="35527F1F"/>
    <w:rsid w:val="357914C0"/>
    <w:rsid w:val="35CA668A"/>
    <w:rsid w:val="35D721CD"/>
    <w:rsid w:val="36174333"/>
    <w:rsid w:val="364A3F09"/>
    <w:rsid w:val="364C3817"/>
    <w:rsid w:val="367A501B"/>
    <w:rsid w:val="368249AA"/>
    <w:rsid w:val="36EA501F"/>
    <w:rsid w:val="372D3763"/>
    <w:rsid w:val="37A3423F"/>
    <w:rsid w:val="37A66325"/>
    <w:rsid w:val="37AF435B"/>
    <w:rsid w:val="37B82B0E"/>
    <w:rsid w:val="37D8509F"/>
    <w:rsid w:val="380178E9"/>
    <w:rsid w:val="38363F4B"/>
    <w:rsid w:val="385F5D57"/>
    <w:rsid w:val="386866FF"/>
    <w:rsid w:val="38803663"/>
    <w:rsid w:val="389A539F"/>
    <w:rsid w:val="38B37216"/>
    <w:rsid w:val="38BD5C7F"/>
    <w:rsid w:val="38C5580C"/>
    <w:rsid w:val="38EC325F"/>
    <w:rsid w:val="39090322"/>
    <w:rsid w:val="39286E54"/>
    <w:rsid w:val="399117DD"/>
    <w:rsid w:val="39972637"/>
    <w:rsid w:val="39D7104B"/>
    <w:rsid w:val="3A3E0D9F"/>
    <w:rsid w:val="3A5573DE"/>
    <w:rsid w:val="3AAB1306"/>
    <w:rsid w:val="3ABD0173"/>
    <w:rsid w:val="3ACE23E2"/>
    <w:rsid w:val="3B227AA7"/>
    <w:rsid w:val="3B4241C0"/>
    <w:rsid w:val="3B5F0280"/>
    <w:rsid w:val="3B8C1823"/>
    <w:rsid w:val="3BCD5A20"/>
    <w:rsid w:val="3BEE1D6F"/>
    <w:rsid w:val="3BF1473C"/>
    <w:rsid w:val="3CA475E5"/>
    <w:rsid w:val="3CA717F2"/>
    <w:rsid w:val="3CC56579"/>
    <w:rsid w:val="3CEB2CC9"/>
    <w:rsid w:val="3D053E44"/>
    <w:rsid w:val="3D721433"/>
    <w:rsid w:val="3D7C5D45"/>
    <w:rsid w:val="3DA34201"/>
    <w:rsid w:val="3DAB460B"/>
    <w:rsid w:val="3DDA7DB2"/>
    <w:rsid w:val="3DF92E01"/>
    <w:rsid w:val="3E342793"/>
    <w:rsid w:val="3E3C5235"/>
    <w:rsid w:val="3EA34B57"/>
    <w:rsid w:val="3ED604A2"/>
    <w:rsid w:val="3EEF1E6E"/>
    <w:rsid w:val="3F654598"/>
    <w:rsid w:val="3FEB6494"/>
    <w:rsid w:val="40571F31"/>
    <w:rsid w:val="40760623"/>
    <w:rsid w:val="408B7234"/>
    <w:rsid w:val="40E27AF7"/>
    <w:rsid w:val="40F80D82"/>
    <w:rsid w:val="41342A6B"/>
    <w:rsid w:val="414C7183"/>
    <w:rsid w:val="418D501C"/>
    <w:rsid w:val="41BB58E6"/>
    <w:rsid w:val="41C832C7"/>
    <w:rsid w:val="41E9167B"/>
    <w:rsid w:val="42416B50"/>
    <w:rsid w:val="4262379E"/>
    <w:rsid w:val="427A1188"/>
    <w:rsid w:val="4289200B"/>
    <w:rsid w:val="42C77562"/>
    <w:rsid w:val="432A5E11"/>
    <w:rsid w:val="433B1167"/>
    <w:rsid w:val="433E2DC7"/>
    <w:rsid w:val="435F500F"/>
    <w:rsid w:val="43C730CD"/>
    <w:rsid w:val="441D0975"/>
    <w:rsid w:val="44A567F5"/>
    <w:rsid w:val="453B1EBC"/>
    <w:rsid w:val="45635AEC"/>
    <w:rsid w:val="45BA54FA"/>
    <w:rsid w:val="45EC74A5"/>
    <w:rsid w:val="45FA6B69"/>
    <w:rsid w:val="460414DD"/>
    <w:rsid w:val="46332B60"/>
    <w:rsid w:val="4654705C"/>
    <w:rsid w:val="468C6A25"/>
    <w:rsid w:val="468D2C1F"/>
    <w:rsid w:val="468D3CA5"/>
    <w:rsid w:val="4694248B"/>
    <w:rsid w:val="46A32063"/>
    <w:rsid w:val="46EA7997"/>
    <w:rsid w:val="470243E7"/>
    <w:rsid w:val="471F1498"/>
    <w:rsid w:val="47271944"/>
    <w:rsid w:val="475C4BFE"/>
    <w:rsid w:val="47BB044C"/>
    <w:rsid w:val="47F95078"/>
    <w:rsid w:val="48262DE5"/>
    <w:rsid w:val="489C0A39"/>
    <w:rsid w:val="490747F7"/>
    <w:rsid w:val="49105C6D"/>
    <w:rsid w:val="496D185A"/>
    <w:rsid w:val="49C0281D"/>
    <w:rsid w:val="49E449BF"/>
    <w:rsid w:val="49EC77B8"/>
    <w:rsid w:val="49ED5B1C"/>
    <w:rsid w:val="4AD45EF1"/>
    <w:rsid w:val="4AE04A18"/>
    <w:rsid w:val="4B12455E"/>
    <w:rsid w:val="4B337454"/>
    <w:rsid w:val="4B407CC6"/>
    <w:rsid w:val="4B42232B"/>
    <w:rsid w:val="4B825A76"/>
    <w:rsid w:val="4B8B3702"/>
    <w:rsid w:val="4B9B0D7E"/>
    <w:rsid w:val="4B9C6F9C"/>
    <w:rsid w:val="4BC83B65"/>
    <w:rsid w:val="4BC87AB0"/>
    <w:rsid w:val="4C1454A4"/>
    <w:rsid w:val="4CA74E41"/>
    <w:rsid w:val="4CA91B51"/>
    <w:rsid w:val="4CB62537"/>
    <w:rsid w:val="4CD2365B"/>
    <w:rsid w:val="4CFB4E3C"/>
    <w:rsid w:val="4D352804"/>
    <w:rsid w:val="4D791805"/>
    <w:rsid w:val="4D8F2F88"/>
    <w:rsid w:val="4DB86BCB"/>
    <w:rsid w:val="4DD85058"/>
    <w:rsid w:val="4E0166A9"/>
    <w:rsid w:val="4E1551DB"/>
    <w:rsid w:val="4E7774D0"/>
    <w:rsid w:val="4F594843"/>
    <w:rsid w:val="4FAF3052"/>
    <w:rsid w:val="503C3BCC"/>
    <w:rsid w:val="505C4971"/>
    <w:rsid w:val="50C41CF1"/>
    <w:rsid w:val="51217DA6"/>
    <w:rsid w:val="51294703"/>
    <w:rsid w:val="51425A27"/>
    <w:rsid w:val="5158757E"/>
    <w:rsid w:val="521A5D1E"/>
    <w:rsid w:val="523624DE"/>
    <w:rsid w:val="52A23F56"/>
    <w:rsid w:val="52BA5471"/>
    <w:rsid w:val="52D871F4"/>
    <w:rsid w:val="52F263D6"/>
    <w:rsid w:val="52F569F3"/>
    <w:rsid w:val="52F737EA"/>
    <w:rsid w:val="53024EB7"/>
    <w:rsid w:val="53261795"/>
    <w:rsid w:val="5373268D"/>
    <w:rsid w:val="53953BE7"/>
    <w:rsid w:val="53F51637"/>
    <w:rsid w:val="54124FEF"/>
    <w:rsid w:val="541C4B67"/>
    <w:rsid w:val="552A2893"/>
    <w:rsid w:val="555A4FF2"/>
    <w:rsid w:val="556B045B"/>
    <w:rsid w:val="557D4E77"/>
    <w:rsid w:val="55C375DD"/>
    <w:rsid w:val="56156439"/>
    <w:rsid w:val="5656544C"/>
    <w:rsid w:val="56643532"/>
    <w:rsid w:val="568B5A7B"/>
    <w:rsid w:val="56EF2BB9"/>
    <w:rsid w:val="570A6E63"/>
    <w:rsid w:val="573B0118"/>
    <w:rsid w:val="573D2268"/>
    <w:rsid w:val="57411925"/>
    <w:rsid w:val="57441E32"/>
    <w:rsid w:val="57535542"/>
    <w:rsid w:val="575B3098"/>
    <w:rsid w:val="577F7188"/>
    <w:rsid w:val="578A24F7"/>
    <w:rsid w:val="57F55B90"/>
    <w:rsid w:val="580F191D"/>
    <w:rsid w:val="581F57D5"/>
    <w:rsid w:val="58276F84"/>
    <w:rsid w:val="58584813"/>
    <w:rsid w:val="58B728A2"/>
    <w:rsid w:val="58B868EB"/>
    <w:rsid w:val="590D059A"/>
    <w:rsid w:val="592802C2"/>
    <w:rsid w:val="5939327C"/>
    <w:rsid w:val="5978735A"/>
    <w:rsid w:val="59AF126F"/>
    <w:rsid w:val="59E42114"/>
    <w:rsid w:val="59E710C8"/>
    <w:rsid w:val="5A0B0AB5"/>
    <w:rsid w:val="5A1C59A1"/>
    <w:rsid w:val="5A407674"/>
    <w:rsid w:val="5A432974"/>
    <w:rsid w:val="5A6A20C5"/>
    <w:rsid w:val="5AD64AF2"/>
    <w:rsid w:val="5AEE39DB"/>
    <w:rsid w:val="5B046AEC"/>
    <w:rsid w:val="5B544EB3"/>
    <w:rsid w:val="5B6A33DD"/>
    <w:rsid w:val="5BD1484D"/>
    <w:rsid w:val="5BF04FFA"/>
    <w:rsid w:val="5C4D2649"/>
    <w:rsid w:val="5C8D6CFF"/>
    <w:rsid w:val="5C966EB6"/>
    <w:rsid w:val="5C9E007C"/>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EF56050"/>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33AAD"/>
    <w:rsid w:val="62876D77"/>
    <w:rsid w:val="628F4421"/>
    <w:rsid w:val="62CA4AF4"/>
    <w:rsid w:val="62E4371E"/>
    <w:rsid w:val="6306254B"/>
    <w:rsid w:val="632045D1"/>
    <w:rsid w:val="6342544F"/>
    <w:rsid w:val="63720424"/>
    <w:rsid w:val="63A31AB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9E6788"/>
    <w:rsid w:val="66B368AE"/>
    <w:rsid w:val="66B532F3"/>
    <w:rsid w:val="66C2760F"/>
    <w:rsid w:val="675A3B6C"/>
    <w:rsid w:val="677C2796"/>
    <w:rsid w:val="67AF7DB6"/>
    <w:rsid w:val="680564C6"/>
    <w:rsid w:val="681B3F7A"/>
    <w:rsid w:val="68233428"/>
    <w:rsid w:val="684B51CE"/>
    <w:rsid w:val="68575061"/>
    <w:rsid w:val="68B54AF7"/>
    <w:rsid w:val="68CA009F"/>
    <w:rsid w:val="695B5920"/>
    <w:rsid w:val="69B35A0D"/>
    <w:rsid w:val="69CC607C"/>
    <w:rsid w:val="69EA1163"/>
    <w:rsid w:val="69F96768"/>
    <w:rsid w:val="6A287F98"/>
    <w:rsid w:val="6AB40496"/>
    <w:rsid w:val="6ABD1D5E"/>
    <w:rsid w:val="6AE81CC5"/>
    <w:rsid w:val="6AF33939"/>
    <w:rsid w:val="6B795D62"/>
    <w:rsid w:val="6BC747F5"/>
    <w:rsid w:val="6BD35CE4"/>
    <w:rsid w:val="6C3014BE"/>
    <w:rsid w:val="6C5D414F"/>
    <w:rsid w:val="6C635932"/>
    <w:rsid w:val="6CA324B4"/>
    <w:rsid w:val="6CC44B47"/>
    <w:rsid w:val="6CDE17FD"/>
    <w:rsid w:val="6D1D2C91"/>
    <w:rsid w:val="6D232D3C"/>
    <w:rsid w:val="6D2F5D1E"/>
    <w:rsid w:val="6D792112"/>
    <w:rsid w:val="6E641038"/>
    <w:rsid w:val="6EA90BB2"/>
    <w:rsid w:val="6EBD0EA6"/>
    <w:rsid w:val="6F2F5C01"/>
    <w:rsid w:val="6F435405"/>
    <w:rsid w:val="6F4810D8"/>
    <w:rsid w:val="6F6D2BAA"/>
    <w:rsid w:val="6F9119BB"/>
    <w:rsid w:val="6F9A4A47"/>
    <w:rsid w:val="701710D0"/>
    <w:rsid w:val="70795456"/>
    <w:rsid w:val="709946EC"/>
    <w:rsid w:val="70B256FB"/>
    <w:rsid w:val="72226A31"/>
    <w:rsid w:val="72702455"/>
    <w:rsid w:val="728F2E47"/>
    <w:rsid w:val="72973011"/>
    <w:rsid w:val="72E42D1B"/>
    <w:rsid w:val="734F0911"/>
    <w:rsid w:val="736054C4"/>
    <w:rsid w:val="736C572D"/>
    <w:rsid w:val="73A422EB"/>
    <w:rsid w:val="74103E55"/>
    <w:rsid w:val="745B622A"/>
    <w:rsid w:val="74B64014"/>
    <w:rsid w:val="753E2D2E"/>
    <w:rsid w:val="75950E53"/>
    <w:rsid w:val="75B91B9C"/>
    <w:rsid w:val="75DB13A5"/>
    <w:rsid w:val="75E00376"/>
    <w:rsid w:val="75E552E3"/>
    <w:rsid w:val="762E2DED"/>
    <w:rsid w:val="7648538B"/>
    <w:rsid w:val="76577132"/>
    <w:rsid w:val="76BD747C"/>
    <w:rsid w:val="76CD52EB"/>
    <w:rsid w:val="76FE004A"/>
    <w:rsid w:val="771B17CC"/>
    <w:rsid w:val="77462C4C"/>
    <w:rsid w:val="77A268F6"/>
    <w:rsid w:val="77CC3658"/>
    <w:rsid w:val="780F54C3"/>
    <w:rsid w:val="782C6CF7"/>
    <w:rsid w:val="78680ECD"/>
    <w:rsid w:val="7880670B"/>
    <w:rsid w:val="78A25951"/>
    <w:rsid w:val="78A35FE5"/>
    <w:rsid w:val="78C4002B"/>
    <w:rsid w:val="78E96823"/>
    <w:rsid w:val="78EE7F5B"/>
    <w:rsid w:val="78F11CE1"/>
    <w:rsid w:val="78F66955"/>
    <w:rsid w:val="78F8423B"/>
    <w:rsid w:val="79053EDA"/>
    <w:rsid w:val="79097264"/>
    <w:rsid w:val="791D3993"/>
    <w:rsid w:val="79202162"/>
    <w:rsid w:val="7924138B"/>
    <w:rsid w:val="79826449"/>
    <w:rsid w:val="79D339B9"/>
    <w:rsid w:val="7A200C95"/>
    <w:rsid w:val="7A594332"/>
    <w:rsid w:val="7A8564DB"/>
    <w:rsid w:val="7AC22B97"/>
    <w:rsid w:val="7B190280"/>
    <w:rsid w:val="7B1F77A4"/>
    <w:rsid w:val="7B292799"/>
    <w:rsid w:val="7C090682"/>
    <w:rsid w:val="7C183634"/>
    <w:rsid w:val="7C351D89"/>
    <w:rsid w:val="7C6A6CA8"/>
    <w:rsid w:val="7C9307A3"/>
    <w:rsid w:val="7CE81F24"/>
    <w:rsid w:val="7CF04E00"/>
    <w:rsid w:val="7D41026F"/>
    <w:rsid w:val="7D59343F"/>
    <w:rsid w:val="7E0A78B3"/>
    <w:rsid w:val="7E2912F3"/>
    <w:rsid w:val="7F850D3B"/>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1113</Words>
  <Characters>6348</Characters>
  <Lines>52</Lines>
  <Paragraphs>14</Paragraphs>
  <TotalTime>1</TotalTime>
  <ScaleCrop>false</ScaleCrop>
  <LinksUpToDate>false</LinksUpToDate>
  <CharactersWithSpaces>7447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张磊</cp:lastModifiedBy>
  <dcterms:modified xsi:type="dcterms:W3CDTF">2020-12-17T08:17:19Z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