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  <w:r>
        <w:rPr>
          <w:rFonts w:hint="eastAsia" w:ascii="隶书" w:hAnsi="宋体" w:eastAsia="隶书"/>
          <w:bCs/>
          <w:color w:val="000000"/>
          <w:sz w:val="36"/>
          <w:szCs w:val="36"/>
          <w:lang w:eastAsia="zh-CN"/>
        </w:rPr>
        <w:t>（</w:t>
      </w:r>
      <w:r>
        <w:rPr>
          <w:rFonts w:hint="eastAsia" w:ascii="隶书" w:hAnsi="宋体" w:eastAsia="隶书"/>
          <w:bCs/>
          <w:color w:val="000000"/>
          <w:sz w:val="36"/>
          <w:szCs w:val="36"/>
          <w:lang w:val="en-US" w:eastAsia="zh-CN"/>
        </w:rPr>
        <w:t>远程审核）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745"/>
        <w:gridCol w:w="9259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gridSpan w:val="2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生产部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徐志豪 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gridSpan w:val="2"/>
            <w:vAlign w:val="center"/>
          </w:tcPr>
          <w:p>
            <w:pPr>
              <w:spacing w:before="12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张磊 </w:t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审核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日期</w:t>
            </w:r>
            <w:r>
              <w:rPr>
                <w:rFonts w:hint="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2020年5月19号</w:t>
            </w:r>
          </w:p>
          <w:p>
            <w:pPr>
              <w:spacing w:before="12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0"/>
                <w:lang w:val="en-US" w:eastAsia="zh-CN"/>
              </w:rPr>
              <w:t>补充</w:t>
            </w:r>
            <w:r>
              <w:rPr>
                <w:rFonts w:hint="eastAsia"/>
                <w:b/>
                <w:color w:val="FF0000"/>
                <w:sz w:val="20"/>
              </w:rPr>
              <w:t>现场审核于</w:t>
            </w:r>
            <w:bookmarkStart w:id="0" w:name="审核日期安排"/>
            <w:r>
              <w:rPr>
                <w:rFonts w:hint="eastAsia"/>
                <w:b/>
                <w:color w:val="FF0000"/>
                <w:sz w:val="20"/>
              </w:rPr>
              <w:t>2020年12月17日 下午至2020年12月17日 下午 (共0.5天)</w:t>
            </w:r>
            <w:bookmarkEnd w:id="0"/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gridSpan w:val="2"/>
            <w:vAlign w:val="center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6.2/7.1.3/7.1.4/7.1.5/7.1.6/8.1/8.5.1/8.5.2/8.5.4/8.5.6/8.6/8.7/9.1.3/10.2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160" w:type="dxa"/>
          </w:tcPr>
          <w:p/>
        </w:tc>
        <w:tc>
          <w:tcPr>
            <w:tcW w:w="960" w:type="dxa"/>
          </w:tcPr>
          <w:p>
            <w:pPr>
              <w:rPr>
                <w:rFonts w:hint="eastAsia"/>
                <w:color w:val="000000"/>
                <w:szCs w:val="21"/>
                <w:lang w:val="en-US" w:eastAsia="zh-CN"/>
              </w:rPr>
            </w:pPr>
          </w:p>
        </w:tc>
        <w:tc>
          <w:tcPr>
            <w:tcW w:w="10004" w:type="dxa"/>
            <w:gridSpan w:val="2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本部门工作内容和职责，主要负责：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贯彻、执行公司的质量方针和质量目标并作为本部门的质量工作准则、对本部门质量分目标的实现负责、负责加工设备的使用和管理及维护保养、负责加工计划的安排和实施，具有加工计划调度、加工现场的全面管理的权限，对加工任务完成和产品质量负责、负责维护加工运行的环境，确保加工现场安全和清洁，且应符合加工要。</w:t>
            </w:r>
          </w:p>
        </w:tc>
        <w:tc>
          <w:tcPr>
            <w:tcW w:w="1585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160" w:type="dxa"/>
            <w:vMerge w:val="restart"/>
          </w:tcPr>
          <w:p>
            <w:pPr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质量目标及其实现的策划</w:t>
            </w:r>
          </w:p>
          <w:p/>
        </w:tc>
        <w:tc>
          <w:tcPr>
            <w:tcW w:w="960" w:type="dxa"/>
            <w:vMerge w:val="restart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Q6.2 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</w:rPr>
              <w:t>如：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手册第6.2条款、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《质量目标》、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lang w:val="en-US" w:eastAsia="zh-CN"/>
              </w:rPr>
              <w:t>目标</w:t>
            </w:r>
            <w:r>
              <w:rPr>
                <w:rFonts w:hint="eastAsia"/>
              </w:rPr>
              <w:t>分解</w:t>
            </w:r>
            <w:r>
              <w:rPr>
                <w:rFonts w:hint="eastAsia"/>
                <w:lang w:val="en-US" w:eastAsia="zh-CN"/>
              </w:rPr>
              <w:t>统计表</w:t>
            </w:r>
            <w:r>
              <w:rPr>
                <w:rFonts w:hint="eastAsia"/>
              </w:rPr>
              <w:t>》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</w:rPr>
              <w:t>组织建立</w:t>
            </w:r>
            <w:r>
              <w:rPr>
                <w:rFonts w:hint="eastAsia"/>
                <w:vertAlign w:val="baseline"/>
                <w:lang w:val="en-US" w:eastAsia="zh-CN"/>
              </w:rPr>
              <w:t>了与方针一致的文件化的管理</w:t>
            </w:r>
            <w:r>
              <w:rPr>
                <w:rFonts w:hint="eastAsia"/>
                <w:vertAlign w:val="baseline"/>
              </w:rPr>
              <w:t>目标。</w:t>
            </w:r>
            <w:r>
              <w:rPr>
                <w:rFonts w:hint="eastAsia"/>
                <w:vertAlign w:val="baseline"/>
                <w:lang w:eastAsia="zh-CN"/>
              </w:rPr>
              <w:t>为实现总质量目标而建立的各层级质量目标具体、有针对性、可测量并且可实现。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总质量目标实现情况的评价，及其测量方法是：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54"/>
              <w:gridCol w:w="2573"/>
              <w:gridCol w:w="1350"/>
              <w:gridCol w:w="177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质量</w:t>
                  </w:r>
                  <w:r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  <w:t>目标</w:t>
                  </w:r>
                </w:p>
              </w:tc>
              <w:tc>
                <w:tcPr>
                  <w:tcW w:w="2573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  <w:t>计算方法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/>
                      <w:kern w:val="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责任部门</w:t>
                  </w:r>
                </w:p>
              </w:tc>
              <w:tc>
                <w:tcPr>
                  <w:tcW w:w="177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/>
                      <w:kern w:val="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目标实际完成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生产任务完成率100%</w:t>
                  </w:r>
                </w:p>
              </w:tc>
              <w:tc>
                <w:tcPr>
                  <w:tcW w:w="2573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lang w:val="en-GB" w:eastAsia="zh-CN" w:bidi="ar-SA"/>
                    </w:rPr>
                  </w:pPr>
                  <w:r>
                    <w:rPr>
                      <w:rFonts w:hint="eastAsia"/>
                      <w:spacing w:val="-6"/>
                      <w:szCs w:val="21"/>
                    </w:rPr>
                    <w:t>数据统计分析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生产部</w:t>
                  </w:r>
                </w:p>
              </w:tc>
              <w:tc>
                <w:tcPr>
                  <w:tcW w:w="1774" w:type="dxa"/>
                  <w:shd w:val="clear" w:color="auto" w:fill="auto"/>
                  <w:vAlign w:val="center"/>
                </w:tcPr>
                <w:p>
                  <w:pPr>
                    <w:spacing w:line="360" w:lineRule="exact"/>
                    <w:jc w:val="center"/>
                    <w:rPr>
                      <w:rFonts w:hint="eastAsia" w:ascii="宋体" w:hAnsi="宋体" w:cs="Times New Roman"/>
                      <w:lang w:val="en-GB" w:eastAsia="zh-CN"/>
                    </w:rPr>
                  </w:pPr>
                  <w:r>
                    <w:rPr>
                      <w:rFonts w:hint="eastAsia" w:ascii="宋体" w:hAnsi="宋体"/>
                      <w:spacing w:val="-20"/>
                      <w:szCs w:val="21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 xml:space="preserve">产品一次交检合格率≥95% </w:t>
                  </w:r>
                </w:p>
              </w:tc>
              <w:tc>
                <w:tcPr>
                  <w:tcW w:w="2573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/>
                      <w:spacing w:val="-6"/>
                      <w:szCs w:val="21"/>
                    </w:rPr>
                    <w:t>合格数/交付数×100%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生产部</w:t>
                  </w:r>
                </w:p>
              </w:tc>
              <w:tc>
                <w:tcPr>
                  <w:tcW w:w="1774" w:type="dxa"/>
                  <w:shd w:val="clear" w:color="auto" w:fill="auto"/>
                  <w:vAlign w:val="center"/>
                </w:tcPr>
                <w:p>
                  <w:pPr>
                    <w:spacing w:line="360" w:lineRule="exact"/>
                    <w:jc w:val="center"/>
                    <w:rPr>
                      <w:rFonts w:hint="eastAsia" w:ascii="宋体" w:hAnsi="宋体"/>
                    </w:rPr>
                  </w:pPr>
                  <w:r>
                    <w:rPr>
                      <w:rFonts w:hint="eastAsia" w:ascii="宋体" w:hAnsi="宋体"/>
                      <w:spacing w:val="-20"/>
                      <w:szCs w:val="21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/>
                    </w:rPr>
                  </w:pPr>
                </w:p>
              </w:tc>
              <w:tc>
                <w:tcPr>
                  <w:tcW w:w="2573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1350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1774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宋体" w:hAnsi="宋体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/>
                      <w:lang w:eastAsia="zh-CN"/>
                    </w:rPr>
                  </w:pPr>
                </w:p>
              </w:tc>
              <w:tc>
                <w:tcPr>
                  <w:tcW w:w="2573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1350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1774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宋体" w:hAnsi="宋体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5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/>
                    </w:rPr>
                  </w:pPr>
                </w:p>
              </w:tc>
              <w:tc>
                <w:tcPr>
                  <w:tcW w:w="2573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1350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1774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宋体" w:hAnsi="宋体"/>
                    </w:rPr>
                  </w:pPr>
                </w:p>
              </w:tc>
            </w:tr>
          </w:tbl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/>
              </w:rPr>
              <w:sym w:font="Wingdings" w:char="00FE"/>
            </w:r>
            <w:r>
              <w:rPr>
                <w:rFonts w:hint="eastAsia"/>
                <w:vertAlign w:val="baseline"/>
                <w:lang w:val="en-US"/>
              </w:rPr>
              <w:t>目标</w:t>
            </w:r>
            <w:r>
              <w:rPr>
                <w:rFonts w:hint="eastAsia"/>
                <w:vertAlign w:val="baseline"/>
                <w:lang w:val="en-US" w:eastAsia="zh-CN"/>
              </w:rPr>
              <w:t>已</w:t>
            </w:r>
            <w:r>
              <w:rPr>
                <w:rFonts w:hint="eastAsia"/>
                <w:vertAlign w:val="baseline"/>
                <w:lang w:val="en-US"/>
              </w:rPr>
              <w:t>实现</w:t>
            </w:r>
          </w:p>
          <w:p>
            <w:r>
              <w:rPr>
                <w:rFonts w:hint="eastAsia"/>
                <w:vertAlign w:val="baseline"/>
                <w:lang w:val="en-US"/>
              </w:rPr>
              <w:sym w:font="Wingdings" w:char="00A8"/>
            </w:r>
            <w:r>
              <w:rPr>
                <w:rFonts w:hint="eastAsia"/>
                <w:vertAlign w:val="baseline"/>
                <w:lang w:val="en-US"/>
              </w:rPr>
              <w:t>目标没有实现的，组织在内部及时</w:t>
            </w:r>
            <w:r>
              <w:rPr>
                <w:rFonts w:hint="eastAsia"/>
                <w:vertAlign w:val="baseline"/>
                <w:lang w:val="en-US" w:eastAsia="zh-CN"/>
              </w:rPr>
              <w:t>进行原因分析</w:t>
            </w:r>
            <w:r>
              <w:rPr>
                <w:rFonts w:hint="eastAsia"/>
                <w:vertAlign w:val="baseline"/>
                <w:lang w:val="en-US"/>
              </w:rPr>
              <w:t>并采取了改进措施</w:t>
            </w:r>
            <w:r>
              <w:rPr>
                <w:rFonts w:hint="eastAsia"/>
                <w:vertAlign w:val="baseline"/>
                <w:lang w:eastAsia="zh-CN"/>
              </w:rPr>
              <w:t>。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r>
              <w:rPr>
                <w:rFonts w:hint="eastAsia"/>
              </w:rPr>
              <w:t>基础设施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7.1.3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手册第7.1条款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《</w:t>
            </w:r>
            <w:r>
              <w:rPr>
                <w:rFonts w:hint="eastAsia"/>
              </w:rPr>
              <w:t>基础设施</w:t>
            </w:r>
            <w:r>
              <w:rPr>
                <w:rFonts w:hint="eastAsia"/>
                <w:lang w:val="en-US" w:eastAsia="zh-CN"/>
              </w:rPr>
              <w:t>控制程序》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《设备管理制度》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《监视和测量装置管理程序》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restart"/>
            <w:vAlign w:val="top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基础设施包括：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办公楼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车间厂房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库房 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生产设备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特种设备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>动力设施</w:t>
            </w:r>
          </w:p>
          <w:p>
            <w:pPr>
              <w:ind w:firstLine="1680" w:firstLineChars="80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试验设备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辅助设施 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查看对设备维保的控制（每日对设备进行点检，发现问题及时进行保养）</w:t>
            </w: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04"/>
              <w:gridCol w:w="1688"/>
              <w:gridCol w:w="1739"/>
              <w:gridCol w:w="1448"/>
              <w:gridCol w:w="219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904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《设备维保计划》</w:t>
                  </w:r>
                </w:p>
              </w:tc>
              <w:tc>
                <w:tcPr>
                  <w:tcW w:w="168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设备名称</w:t>
                  </w:r>
                </w:p>
              </w:tc>
              <w:tc>
                <w:tcPr>
                  <w:tcW w:w="173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维保日期</w:t>
                  </w:r>
                </w:p>
              </w:tc>
              <w:tc>
                <w:tcPr>
                  <w:tcW w:w="144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维保周期</w:t>
                  </w:r>
                </w:p>
              </w:tc>
              <w:tc>
                <w:tcPr>
                  <w:tcW w:w="219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维保内容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904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维保记录</w:t>
                  </w:r>
                </w:p>
              </w:tc>
              <w:tc>
                <w:tcPr>
                  <w:tcW w:w="1688" w:type="dxa"/>
                  <w:vAlign w:val="center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cs="Times New Roman"/>
                      <w:color w:val="auto"/>
                      <w:szCs w:val="22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2"/>
                      <w:lang w:val="en-US" w:eastAsia="zh-CN"/>
                    </w:rPr>
                    <w:t>七氟丙烷药剂充装台</w:t>
                  </w:r>
                </w:p>
              </w:tc>
              <w:tc>
                <w:tcPr>
                  <w:tcW w:w="173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2020.4</w:t>
                  </w:r>
                </w:p>
              </w:tc>
              <w:tc>
                <w:tcPr>
                  <w:tcW w:w="1448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color w:val="auto"/>
                      <w:lang w:val="en-US" w:eastAsia="zh-CN"/>
                    </w:rPr>
                    <w:t>每日</w:t>
                  </w:r>
                </w:p>
              </w:tc>
              <w:tc>
                <w:tcPr>
                  <w:tcW w:w="2198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</w:rPr>
                    <w:t>除尘，检查</w:t>
                  </w: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设备坚固件与安全装置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904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维保记录</w:t>
                  </w:r>
                </w:p>
              </w:tc>
              <w:tc>
                <w:tcPr>
                  <w:tcW w:w="1688" w:type="dxa"/>
                  <w:vAlign w:val="center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cs="Times New Roman"/>
                      <w:color w:val="auto"/>
                      <w:szCs w:val="22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2"/>
                      <w:lang w:val="en-US" w:eastAsia="zh-CN"/>
                    </w:rPr>
                    <w:t>钢瓶阀门装卸机</w:t>
                  </w:r>
                </w:p>
              </w:tc>
              <w:tc>
                <w:tcPr>
                  <w:tcW w:w="173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2020.4</w:t>
                  </w:r>
                </w:p>
              </w:tc>
              <w:tc>
                <w:tcPr>
                  <w:tcW w:w="144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  <w:lang w:val="en-US" w:eastAsia="zh-CN"/>
                    </w:rPr>
                    <w:t>每日</w:t>
                  </w:r>
                </w:p>
              </w:tc>
              <w:tc>
                <w:tcPr>
                  <w:tcW w:w="219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 w:ascii="宋体" w:hAnsi="宋体"/>
                      <w:color w:val="auto"/>
                    </w:rPr>
                    <w:t>除尘，检查</w:t>
                  </w: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设备坚固件与安全装置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904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维保记录</w:t>
                  </w:r>
                </w:p>
              </w:tc>
              <w:tc>
                <w:tcPr>
                  <w:tcW w:w="1688" w:type="dxa"/>
                  <w:vAlign w:val="center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cs="Times New Roman"/>
                      <w:color w:val="auto"/>
                      <w:szCs w:val="22"/>
                    </w:rPr>
                  </w:pPr>
                  <w:r>
                    <w:rPr>
                      <w:rFonts w:hint="eastAsia" w:ascii="Times New Roman" w:hAnsi="Times New Roman" w:cs="Times New Roman"/>
                      <w:color w:val="auto"/>
                      <w:szCs w:val="22"/>
                      <w:lang w:val="en-US" w:eastAsia="zh-CN"/>
                    </w:rPr>
                    <w:t>钢瓶干燥机</w:t>
                  </w:r>
                </w:p>
              </w:tc>
              <w:tc>
                <w:tcPr>
                  <w:tcW w:w="1739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2020.4</w:t>
                  </w:r>
                </w:p>
              </w:tc>
              <w:tc>
                <w:tcPr>
                  <w:tcW w:w="144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  <w:lang w:val="en-US" w:eastAsia="zh-CN"/>
                    </w:rPr>
                    <w:t>每日</w:t>
                  </w:r>
                </w:p>
              </w:tc>
              <w:tc>
                <w:tcPr>
                  <w:tcW w:w="219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 w:ascii="宋体" w:hAnsi="宋体"/>
                      <w:color w:val="auto"/>
                    </w:rPr>
                    <w:t>除尘，检查</w:t>
                  </w: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设备坚固件与安全装置</w:t>
                  </w: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对设备维修的控制（</w:t>
            </w:r>
            <w:r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  <w:t>体系运行以来未发生设备需维修情况）</w:t>
            </w: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67"/>
              <w:gridCol w:w="2590"/>
              <w:gridCol w:w="1174"/>
              <w:gridCol w:w="1748"/>
              <w:gridCol w:w="189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317" w:hRule="atLeast"/>
              </w:trPr>
              <w:tc>
                <w:tcPr>
                  <w:tcW w:w="1567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设备维修记录</w:t>
                  </w:r>
                </w:p>
              </w:tc>
              <w:tc>
                <w:tcPr>
                  <w:tcW w:w="259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设备名称</w:t>
                  </w:r>
                </w:p>
              </w:tc>
              <w:tc>
                <w:tcPr>
                  <w:tcW w:w="1174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维修日期</w:t>
                  </w:r>
                </w:p>
              </w:tc>
              <w:tc>
                <w:tcPr>
                  <w:tcW w:w="174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维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修</w:t>
                  </w:r>
                  <w:r>
                    <w:rPr>
                      <w:rFonts w:hint="eastAsia"/>
                      <w:color w:val="auto"/>
                    </w:rPr>
                    <w:t>内容</w:t>
                  </w:r>
                </w:p>
              </w:tc>
              <w:tc>
                <w:tcPr>
                  <w:tcW w:w="189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</w:rPr>
                    <w:t>验收结果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567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--------</w:t>
                  </w:r>
                </w:p>
              </w:tc>
              <w:tc>
                <w:tcPr>
                  <w:tcW w:w="259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174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748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898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</w:rPr>
                    <w:t xml:space="preserve">合格  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</w:rPr>
                    <w:t>缺少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567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auto"/>
                      <w:lang w:val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--------</w:t>
                  </w:r>
                </w:p>
              </w:tc>
              <w:tc>
                <w:tcPr>
                  <w:tcW w:w="2590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auto"/>
                    </w:rPr>
                  </w:pPr>
                </w:p>
              </w:tc>
              <w:tc>
                <w:tcPr>
                  <w:tcW w:w="1174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auto"/>
                      <w:lang w:val="zh-CN"/>
                    </w:rPr>
                  </w:pPr>
                </w:p>
              </w:tc>
              <w:tc>
                <w:tcPr>
                  <w:tcW w:w="1748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auto"/>
                    </w:rPr>
                  </w:pPr>
                </w:p>
              </w:tc>
              <w:tc>
                <w:tcPr>
                  <w:tcW w:w="1898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Calibri" w:hAnsi="Calibri"/>
                      <w:color w:val="auto"/>
                      <w:lang w:eastAsia="zh-CN"/>
                    </w:rPr>
                  </w:pP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auto"/>
                    </w:rPr>
                    <w:t xml:space="preserve">合格  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</w:rPr>
                    <w:t>缺少</w:t>
                  </w: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设备完好情况</w:t>
            </w:r>
          </w:p>
          <w:p>
            <w:pPr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是否发生设备故障引起停产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 w:ascii="Calibri" w:hAnsi="Calibri"/>
                <w:lang w:eastAsia="zh-CN"/>
              </w:rPr>
              <w:t>☑</w:t>
            </w:r>
            <w:r>
              <w:rPr>
                <w:rFonts w:hint="eastAsia"/>
              </w:rPr>
              <w:t>未发生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Calibri" w:hAnsi="Calibri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已发生</w:t>
            </w: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79"/>
              <w:gridCol w:w="1363"/>
              <w:gridCol w:w="1817"/>
              <w:gridCol w:w="1920"/>
              <w:gridCol w:w="189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979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设备故障引起停产</w:t>
                  </w:r>
                  <w:r>
                    <w:rPr>
                      <w:rFonts w:hint="eastAsia"/>
                      <w:lang w:val="en-US" w:eastAsia="zh-CN"/>
                    </w:rPr>
                    <w:t>描述</w:t>
                  </w:r>
                </w:p>
              </w:tc>
              <w:tc>
                <w:tcPr>
                  <w:tcW w:w="1363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发生日期</w:t>
                  </w:r>
                </w:p>
              </w:tc>
              <w:tc>
                <w:tcPr>
                  <w:tcW w:w="1817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</w:rPr>
                    <w:t>停机时间</w:t>
                  </w:r>
                  <w:r>
                    <w:rPr>
                      <w:rFonts w:hint="eastAsia" w:ascii="Calibri" w:hAnsi="Calibri"/>
                      <w:lang w:eastAsia="zh-CN"/>
                    </w:rPr>
                    <w:t>（</w:t>
                  </w:r>
                  <w:r>
                    <w:rPr>
                      <w:rFonts w:hint="eastAsia" w:ascii="Calibri" w:hAnsi="Calibri"/>
                      <w:lang w:val="en-US" w:eastAsia="zh-CN"/>
                    </w:rPr>
                    <w:t>小时</w:t>
                  </w:r>
                  <w:r>
                    <w:rPr>
                      <w:rFonts w:hint="eastAsia" w:ascii="Calibri" w:hAnsi="Calibri"/>
                      <w:lang w:eastAsia="zh-CN"/>
                    </w:rPr>
                    <w:t>）</w:t>
                  </w:r>
                </w:p>
              </w:tc>
              <w:tc>
                <w:tcPr>
                  <w:tcW w:w="1920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 w:cs="Times New Roman"/>
                      <w:kern w:val="2"/>
                      <w:sz w:val="21"/>
                      <w:lang w:val="en-US" w:eastAsia="zh-CN" w:bidi="ar-SA"/>
                    </w:rPr>
                    <w:t>是否影响产品质量</w:t>
                  </w:r>
                </w:p>
              </w:tc>
              <w:tc>
                <w:tcPr>
                  <w:tcW w:w="1898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 w:cs="Times New Roman"/>
                      <w:kern w:val="2"/>
                      <w:sz w:val="21"/>
                      <w:lang w:val="en-US" w:eastAsia="zh-CN" w:bidi="ar-SA"/>
                    </w:rPr>
                    <w:t>是否影响交付进度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7" w:hRule="atLeast"/>
              </w:trPr>
              <w:tc>
                <w:tcPr>
                  <w:tcW w:w="1979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36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817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20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lang w:eastAsia="zh-CN"/>
                    </w:rPr>
                  </w:pPr>
                </w:p>
              </w:tc>
              <w:tc>
                <w:tcPr>
                  <w:tcW w:w="1898" w:type="dxa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7" w:hRule="atLeast"/>
              </w:trPr>
              <w:tc>
                <w:tcPr>
                  <w:tcW w:w="1979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36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817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20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lang w:eastAsia="zh-CN"/>
                    </w:rPr>
                  </w:pPr>
                </w:p>
              </w:tc>
              <w:tc>
                <w:tcPr>
                  <w:tcW w:w="1898" w:type="dxa"/>
                </w:tcPr>
                <w:p>
                  <w:pPr>
                    <w:spacing w:after="0" w:line="240" w:lineRule="auto"/>
                  </w:pP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特种设备控制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u w:val="none"/>
                <w:vertAlign w:val="baseline"/>
                <w:lang w:val="en-US" w:eastAsia="zh-CN"/>
              </w:rPr>
              <w:t>特种设备种类</w:t>
            </w:r>
            <w:r>
              <w:rPr>
                <w:rFonts w:hint="eastAsia"/>
                <w:vertAlign w:val="baseline"/>
                <w:lang w:val="en-US" w:eastAsia="zh-CN"/>
              </w:rPr>
              <w:t>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叉车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>行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车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锅炉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电梯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压力容器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压力管道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不适用  </w:t>
            </w:r>
          </w:p>
          <w:tbl>
            <w:tblPr>
              <w:tblStyle w:val="6"/>
              <w:tblW w:w="884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79"/>
              <w:gridCol w:w="2575"/>
              <w:gridCol w:w="1325"/>
              <w:gridCol w:w="1563"/>
              <w:gridCol w:w="16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5" w:hRule="atLeast"/>
              </w:trPr>
              <w:tc>
                <w:tcPr>
                  <w:tcW w:w="1779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color w:val="000000" w:themeColor="text1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设备</w:t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名称</w:t>
                  </w:r>
                </w:p>
              </w:tc>
              <w:tc>
                <w:tcPr>
                  <w:tcW w:w="2575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编号</w:t>
                  </w:r>
                </w:p>
              </w:tc>
              <w:tc>
                <w:tcPr>
                  <w:tcW w:w="1325" w:type="dxa"/>
                </w:tcPr>
                <w:p>
                  <w:pPr>
                    <w:spacing w:after="0" w:line="240" w:lineRule="auto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有效期期限</w:t>
                  </w:r>
                </w:p>
              </w:tc>
              <w:tc>
                <w:tcPr>
                  <w:tcW w:w="1563" w:type="dxa"/>
                </w:tcPr>
                <w:p>
                  <w:pPr>
                    <w:spacing w:after="0" w:line="240" w:lineRule="auto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结论</w:t>
                  </w:r>
                </w:p>
              </w:tc>
              <w:tc>
                <w:tcPr>
                  <w:tcW w:w="1600" w:type="dxa"/>
                </w:tcPr>
                <w:p>
                  <w:pPr>
                    <w:spacing w:after="0" w:line="240" w:lineRule="auto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《使用登记证》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79" w:type="dxa"/>
                  <w:vAlign w:val="center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color w:val="000000" w:themeColor="text1"/>
                      <w:szCs w:val="22"/>
                      <w:lang w:val="en-US" w:eastAsia="zh-CN"/>
                    </w:rPr>
                  </w:pPr>
                </w:p>
              </w:tc>
              <w:tc>
                <w:tcPr>
                  <w:tcW w:w="2575" w:type="dxa"/>
                </w:tcPr>
                <w:p>
                  <w:pPr>
                    <w:spacing w:after="0" w:line="240" w:lineRule="auto"/>
                    <w:rPr>
                      <w:rFonts w:hint="default"/>
                      <w:color w:val="000000" w:themeColor="text1"/>
                      <w:lang w:val="en-US" w:eastAsia="zh-CN"/>
                    </w:rPr>
                  </w:pPr>
                </w:p>
              </w:tc>
              <w:tc>
                <w:tcPr>
                  <w:tcW w:w="1325" w:type="dxa"/>
                  <w:vAlign w:val="top"/>
                </w:tcPr>
                <w:p>
                  <w:pPr>
                    <w:spacing w:after="0" w:line="240" w:lineRule="auto"/>
                    <w:jc w:val="left"/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563" w:type="dxa"/>
                </w:tcPr>
                <w:p>
                  <w:pPr>
                    <w:spacing w:after="0" w:line="240" w:lineRule="auto"/>
                    <w:rPr>
                      <w:color w:val="000000" w:themeColor="text1"/>
                    </w:rPr>
                  </w:pPr>
                  <w:r>
                    <w:rPr>
                      <w:rFonts w:hint="eastAsia" w:ascii="Calibri" w:hAnsi="Calibri"/>
                      <w:color w:val="000000" w:themeColor="text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</w:rPr>
                    <w:t>有效</w:t>
                  </w:r>
                  <w:r>
                    <w:rPr>
                      <w:rFonts w:ascii="Calibri" w:hAnsi="Calibri"/>
                      <w:color w:val="000000" w:themeColor="text1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</w:rPr>
                    <w:t>过期</w:t>
                  </w:r>
                </w:p>
              </w:tc>
              <w:tc>
                <w:tcPr>
                  <w:tcW w:w="160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color w:val="000000" w:themeColor="text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</w:rPr>
                    <w:t xml:space="preserve">有  </w:t>
                  </w:r>
                  <w:r>
                    <w:rPr>
                      <w:rFonts w:ascii="Calibri" w:hAnsi="Calibri"/>
                      <w:color w:val="000000" w:themeColor="text1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8" w:hRule="atLeast"/>
              </w:trPr>
              <w:tc>
                <w:tcPr>
                  <w:tcW w:w="1779" w:type="dxa"/>
                  <w:vAlign w:val="center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cs="Times New Roman"/>
                      <w:color w:val="000000" w:themeColor="text1"/>
                      <w:szCs w:val="22"/>
                      <w:lang w:val="en-US" w:eastAsia="zh-CN"/>
                    </w:rPr>
                  </w:pPr>
                </w:p>
              </w:tc>
              <w:tc>
                <w:tcPr>
                  <w:tcW w:w="2575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000000" w:themeColor="text1"/>
                      <w:lang w:val="en-US" w:eastAsia="zh-CN"/>
                    </w:rPr>
                  </w:pPr>
                </w:p>
              </w:tc>
              <w:tc>
                <w:tcPr>
                  <w:tcW w:w="1325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563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color w:val="000000" w:themeColor="text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</w:rPr>
                    <w:t>有效</w:t>
                  </w:r>
                  <w:r>
                    <w:rPr>
                      <w:rFonts w:ascii="Calibri" w:hAnsi="Calibri"/>
                      <w:color w:val="000000" w:themeColor="text1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</w:rPr>
                    <w:t>过期</w:t>
                  </w:r>
                </w:p>
              </w:tc>
              <w:tc>
                <w:tcPr>
                  <w:tcW w:w="160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color w:val="000000" w:themeColor="text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</w:rPr>
                    <w:t xml:space="preserve">有  </w:t>
                  </w:r>
                  <w:r>
                    <w:rPr>
                      <w:rFonts w:ascii="Calibri" w:hAnsi="Calibri"/>
                      <w:color w:val="000000" w:themeColor="text1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</w:rPr>
                    <w:t>无</w:t>
                  </w: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tbl>
            <w:tblPr>
              <w:tblStyle w:val="6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23"/>
              <w:gridCol w:w="1794"/>
              <w:gridCol w:w="2000"/>
              <w:gridCol w:w="1200"/>
              <w:gridCol w:w="1200"/>
              <w:gridCol w:w="166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977" w:type="dxa"/>
                  <w:gridSpan w:val="6"/>
                  <w:shd w:val="clear" w:color="auto" w:fill="auto"/>
                </w:tcPr>
                <w:p>
                  <w:pPr>
                    <w:spacing w:after="0" w:line="240" w:lineRule="auto"/>
                    <w:rPr>
                      <w:rFonts w:ascii="Calibri" w:hAnsi="Calibri"/>
                      <w:color w:val="auto"/>
                    </w:rPr>
                  </w:pPr>
                  <w:r>
                    <w:rPr>
                      <w:rFonts w:hint="eastAsia"/>
                      <w:b/>
                      <w:color w:val="auto"/>
                    </w:rPr>
                    <w:t>设备日常点检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抽查设备</w:t>
                  </w:r>
                </w:p>
              </w:tc>
              <w:tc>
                <w:tcPr>
                  <w:tcW w:w="1794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color w:val="auto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型号</w:t>
                  </w:r>
                </w:p>
              </w:tc>
              <w:tc>
                <w:tcPr>
                  <w:tcW w:w="200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抽查记录的月份</w:t>
                  </w:r>
                </w:p>
              </w:tc>
              <w:tc>
                <w:tcPr>
                  <w:tcW w:w="120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现场查看</w:t>
                  </w:r>
                </w:p>
              </w:tc>
              <w:tc>
                <w:tcPr>
                  <w:tcW w:w="120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记录情况</w:t>
                  </w:r>
                </w:p>
              </w:tc>
              <w:tc>
                <w:tcPr>
                  <w:tcW w:w="166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</w:rPr>
                    <w:t>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  <w:rPr>
                      <w:rFonts w:hint="default"/>
                      <w:color w:val="auto"/>
                      <w:lang w:val="en-US"/>
                    </w:rPr>
                  </w:pPr>
                  <w:r>
                    <w:rPr>
                      <w:rFonts w:hint="eastAsia"/>
                      <w:color w:val="auto"/>
                      <w:szCs w:val="22"/>
                      <w:lang w:val="en-US" w:eastAsia="zh-CN"/>
                    </w:rPr>
                    <w:t>高压清洗机</w:t>
                  </w:r>
                </w:p>
              </w:tc>
              <w:tc>
                <w:tcPr>
                  <w:tcW w:w="179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>Z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SSB002</w:t>
                  </w:r>
                </w:p>
              </w:tc>
              <w:tc>
                <w:tcPr>
                  <w:tcW w:w="2000" w:type="dxa"/>
                  <w:vAlign w:val="top"/>
                </w:tcPr>
                <w:p>
                  <w:pPr>
                    <w:spacing w:after="0" w:line="240" w:lineRule="auto"/>
                    <w:jc w:val="center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2020年1月22日</w:t>
                  </w:r>
                </w:p>
              </w:tc>
              <w:tc>
                <w:tcPr>
                  <w:tcW w:w="1200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暂无现场</w:t>
                  </w:r>
                </w:p>
              </w:tc>
              <w:tc>
                <w:tcPr>
                  <w:tcW w:w="120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无异常</w:t>
                  </w:r>
                </w:p>
              </w:tc>
              <w:tc>
                <w:tcPr>
                  <w:tcW w:w="1660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完好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不完好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color w:val="auto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空气压缩机</w:t>
                  </w:r>
                </w:p>
              </w:tc>
              <w:tc>
                <w:tcPr>
                  <w:tcW w:w="1794" w:type="dxa"/>
                </w:tcPr>
                <w:p>
                  <w:pPr>
                    <w:spacing w:after="0" w:line="240" w:lineRule="auto"/>
                    <w:rPr>
                      <w:rFonts w:hint="default"/>
                      <w:color w:val="auto"/>
                      <w:lang w:val="en-US"/>
                    </w:rPr>
                  </w:pPr>
                  <w:r>
                    <w:rPr>
                      <w:color w:val="auto"/>
                    </w:rPr>
                    <w:t>Z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SSB001</w:t>
                  </w:r>
                </w:p>
              </w:tc>
              <w:tc>
                <w:tcPr>
                  <w:tcW w:w="2000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2019年12月2号</w:t>
                  </w:r>
                </w:p>
              </w:tc>
              <w:tc>
                <w:tcPr>
                  <w:tcW w:w="1200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暂无现场</w:t>
                  </w:r>
                </w:p>
              </w:tc>
              <w:tc>
                <w:tcPr>
                  <w:tcW w:w="120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无异常</w:t>
                  </w:r>
                </w:p>
              </w:tc>
              <w:tc>
                <w:tcPr>
                  <w:tcW w:w="1660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完好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不完好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  <w:rPr>
                      <w:rFonts w:hint="default"/>
                      <w:color w:val="auto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消防钢瓶反转机</w:t>
                  </w:r>
                </w:p>
              </w:tc>
              <w:tc>
                <w:tcPr>
                  <w:tcW w:w="1794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color w:val="auto"/>
                      <w:lang w:val="en-US" w:eastAsia="zh-CN"/>
                    </w:rPr>
                  </w:pPr>
                  <w:r>
                    <w:rPr>
                      <w:color w:val="auto"/>
                    </w:rPr>
                    <w:t>Z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SSB003</w:t>
                  </w:r>
                </w:p>
              </w:tc>
              <w:tc>
                <w:tcPr>
                  <w:tcW w:w="200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2019年11月1号</w:t>
                  </w:r>
                </w:p>
              </w:tc>
              <w:tc>
                <w:tcPr>
                  <w:tcW w:w="1200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暂无现场</w:t>
                  </w:r>
                </w:p>
              </w:tc>
              <w:tc>
                <w:tcPr>
                  <w:tcW w:w="120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无异常</w:t>
                  </w:r>
                </w:p>
              </w:tc>
              <w:tc>
                <w:tcPr>
                  <w:tcW w:w="1660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 w:ascii="Calibri" w:hAnsi="Calibri"/>
                      <w:color w:val="auto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完好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不完好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压力管道</w:t>
                  </w:r>
                </w:p>
              </w:tc>
              <w:tc>
                <w:tcPr>
                  <w:tcW w:w="1794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无</w:t>
                  </w:r>
                </w:p>
              </w:tc>
              <w:tc>
                <w:tcPr>
                  <w:tcW w:w="2000" w:type="dxa"/>
                  <w:vAlign w:val="top"/>
                </w:tcPr>
                <w:p>
                  <w:pPr>
                    <w:spacing w:after="0" w:line="240" w:lineRule="auto"/>
                    <w:ind w:firstLine="420" w:firstLineChars="200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年  月  日</w:t>
                  </w:r>
                </w:p>
              </w:tc>
              <w:tc>
                <w:tcPr>
                  <w:tcW w:w="120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20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660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完好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不完好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电梯（客梯）</w:t>
                  </w:r>
                </w:p>
              </w:tc>
              <w:tc>
                <w:tcPr>
                  <w:tcW w:w="1794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无</w:t>
                  </w:r>
                </w:p>
              </w:tc>
              <w:tc>
                <w:tcPr>
                  <w:tcW w:w="2000" w:type="dxa"/>
                  <w:vAlign w:val="top"/>
                </w:tcPr>
                <w:p>
                  <w:pPr>
                    <w:spacing w:after="0" w:line="240" w:lineRule="auto"/>
                    <w:ind w:firstLine="420" w:firstLineChars="200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年  月  日</w:t>
                  </w:r>
                </w:p>
              </w:tc>
              <w:tc>
                <w:tcPr>
                  <w:tcW w:w="120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20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660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完好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不完好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3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hint="eastAsia"/>
                      <w:color w:val="auto"/>
                    </w:rPr>
                    <w:t>电梯（货梯）</w:t>
                  </w:r>
                </w:p>
              </w:tc>
              <w:tc>
                <w:tcPr>
                  <w:tcW w:w="1794" w:type="dxa"/>
                </w:tcPr>
                <w:p>
                  <w:pPr>
                    <w:spacing w:after="0" w:line="240" w:lineRule="auto"/>
                    <w:rPr>
                      <w:rFonts w:hint="eastAsia"/>
                      <w:color w:val="auto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无</w:t>
                  </w:r>
                </w:p>
              </w:tc>
              <w:tc>
                <w:tcPr>
                  <w:tcW w:w="2000" w:type="dxa"/>
                  <w:vAlign w:val="top"/>
                </w:tcPr>
                <w:p>
                  <w:pPr>
                    <w:spacing w:after="0" w:line="240" w:lineRule="auto"/>
                    <w:ind w:firstLine="420" w:firstLineChars="200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auto"/>
                    </w:rPr>
                    <w:t>年  月  日</w:t>
                  </w:r>
                </w:p>
              </w:tc>
              <w:tc>
                <w:tcPr>
                  <w:tcW w:w="1200" w:type="dxa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</w:p>
              </w:tc>
              <w:tc>
                <w:tcPr>
                  <w:tcW w:w="120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color w:val="auto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660" w:type="dxa"/>
                  <w:vAlign w:val="top"/>
                </w:tcPr>
                <w:p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完好</w:t>
                  </w:r>
                  <w:r>
                    <w:rPr>
                      <w:rFonts w:ascii="Calibri" w:hAnsi="Calibri"/>
                      <w:color w:val="auto"/>
                    </w:rPr>
                    <w:t>□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不完好</w:t>
                  </w: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continue"/>
            <w:vAlign w:val="top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过程运行环境</w:t>
            </w:r>
          </w:p>
          <w:p/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7.1.4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手册第7.1.4条款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组织确定、提供并维护所需的环境，以运行过程，并获得合格产品和服务。 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3840"/>
              <w:gridCol w:w="30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过程运行环境因素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控制方法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社会因素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非歧视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安定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非对抗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不定期组织团建活动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心理因素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减压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预防过度疲劳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稳定情绪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定期休息，发放员工福利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物理因素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温度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湿度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照明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空气流通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卫生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噪声等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提供舒适的办公场所</w:t>
                  </w:r>
                </w:p>
              </w:tc>
            </w:tr>
          </w:tbl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  <w:p/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监视和测量资源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7.1.5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《监视和测量装置管理程序》、手册第7.1.5条款</w:t>
            </w:r>
          </w:p>
        </w:tc>
        <w:tc>
          <w:tcPr>
            <w:tcW w:w="1585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N 无计量器具台账，计量器具已送检，暂未取得检测报告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了解监视和测量资源种类：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计量器具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监视设备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服务工作检查表 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</w:t>
            </w:r>
            <w:r>
              <w:rPr>
                <w:rFonts w:hint="eastAsia"/>
                <w:u w:val="single"/>
                <w:lang w:val="en-US" w:eastAsia="zh-CN"/>
              </w:rPr>
              <w:t>《    》</w:t>
            </w:r>
            <w:r>
              <w:rPr>
                <w:rFonts w:hint="eastAsia"/>
                <w:lang w:val="en-US" w:eastAsia="zh-CN"/>
              </w:rPr>
              <w:t>，抽查外部检定或校准情况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2248"/>
              <w:gridCol w:w="1739"/>
              <w:gridCol w:w="292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计量器具名称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检定或校准证书编号</w:t>
                  </w: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有限期限至</w:t>
                  </w: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使用场所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生产部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生产部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1739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92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车间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生产部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计量器具的失效控制：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未发生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已发生，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2248"/>
              <w:gridCol w:w="2626"/>
              <w:gridCol w:w="203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失效计量器具名称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失效情况</w:t>
                  </w:r>
                </w:p>
              </w:tc>
              <w:tc>
                <w:tcPr>
                  <w:tcW w:w="262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数据追溯描述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无</w:t>
                  </w: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248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  <w:tc>
                <w:tcPr>
                  <w:tcW w:w="262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 xml:space="preserve">维修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  <w:lang w:val="en-US" w:eastAsia="zh-CN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r>
              <w:rPr>
                <w:rFonts w:hint="eastAsia"/>
              </w:rPr>
              <w:t xml:space="preserve"> 组织的知识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7.1.6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如：手册第7.1.6条款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组织应确定所需的知识</w:t>
            </w:r>
            <w:r>
              <w:rPr>
                <w:rFonts w:hint="eastAsia"/>
                <w:lang w:val="en-US" w:eastAsia="zh-CN"/>
              </w:rPr>
              <w:t>控制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36"/>
              <w:gridCol w:w="2480"/>
              <w:gridCol w:w="1809"/>
              <w:gridCol w:w="1809"/>
              <w:gridCol w:w="18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36" w:type="dxa"/>
                </w:tcPr>
                <w:p/>
              </w:tc>
              <w:tc>
                <w:tcPr>
                  <w:tcW w:w="2480" w:type="dxa"/>
                </w:tcPr>
                <w:p>
                  <w:r>
                    <w:rPr>
                      <w:rFonts w:hint="eastAsia"/>
                    </w:rPr>
                    <w:t>具体内容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t>收集部门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t>共享方法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t>更新频次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36" w:type="dxa"/>
                </w:tcPr>
                <w:p>
                  <w:r>
                    <w:rPr>
                      <w:rFonts w:hint="eastAsia"/>
                    </w:rPr>
                    <w:t>内部知识</w:t>
                  </w:r>
                </w:p>
              </w:tc>
              <w:tc>
                <w:tcPr>
                  <w:tcW w:w="2480" w:type="dxa"/>
                </w:tcPr>
                <w:p>
                  <w:r>
                    <w:rPr>
                      <w:rFonts w:hint="eastAsia"/>
                    </w:rPr>
                    <w:t>知识产权；从经验获得的知识；从失败和成功项目吸取的经验和教训；获取和分享未成文件的知识和经验；以及过程、产品和服务的改进结果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行政部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</w:rPr>
                    <w:t>生</w:t>
                  </w:r>
                  <w:r>
                    <w:rPr>
                      <w:rFonts w:hint="eastAsia"/>
                      <w:lang w:val="en-US" w:eastAsia="zh-CN"/>
                    </w:rPr>
                    <w:t>产部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交流会议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工作总结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辅导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培训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微信群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不定期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每年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每季度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每月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每周例会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每天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36" w:type="dxa"/>
                </w:tcPr>
                <w:p>
                  <w:r>
                    <w:rPr>
                      <w:rFonts w:hint="eastAsia"/>
                    </w:rPr>
                    <w:t>外部知识</w:t>
                  </w:r>
                </w:p>
              </w:tc>
              <w:tc>
                <w:tcPr>
                  <w:tcW w:w="2480" w:type="dxa"/>
                </w:tcPr>
                <w:p>
                  <w:r>
                    <w:rPr>
                      <w:rFonts w:hint="eastAsia"/>
                    </w:rPr>
                    <w:t>标准、学术交流、专业会议、从顾客或外部供方收集的知识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行政部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生产部</w:t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交流会议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工作总结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辅导</w:t>
                  </w:r>
                </w:p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培训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</w:p>
              </w:tc>
              <w:tc>
                <w:tcPr>
                  <w:tcW w:w="1809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不定期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每年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每季度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每月</w:t>
                  </w:r>
                </w:p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每天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/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r>
              <w:rPr>
                <w:rFonts w:hint="eastAsia"/>
              </w:rPr>
              <w:t>运行的策划和控制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color w:val="auto"/>
                <w:lang w:val="en-US" w:eastAsia="zh-CN"/>
              </w:rPr>
              <w:t>如：手册8.1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为满足产品和服务提供的要求，所确定的措施，组织通过以下措施对所需的过程进行策划、实施和控制：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7"/>
              <w:gridCol w:w="2087"/>
              <w:gridCol w:w="4412"/>
              <w:gridCol w:w="161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产品/服务的名称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bookmarkStart w:id="1" w:name="审核范围"/>
                  <w:r>
                    <w:rPr>
                      <w:rFonts w:hint="eastAsia" w:ascii="宋体" w:hAnsi="宋体"/>
                      <w:szCs w:val="21"/>
                    </w:rPr>
                    <w:t>资质范围内灭火设备的生产</w:t>
                  </w:r>
                  <w:bookmarkEnd w:id="1"/>
                  <w:r>
                    <w:rPr>
                      <w:rFonts w:hint="eastAsia" w:ascii="宋体" w:hAnsi="宋体"/>
                      <w:szCs w:val="21"/>
                    </w:rPr>
                    <w:t xml:space="preserve"> 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产品和服务的要求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A8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图纸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工艺流程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操作规程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A8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过程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准则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程序文件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作业指导书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restart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产品和服务的接收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准则</w:t>
                  </w:r>
                </w:p>
              </w:tc>
              <w:tc>
                <w:tcPr>
                  <w:tcW w:w="2087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原材料接受标准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相关国标</w:t>
                  </w:r>
                </w:p>
              </w:tc>
              <w:tc>
                <w:tcPr>
                  <w:tcW w:w="1617" w:type="dxa"/>
                  <w:vMerge w:val="restart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/>
              </w:tc>
              <w:tc>
                <w:tcPr>
                  <w:tcW w:w="2087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过程产品放行标准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相关国标</w:t>
                  </w:r>
                </w:p>
              </w:tc>
              <w:tc>
                <w:tcPr>
                  <w:tcW w:w="161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  <w:tc>
                <w:tcPr>
                  <w:tcW w:w="2087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成品执行标准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相关国标</w:t>
                  </w:r>
                </w:p>
              </w:tc>
              <w:tc>
                <w:tcPr>
                  <w:tcW w:w="161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  <w:tc>
                <w:tcPr>
                  <w:tcW w:w="2087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服务规范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参照技术协议或订单合同</w:t>
                  </w:r>
                </w:p>
              </w:tc>
              <w:tc>
                <w:tcPr>
                  <w:tcW w:w="161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所需的资源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受过培训的人员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必要的生产设备和工具  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必要的检测设备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必要的生产和储存场所  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充足的原材料供应 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A8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color w:val="auto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确定符合产品和服务要求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vertAlign w:val="baseline"/>
                      <w:lang w:val="en-US" w:eastAsia="zh-CN"/>
                    </w:rPr>
                    <w:t>实施原料检验，过程监控，成品检验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color w:val="auto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按照准则实施过程控制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/>
                      <w:color w:val="auto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依照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相关国标</w:t>
                  </w:r>
                  <w:r>
                    <w:rPr>
                      <w:rFonts w:hint="eastAsia"/>
                      <w:color w:val="auto"/>
                      <w:lang w:val="en-US" w:eastAsia="zh-CN"/>
                    </w:rPr>
                    <w:t>，参照操作规格书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 w:eastAsia="宋体"/>
                      <w:color w:val="auto"/>
                      <w:highlight w:val="none"/>
                      <w:vertAlign w:val="baseline"/>
                      <w:lang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过程已经按策划进行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证据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vertAlign w:val="baseline"/>
                      <w:lang w:val="en-US" w:eastAsia="zh-CN"/>
                    </w:rPr>
                    <w:t>过程监控记录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eastAsia"/>
                      <w:color w:val="auto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产品和服务符合要求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的证据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vertAlign w:val="baseline"/>
                      <w:lang w:val="en-US" w:eastAsia="zh-CN"/>
                    </w:rPr>
                    <w:t>出厂检验记录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</w:rPr>
                    <w:t>策划的变更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的控制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eastAsia"/>
                      <w:color w:val="auto"/>
                      <w:highlight w:val="none"/>
                      <w:vertAlign w:val="baseline"/>
                    </w:rPr>
                  </w:pP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14" w:type="dxa"/>
                  <w:gridSpan w:val="2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识别</w:t>
                  </w:r>
                  <w:r>
                    <w:rPr>
                      <w:rFonts w:hint="eastAsia"/>
                      <w:color w:val="auto"/>
                      <w:highlight w:val="none"/>
                    </w:rPr>
                    <w:t>外包过程</w:t>
                  </w:r>
                  <w:r>
                    <w:rPr>
                      <w:rFonts w:hint="eastAsia"/>
                      <w:color w:val="auto"/>
                      <w:highlight w:val="none"/>
                      <w:lang w:val="en-US" w:eastAsia="zh-CN"/>
                    </w:rPr>
                    <w:t>及控制方法</w:t>
                  </w:r>
                </w:p>
              </w:tc>
              <w:tc>
                <w:tcPr>
                  <w:tcW w:w="4412" w:type="dxa"/>
                </w:tcPr>
                <w:p>
                  <w:pPr>
                    <w:rPr>
                      <w:rFonts w:hint="default" w:eastAsia="宋体"/>
                      <w:color w:val="auto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highlight w:val="none"/>
                      <w:vertAlign w:val="baseline"/>
                      <w:lang w:val="en-US" w:eastAsia="zh-CN"/>
                    </w:rPr>
                    <w:t>物流：选择合格供方；</w:t>
                  </w:r>
                </w:p>
              </w:tc>
              <w:tc>
                <w:tcPr>
                  <w:tcW w:w="1617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</w:tbl>
          <w:p>
            <w:pPr>
              <w:rPr>
                <w:rFonts w:hint="eastAsia"/>
                <w:highlight w:val="none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color w:val="auto"/>
                <w:lang w:val="en-US" w:eastAsia="zh-CN"/>
              </w:rPr>
              <w:t>生产工艺流程：原材料采购- 安装容器阀- 试压- 充气- 检验- 组装- 测试- 包装出货</w:t>
            </w:r>
          </w:p>
          <w:p>
            <w:pPr>
              <w:jc w:val="left"/>
              <w:rPr>
                <w:rFonts w:hint="default"/>
                <w:color w:val="000000"/>
                <w:szCs w:val="21"/>
                <w:u w:val="none"/>
                <w:lang w:val="en-US" w:eastAsia="zh-CN"/>
              </w:rPr>
            </w:pPr>
          </w:p>
          <w:p>
            <w:pPr>
              <w:rPr>
                <w:rFonts w:hint="default" w:eastAsia="宋体"/>
                <w:color w:val="auto"/>
                <w:highlight w:val="cyan"/>
                <w:lang w:val="en-US" w:eastAsia="zh-CN"/>
              </w:rPr>
            </w:pPr>
            <w:r>
              <w:rPr>
                <w:rFonts w:hint="eastAsia"/>
                <w:color w:val="auto"/>
                <w:szCs w:val="22"/>
                <w:highlight w:val="none"/>
                <w:lang w:val="en-US" w:eastAsia="zh-CN"/>
              </w:rPr>
              <w:t>特殊过程与关键过程均为：充气，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对特殊过程编辑了</w:t>
            </w:r>
            <w:r>
              <w:rPr>
                <w:rFonts w:hint="eastAsia"/>
                <w:color w:val="auto"/>
                <w:u w:val="single"/>
                <w:lang w:val="en-US" w:eastAsia="zh-CN"/>
              </w:rPr>
              <w:t>《特殊(关键)过程确认单》，</w:t>
            </w:r>
            <w:r>
              <w:rPr>
                <w:rFonts w:hint="eastAsia"/>
                <w:color w:val="auto"/>
                <w:lang w:val="en-US" w:eastAsia="zh-CN"/>
              </w:rPr>
              <w:t>操作过程制定《作业指导书》、《操作规程》，《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气体灭火设备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关键工序质量检验规范》，</w:t>
            </w:r>
            <w:r>
              <w:rPr>
                <w:rFonts w:hint="eastAsia"/>
                <w:color w:val="auto"/>
                <w:lang w:val="en-US" w:eastAsia="zh-CN"/>
              </w:rPr>
              <w:t>提供《灭火器充装记录表》对充气工序进行过程监控，生产结束后对成品进行成品检测，检测合格方能入库销售。详见Q8.5.1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企业取得《消防产品认证证书》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1证书编号：Z2016081812000454，认证单元：七氟丙烷灭火设备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2证书编号：Z2019081812000069，认证单元：柜式七氟丙烷气体灭火装置</w:t>
            </w:r>
          </w:p>
          <w:p/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生产和服务提供的控制</w:t>
            </w:r>
          </w:p>
          <w:p/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8.5.1  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r>
              <w:rPr>
                <w:rFonts w:hint="eastAsia"/>
                <w:lang w:val="en-US" w:eastAsia="zh-CN"/>
              </w:rPr>
              <w:t>如：质量手册Q</w:t>
            </w:r>
            <w:r>
              <w:rPr>
                <w:rFonts w:hint="eastAsia"/>
              </w:rPr>
              <w:t>8.5.1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《工艺流程图》、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《作业指导书》、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《操作规程》</w:t>
            </w:r>
          </w:p>
        </w:tc>
        <w:tc>
          <w:tcPr>
            <w:tcW w:w="1585" w:type="dxa"/>
            <w:vMerge w:val="restart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组织应在受控条件下进行生产和服务提供。</w:t>
            </w: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产品/服务1：</w:t>
            </w: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查看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highlight w:val="none"/>
                <w:lang w:val="en-US" w:eastAsia="zh-CN"/>
              </w:rPr>
              <w:t>《工艺流程图》：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color w:val="auto"/>
                <w:lang w:val="en-US" w:eastAsia="zh-CN"/>
              </w:rPr>
              <w:t>生产工艺流程：原材料采购- 安装容器阀- 试压- 充气- 检验- 组装- 测试- 包装出货</w:t>
            </w:r>
          </w:p>
          <w:p>
            <w:pPr>
              <w:jc w:val="left"/>
              <w:rPr>
                <w:rFonts w:hint="default"/>
                <w:color w:val="000000"/>
                <w:szCs w:val="21"/>
                <w:u w:val="none"/>
                <w:lang w:val="en-US" w:eastAsia="zh-CN"/>
              </w:rPr>
            </w:pPr>
          </w:p>
          <w:p>
            <w:pPr>
              <w:rPr>
                <w:rFonts w:hint="eastAsia"/>
                <w:highlight w:val="cyan"/>
              </w:rPr>
            </w:pPr>
            <w:r>
              <w:rPr>
                <w:rFonts w:hint="eastAsia"/>
                <w:lang w:val="en-US" w:eastAsia="zh-CN"/>
              </w:rPr>
              <w:t>抽查《灭火器瓶组置换过程记录表》</w:t>
            </w:r>
          </w:p>
          <w:tbl>
            <w:tblPr>
              <w:tblStyle w:val="6"/>
              <w:tblW w:w="832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54"/>
              <w:gridCol w:w="1551"/>
              <w:gridCol w:w="2149"/>
              <w:gridCol w:w="1563"/>
              <w:gridCol w:w="201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05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551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工序名称</w:t>
                  </w:r>
                </w:p>
              </w:tc>
              <w:tc>
                <w:tcPr>
                  <w:tcW w:w="2149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/>
                      <w:bCs/>
                      <w:kern w:val="2"/>
                      <w:sz w:val="21"/>
                      <w:vertAlign w:val="baseline"/>
                      <w:lang w:val="en-US" w:eastAsia="zh-CN" w:bidi="ar-SA"/>
                    </w:rPr>
                    <w:t>关键特性</w:t>
                  </w: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要求</w:t>
                  </w:r>
                </w:p>
              </w:tc>
              <w:tc>
                <w:tcPr>
                  <w:tcW w:w="1563" w:type="dxa"/>
                </w:tcPr>
                <w:p>
                  <w:pPr>
                    <w:rPr>
                      <w:rFonts w:hint="default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实测结果</w:t>
                  </w:r>
                </w:p>
              </w:tc>
              <w:tc>
                <w:tcPr>
                  <w:tcW w:w="2012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验证结论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2019年9月15日</w:t>
                  </w:r>
                </w:p>
              </w:tc>
              <w:tc>
                <w:tcPr>
                  <w:tcW w:w="1551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灭火器瓶组置换</w:t>
                  </w:r>
                </w:p>
              </w:tc>
              <w:tc>
                <w:tcPr>
                  <w:tcW w:w="2149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含水量＜10ppm</w:t>
                  </w:r>
                </w:p>
              </w:tc>
              <w:tc>
                <w:tcPr>
                  <w:tcW w:w="1563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4ppm</w:t>
                  </w:r>
                </w:p>
              </w:tc>
              <w:tc>
                <w:tcPr>
                  <w:tcW w:w="2012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highlight w:val="cyan"/>
              </w:rPr>
            </w:pPr>
            <w:r>
              <w:rPr>
                <w:rFonts w:hint="eastAsia"/>
                <w:lang w:val="en-US" w:eastAsia="zh-CN"/>
              </w:rPr>
              <w:t>抽查《瓶组装配检验记录表》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70505" cy="3406140"/>
                  <wp:effectExtent l="0" t="0" r="10795" b="3810"/>
                  <wp:docPr id="2" name="图片 2" descr="48b368c86062cb3f1946c3a3501e7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8b368c86062cb3f1946c3a3501e7d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8446" b="3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70505" cy="3588385"/>
                  <wp:effectExtent l="0" t="0" r="10795" b="12065"/>
                  <wp:docPr id="3" name="图片 3" descr="386d01256db1a8bf39589279859e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86d01256db1a8bf39589279859e9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295" b="29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358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抽取成品</w:t>
            </w:r>
            <w:r>
              <w:rPr>
                <w:rFonts w:hint="eastAsia"/>
                <w:b/>
                <w:bCs/>
                <w:lang w:val="en-US" w:eastAsia="zh-CN"/>
              </w:rPr>
              <w:t>检验</w:t>
            </w:r>
            <w:r>
              <w:rPr>
                <w:rFonts w:hint="eastAsia"/>
                <w:lang w:val="en-US" w:eastAsia="zh-CN"/>
              </w:rPr>
              <w:t>相关记录名称：</w:t>
            </w:r>
            <w:r>
              <w:rPr>
                <w:rFonts w:hint="eastAsia"/>
                <w:u w:val="single"/>
                <w:lang w:val="en-US" w:eastAsia="zh-CN"/>
              </w:rPr>
              <w:t>《 成品检验记录  》</w:t>
            </w:r>
          </w:p>
          <w:p>
            <w:pPr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抽《柜式七氟丙烷气体灭火装置成品例行检验记录》</w:t>
            </w:r>
          </w:p>
          <w:p>
            <w:pPr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drawing>
                <wp:inline distT="0" distB="0" distL="114300" distR="114300">
                  <wp:extent cx="4147820" cy="3696970"/>
                  <wp:effectExtent l="0" t="0" r="5080" b="17780"/>
                  <wp:docPr id="5" name="图片 5" descr="34ef6a374e161983810376b947c5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4ef6a374e161983810376b947c5d7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7751" b="25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369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Cs w:val="22"/>
                <w:lang w:val="en-US" w:eastAsia="zh-CN"/>
              </w:rPr>
            </w:pPr>
          </w:p>
          <w:p>
            <w:pPr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drawing>
                <wp:inline distT="0" distB="0" distL="114300" distR="114300">
                  <wp:extent cx="4147820" cy="3698240"/>
                  <wp:effectExtent l="0" t="0" r="5080" b="16510"/>
                  <wp:docPr id="6" name="图片 6" descr="16994e8df2e71371e15684b77c80e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994e8df2e71371e15684b77c80e2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569" b="27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抽《七氟丙烷灭火设备成品例行检验记录表》</w:t>
            </w:r>
          </w:p>
          <w:p>
            <w:pPr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drawing>
                <wp:inline distT="0" distB="0" distL="114300" distR="114300">
                  <wp:extent cx="3719195" cy="4999355"/>
                  <wp:effectExtent l="0" t="0" r="14605" b="10795"/>
                  <wp:docPr id="7" name="图片 7" descr="c8fb0991b1fa462c8df17660f975e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8fb0991b1fa462c8df17660f975e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27" t="2997" r="6506" b="6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195" cy="499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Cs w:val="22"/>
                <w:lang w:val="en-US" w:eastAsia="zh-CN"/>
              </w:rPr>
            </w:pPr>
          </w:p>
          <w:p>
            <w:pPr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drawing>
                <wp:inline distT="0" distB="0" distL="114300" distR="114300">
                  <wp:extent cx="3441700" cy="4633595"/>
                  <wp:effectExtent l="0" t="0" r="6350" b="14605"/>
                  <wp:docPr id="9" name="图片 9" descr="e958bb585596323f49fd6481774d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958bb585596323f49fd6481774d29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307" t="6166" r="10716" b="10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463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查看需要确认的过程控制：</w:t>
            </w:r>
          </w:p>
          <w:p>
            <w:pPr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</w:t>
            </w:r>
            <w:r>
              <w:rPr>
                <w:rFonts w:hint="eastAsia"/>
                <w:b/>
                <w:bCs/>
                <w:lang w:val="en-US" w:eastAsia="zh-CN"/>
              </w:rPr>
              <w:t>过程确认</w:t>
            </w:r>
            <w:r>
              <w:rPr>
                <w:rFonts w:hint="eastAsia"/>
                <w:lang w:val="en-US" w:eastAsia="zh-CN"/>
              </w:rPr>
              <w:t>相关记录名称：</w:t>
            </w:r>
            <w:r>
              <w:rPr>
                <w:rFonts w:hint="eastAsia"/>
                <w:u w:val="single"/>
                <w:lang w:val="en-US" w:eastAsia="zh-CN"/>
              </w:rPr>
              <w:t>《特殊（关键）工序确认记录》</w:t>
            </w:r>
          </w:p>
          <w:tbl>
            <w:tblPr>
              <w:tblStyle w:val="6"/>
              <w:tblW w:w="7717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6"/>
              <w:gridCol w:w="4054"/>
              <w:gridCol w:w="221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确认日期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2019.9.1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确认过程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充气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人员确认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充气员：</w:t>
                  </w:r>
                  <w:r>
                    <w:rPr>
                      <w:rFonts w:hint="eastAsia"/>
                      <w:szCs w:val="22"/>
                      <w:lang w:val="en-US" w:eastAsia="zh-CN"/>
                    </w:rPr>
                    <w:t>杨建煌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  <w:t>设备确认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1"/>
                      <w:szCs w:val="21"/>
                    </w:rPr>
                    <w:t>七氟丙烷药剂充装台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等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原材料确认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工艺确认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作业指导书，设备操作规格书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环境确认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提供适宜生产车间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破坏性试验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---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确认结论</w:t>
                  </w:r>
                </w:p>
              </w:tc>
              <w:tc>
                <w:tcPr>
                  <w:tcW w:w="4054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符合要求</w:t>
                  </w:r>
                </w:p>
              </w:tc>
              <w:tc>
                <w:tcPr>
                  <w:tcW w:w="221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/>
                <w:highlight w:val="cyan"/>
                <w:lang w:val="en-US" w:eastAsia="zh-CN"/>
              </w:rPr>
            </w:pPr>
          </w:p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采取防范人为错误</w:t>
            </w:r>
            <w:r>
              <w:rPr>
                <w:rFonts w:hint="eastAsia"/>
                <w:highlight w:val="none"/>
                <w:lang w:val="en-US" w:eastAsia="zh-CN"/>
              </w:rPr>
              <w:t>的</w:t>
            </w:r>
            <w:r>
              <w:rPr>
                <w:rFonts w:hint="eastAsia"/>
                <w:highlight w:val="none"/>
              </w:rPr>
              <w:t>措施；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 xml:space="preserve">  后期依照《气体灭火设备关键工序质量检验规范》进行实验   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9259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查看关键岗位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rPr>
                <w:rFonts w:hint="eastAsia"/>
                <w:lang w:eastAsia="zh-CN"/>
              </w:rPr>
              <w:t>是否按操作要求进行操作。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color w:val="FF0000"/>
                <w:lang w:val="en-US" w:eastAsia="zh-CN"/>
              </w:rPr>
              <w:t>符合要求，现场张贴操作规程。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抽样询问</w:t>
            </w:r>
            <w:r>
              <w:rPr>
                <w:rFonts w:hint="eastAsia"/>
                <w:lang w:eastAsia="zh-CN"/>
              </w:rPr>
              <w:t>关键岗位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rPr>
                <w:rFonts w:hint="eastAsia"/>
                <w:lang w:eastAsia="zh-CN"/>
              </w:rPr>
              <w:t>是否</w:t>
            </w:r>
            <w:r>
              <w:rPr>
                <w:rFonts w:hint="eastAsia"/>
                <w:lang w:val="en-US" w:eastAsia="zh-CN"/>
              </w:rPr>
              <w:t>熟悉</w:t>
            </w:r>
            <w:r>
              <w:rPr>
                <w:rFonts w:hint="eastAsia"/>
                <w:lang w:eastAsia="zh-CN"/>
              </w:rPr>
              <w:t>按操作要求</w:t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/>
                <w:color w:val="FF0000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查看关键岗位</w:t>
            </w:r>
            <w:r>
              <w:rPr>
                <w:rFonts w:hint="eastAsia"/>
                <w:lang w:val="en-US" w:eastAsia="zh-CN"/>
              </w:rPr>
              <w:t>的控制参数</w:t>
            </w:r>
            <w:r>
              <w:rPr>
                <w:rFonts w:hint="eastAsia"/>
                <w:lang w:eastAsia="zh-CN"/>
              </w:rPr>
              <w:t>是否按操作要求进行操作。</w:t>
            </w:r>
            <w:r>
              <w:rPr>
                <w:rFonts w:hint="eastAsia"/>
                <w:color w:val="FF0000"/>
                <w:lang w:val="en-US" w:eastAsia="zh-CN"/>
              </w:rPr>
              <w:t>符合要求，现场张贴操作规程。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查看是否按要求实施了</w:t>
            </w:r>
            <w:r>
              <w:rPr>
                <w:rFonts w:hint="eastAsia"/>
                <w:lang w:val="en-US" w:eastAsia="zh-CN"/>
              </w:rPr>
              <w:t>产品</w:t>
            </w:r>
            <w:r>
              <w:rPr>
                <w:rFonts w:hint="eastAsia"/>
                <w:lang w:eastAsia="zh-CN"/>
              </w:rPr>
              <w:t>标识。</w:t>
            </w:r>
            <w:r>
              <w:rPr>
                <w:rFonts w:hint="eastAsia"/>
                <w:color w:val="FF0000"/>
                <w:lang w:val="en-US" w:eastAsia="zh-CN"/>
              </w:rPr>
              <w:t>符合要求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查看是否按要求实施了状态标识。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color w:val="FF0000"/>
                <w:lang w:val="en-US" w:eastAsia="zh-CN"/>
              </w:rPr>
              <w:t>符合要求</w:t>
            </w:r>
            <w:r>
              <w:rPr>
                <w:rFonts w:hint="eastAsia"/>
                <w:lang w:val="en-US" w:eastAsia="zh-CN"/>
              </w:rPr>
              <w:t xml:space="preserve">                  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查看是否使用了</w:t>
            </w:r>
            <w:r>
              <w:rPr>
                <w:rFonts w:hint="eastAsia"/>
                <w:lang w:val="en-US" w:eastAsia="zh-CN"/>
              </w:rPr>
              <w:t>经校准</w:t>
            </w:r>
            <w:r>
              <w:rPr>
                <w:rFonts w:hint="eastAsia"/>
                <w:lang w:eastAsia="zh-CN"/>
              </w:rPr>
              <w:t>的监视测量设备。</w:t>
            </w:r>
            <w:r>
              <w:rPr>
                <w:rFonts w:hint="eastAsia"/>
                <w:color w:val="FF0000"/>
                <w:lang w:val="en-US" w:eastAsia="zh-CN"/>
              </w:rPr>
              <w:t>符合要求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查看设备</w:t>
            </w:r>
            <w:r>
              <w:rPr>
                <w:rFonts w:hint="eastAsia"/>
                <w:lang w:val="en-US" w:eastAsia="zh-CN"/>
              </w:rPr>
              <w:t>的完好情况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color w:val="FF0000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</w:t>
            </w:r>
            <w:r>
              <w:rPr>
                <w:rFonts w:hint="eastAsia"/>
                <w:lang w:val="en-US" w:eastAsia="zh-CN"/>
              </w:rPr>
              <w:t>生产/服务环境情况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  <w:color w:val="FF0000"/>
                <w:lang w:val="en-US" w:eastAsia="zh-CN"/>
              </w:rPr>
              <w:t>符合要求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r>
              <w:rPr>
                <w:rFonts w:hint="eastAsia"/>
              </w:rPr>
              <w:t>标识和可追溯性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8.5.2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如：质量手册Q</w:t>
            </w:r>
            <w:r>
              <w:rPr>
                <w:rFonts w:hint="eastAsia"/>
              </w:rPr>
              <w:t>8.5.2</w:t>
            </w:r>
          </w:p>
        </w:tc>
        <w:tc>
          <w:tcPr>
            <w:tcW w:w="1585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产品的检验状态标识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eastAsia="zh-CN"/>
              </w:rPr>
              <w:t>待检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待下结论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eastAsia="zh-CN"/>
              </w:rPr>
              <w:t>合格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eastAsia="zh-CN"/>
              </w:rPr>
              <w:t>不合格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半成品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成品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在生产或服务场所对原材料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在生产或服务场所对半成品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在生产或服务场所对成品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 xml:space="preserve">标识情况：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在原材料库房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在半成品库房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在成品库房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 xml:space="preserve">标识情况：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  <w:r>
              <w:rPr>
                <w:rFonts w:hint="eastAsia"/>
                <w:color w:val="FF0000"/>
                <w:lang w:val="en-US" w:eastAsia="zh-CN"/>
              </w:rPr>
              <w:t>生产订单完成后，成品直接发走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防护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8.5.4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《经营服务控制程序》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</w:tc>
        <w:tc>
          <w:tcPr>
            <w:tcW w:w="1585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产品防护性要求：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防磕碰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防火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易碎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防倒置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防雨淋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防日晒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码放高度  </w:t>
            </w:r>
          </w:p>
          <w:p>
            <w:pPr>
              <w:ind w:firstLine="1680" w:firstLineChars="8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温度 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湿度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清洁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卫生  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保存期限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防护</w:t>
            </w:r>
            <w:r>
              <w:rPr>
                <w:rFonts w:hint="eastAsia"/>
                <w:lang w:val="en-US" w:eastAsia="zh-CN"/>
              </w:rPr>
              <w:t>方法</w:t>
            </w:r>
            <w:r>
              <w:rPr>
                <w:rFonts w:hint="eastAsia"/>
              </w:rPr>
              <w:t>可包括</w:t>
            </w:r>
            <w:r>
              <w:rPr>
                <w:rFonts w:hint="eastAsia"/>
                <w:lang w:eastAsia="zh-CN"/>
              </w:rPr>
              <w:t>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防护性标识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处置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污染控制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包装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储存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传输或运输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保护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96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抽查原材料名称：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</w:t>
            </w:r>
            <w:r>
              <w:rPr>
                <w:rFonts w:hint="eastAsia"/>
                <w:color w:val="FF0000"/>
                <w:u w:val="single"/>
                <w:lang w:val="en-US" w:eastAsia="zh-CN"/>
              </w:rPr>
              <w:t xml:space="preserve"> 七氟丙烷钢瓶 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防护措施 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半成品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抽查半成品名称：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/>
                <w:color w:val="FF0000"/>
                <w:u w:val="single"/>
                <w:lang w:val="en-US" w:eastAsia="zh-CN"/>
              </w:rPr>
              <w:t xml:space="preserve"> 七氟丙烷钢瓶 组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防护措施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成品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抽查成品名称：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</w:t>
            </w:r>
            <w:r>
              <w:rPr>
                <w:rFonts w:hint="eastAsia"/>
                <w:color w:val="FF0000"/>
                <w:u w:val="single"/>
                <w:lang w:val="en-US" w:eastAsia="zh-CN"/>
              </w:rPr>
              <w:t>七氟丙烷灭火装置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防护措施 </w:t>
            </w:r>
          </w:p>
        </w:tc>
        <w:tc>
          <w:tcPr>
            <w:tcW w:w="1585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</w:tcPr>
          <w:p>
            <w:r>
              <w:rPr>
                <w:rFonts w:hint="eastAsia"/>
              </w:rPr>
              <w:t>更改控制</w:t>
            </w:r>
          </w:p>
        </w:tc>
        <w:tc>
          <w:tcPr>
            <w:tcW w:w="96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 8.5.6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color w:val="auto"/>
                <w:lang w:val="en-US" w:eastAsia="zh-CN"/>
              </w:rPr>
              <w:t>质量手册Q</w:t>
            </w:r>
            <w:r>
              <w:rPr>
                <w:rFonts w:hint="eastAsia"/>
                <w:color w:val="auto"/>
              </w:rPr>
              <w:t xml:space="preserve"> 8.5.6</w:t>
            </w:r>
          </w:p>
        </w:tc>
        <w:tc>
          <w:tcPr>
            <w:tcW w:w="1585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2160" w:type="dxa"/>
            <w:vMerge w:val="continue"/>
          </w:tcPr>
          <w:p/>
        </w:tc>
        <w:tc>
          <w:tcPr>
            <w:tcW w:w="960" w:type="dxa"/>
            <w:vMerge w:val="continue"/>
          </w:tcPr>
          <w:p/>
        </w:tc>
        <w:tc>
          <w:tcPr>
            <w:tcW w:w="74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变更的原因：</w:t>
            </w:r>
            <w:r>
              <w:rPr>
                <w:rFonts w:hint="eastAsia"/>
                <w:b/>
                <w:bCs/>
                <w:lang w:val="en-US" w:eastAsia="zh-CN"/>
              </w:rPr>
              <w:t>无变更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外部因素：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法律法规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顾客或供方发起的变更；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内部因素：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设备失效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反复出现不合格品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</w:rPr>
              <w:t>技术改造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抽取变更控制相关记录名称：</w:t>
            </w:r>
            <w:r>
              <w:rPr>
                <w:rFonts w:hint="eastAsia"/>
                <w:u w:val="single"/>
                <w:lang w:val="en-US" w:eastAsia="zh-CN"/>
              </w:rPr>
              <w:t>《                      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726"/>
              <w:gridCol w:w="1661"/>
              <w:gridCol w:w="1671"/>
              <w:gridCol w:w="1172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72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变更的原因</w:t>
                  </w:r>
                </w:p>
              </w:tc>
              <w:tc>
                <w:tcPr>
                  <w:tcW w:w="1661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评审的结论</w:t>
                  </w:r>
                </w:p>
              </w:tc>
              <w:tc>
                <w:tcPr>
                  <w:tcW w:w="1671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实施前的验证或确认</w:t>
                  </w:r>
                  <w:r>
                    <w:rPr>
                      <w:rFonts w:hint="eastAsia"/>
                      <w:lang w:val="en-US" w:eastAsia="zh-CN"/>
                    </w:rPr>
                    <w:t>的结果</w:t>
                  </w:r>
                </w:p>
              </w:tc>
              <w:tc>
                <w:tcPr>
                  <w:tcW w:w="1172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批准</w:t>
                  </w:r>
                  <w:r>
                    <w:rPr>
                      <w:rFonts w:hint="eastAsia"/>
                      <w:lang w:val="en-US" w:eastAsia="zh-CN"/>
                    </w:rPr>
                    <w:t>或</w:t>
                  </w:r>
                </w:p>
                <w:p>
                  <w:pPr>
                    <w:rPr>
                      <w:rFonts w:hint="default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顾客授权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更新QMS要素的</w:t>
                  </w:r>
                  <w:r>
                    <w:rPr>
                      <w:rFonts w:hint="eastAsia"/>
                      <w:lang w:val="en-US" w:eastAsia="zh-CN"/>
                    </w:rPr>
                    <w:t>证据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2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61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71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72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72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6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7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72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上述变更评审、验证和确认的人员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restart"/>
            <w:vAlign w:val="top"/>
          </w:tcPr>
          <w:p>
            <w:r>
              <w:rPr>
                <w:rFonts w:hint="eastAsia"/>
              </w:rPr>
              <w:t>产品和服务放行</w:t>
            </w:r>
          </w:p>
        </w:tc>
        <w:tc>
          <w:tcPr>
            <w:tcW w:w="960" w:type="dxa"/>
            <w:vMerge w:val="restart"/>
            <w:vAlign w:val="top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color w:val="auto"/>
                <w:lang w:val="en-US" w:eastAsia="zh-CN"/>
              </w:rPr>
              <w:t>质量手册8.6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执行标准（接收准则）：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34"/>
              <w:gridCol w:w="1858"/>
              <w:gridCol w:w="3255"/>
              <w:gridCol w:w="259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334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放行类型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抽样要求</w:t>
                  </w:r>
                </w:p>
              </w:tc>
              <w:tc>
                <w:tcPr>
                  <w:tcW w:w="3255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执行标准或规范文件名称</w:t>
                  </w:r>
                </w:p>
              </w:tc>
              <w:tc>
                <w:tcPr>
                  <w:tcW w:w="2596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评价结论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3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原材料检验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随机抽样</w:t>
                  </w:r>
                </w:p>
              </w:tc>
              <w:tc>
                <w:tcPr>
                  <w:tcW w:w="3255" w:type="dxa"/>
                  <w:vAlign w:val="top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相关国标</w:t>
                  </w:r>
                </w:p>
              </w:tc>
              <w:tc>
                <w:tcPr>
                  <w:tcW w:w="2596" w:type="dxa"/>
                </w:tcPr>
                <w:p>
                  <w:pP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 xml:space="preserve">符合 </w:t>
                  </w: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不符合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半成品检验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随机抽样</w:t>
                  </w:r>
                </w:p>
              </w:tc>
              <w:tc>
                <w:tcPr>
                  <w:tcW w:w="3255" w:type="dxa"/>
                  <w:vAlign w:val="top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相关国标</w:t>
                  </w:r>
                </w:p>
              </w:tc>
              <w:tc>
                <w:tcPr>
                  <w:tcW w:w="259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 xml:space="preserve">符合 </w:t>
                  </w: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不符合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成品检验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随机抽样</w:t>
                  </w:r>
                </w:p>
              </w:tc>
              <w:tc>
                <w:tcPr>
                  <w:tcW w:w="3255" w:type="dxa"/>
                  <w:vAlign w:val="top"/>
                </w:tcPr>
                <w:p>
                  <w:pPr>
                    <w:rPr>
                      <w:rFonts w:hint="default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相关国标</w:t>
                  </w:r>
                </w:p>
              </w:tc>
              <w:tc>
                <w:tcPr>
                  <w:tcW w:w="259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 xml:space="preserve">符合 </w:t>
                  </w: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不符合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服务放行</w:t>
                  </w:r>
                </w:p>
              </w:tc>
              <w:tc>
                <w:tcPr>
                  <w:tcW w:w="1858" w:type="dxa"/>
                </w:tcPr>
                <w:p>
                  <w:pP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随机抽样</w:t>
                  </w:r>
                </w:p>
              </w:tc>
              <w:tc>
                <w:tcPr>
                  <w:tcW w:w="3255" w:type="dxa"/>
                  <w:vAlign w:val="top"/>
                </w:tcPr>
                <w:p>
                  <w:pP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参照技术协议或订单合同</w:t>
                  </w:r>
                </w:p>
              </w:tc>
              <w:tc>
                <w:tcPr>
                  <w:tcW w:w="259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 xml:space="preserve">符合 </w:t>
                  </w:r>
                  <w:r>
                    <w:rPr>
                      <w:rFonts w:hint="eastAsia"/>
                      <w:b w:val="0"/>
                      <w:bCs w:val="0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b w:val="0"/>
                      <w:bCs w:val="0"/>
                      <w:vertAlign w:val="baseline"/>
                      <w:lang w:val="en-US" w:eastAsia="zh-CN"/>
                    </w:rPr>
                    <w:t>不符合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放行包括：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原材料进厂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半成品转序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成品放行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vertAlign w:val="baseline"/>
                <w:lang w:val="en-US" w:eastAsia="zh-CN"/>
              </w:rPr>
              <w:t>服务放行</w:t>
            </w:r>
          </w:p>
          <w:p>
            <w:pPr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抽取原材料检验相关记录名称：</w:t>
            </w:r>
            <w:r>
              <w:rPr>
                <w:rFonts w:hint="eastAsia"/>
                <w:u w:val="single"/>
                <w:lang w:val="en-US" w:eastAsia="zh-CN"/>
              </w:rPr>
              <w:t>《原材料进场检验记录》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抽：《焊接气瓶进场检验记录表》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147820" cy="4442460"/>
                  <wp:effectExtent l="0" t="0" r="5080" b="15240"/>
                  <wp:docPr id="10" name="图片 10" descr="焊接气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焊接气瓶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732" b="15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444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147820" cy="4348480"/>
                  <wp:effectExtent l="0" t="0" r="5080" b="13970"/>
                  <wp:docPr id="11" name="图片 11" descr="焊接气瓶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焊接气瓶 (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6017" b="15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434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抽：《七氟丙烷灭火剂进场检验记录》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147820" cy="4776470"/>
                  <wp:effectExtent l="0" t="0" r="5080" b="5080"/>
                  <wp:docPr id="12" name="图片 12" descr="七氟丙烷灭火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七氟丙烷灭火剂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720" b="9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477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抽取半成品</w:t>
            </w:r>
            <w:r>
              <w:rPr>
                <w:rFonts w:hint="eastAsia"/>
                <w:b/>
                <w:bCs/>
                <w:lang w:val="en-US" w:eastAsia="zh-CN"/>
              </w:rPr>
              <w:t>检验</w:t>
            </w:r>
            <w:r>
              <w:rPr>
                <w:rFonts w:hint="eastAsia"/>
                <w:lang w:val="en-US" w:eastAsia="zh-CN"/>
              </w:rPr>
              <w:t>相关记录与成品</w:t>
            </w:r>
            <w:r>
              <w:rPr>
                <w:rFonts w:hint="eastAsia"/>
                <w:b/>
                <w:bCs/>
                <w:lang w:val="en-US" w:eastAsia="zh-CN"/>
              </w:rPr>
              <w:t>检验</w:t>
            </w:r>
            <w:r>
              <w:rPr>
                <w:rFonts w:hint="eastAsia"/>
                <w:lang w:val="en-US" w:eastAsia="zh-CN"/>
              </w:rPr>
              <w:t>相关记录：</w:t>
            </w:r>
            <w:r>
              <w:rPr>
                <w:rFonts w:hint="eastAsia"/>
                <w:u w:val="single"/>
                <w:lang w:val="en-US" w:eastAsia="zh-CN"/>
              </w:rPr>
              <w:t>详见Q8.1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上述成品/服务放行的人员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成品/服务放行的人员对相关知识的理解和能力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由于成品/服务放行的监视设备满足要求且完好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由于成品/服务放行的测量设备满足要求且完好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1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不合格输出的控制</w:t>
            </w:r>
          </w:p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>不符合与纠正措施</w:t>
            </w:r>
          </w:p>
        </w:tc>
        <w:tc>
          <w:tcPr>
            <w:tcW w:w="960" w:type="dxa"/>
            <w:vMerge w:val="restart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8.7 </w:t>
            </w:r>
          </w:p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>Q10.2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>《不合格品控制程序》，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>《纠正措施和预防措施控制程序》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抽取不合格品处置相关记录名称：</w:t>
            </w:r>
            <w:r>
              <w:rPr>
                <w:rFonts w:hint="eastAsia"/>
                <w:u w:val="single"/>
                <w:lang w:val="en-US" w:eastAsia="zh-CN"/>
              </w:rPr>
              <w:t>《  不合格品控制记录  》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58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名称/批次</w:t>
                  </w:r>
                </w:p>
              </w:tc>
              <w:tc>
                <w:tcPr>
                  <w:tcW w:w="220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纠正之后应验证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2</w:t>
                  </w:r>
                  <w:r>
                    <w:rPr>
                      <w:lang w:eastAsia="zh-CN"/>
                    </w:rPr>
                    <w:t>020.4.</w:t>
                  </w:r>
                  <w:r>
                    <w:rPr>
                      <w:rFonts w:hint="eastAsia"/>
                      <w:lang w:val="en-US" w:eastAsia="zh-CN"/>
                    </w:rPr>
                    <w:t>16</w:t>
                  </w:r>
                </w:p>
              </w:tc>
              <w:tc>
                <w:tcPr>
                  <w:tcW w:w="158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消防柜包装纸箱</w:t>
                  </w:r>
                </w:p>
              </w:tc>
              <w:tc>
                <w:tcPr>
                  <w:tcW w:w="220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包装纸箱有破损</w:t>
                  </w:r>
                </w:p>
              </w:tc>
              <w:tc>
                <w:tcPr>
                  <w:tcW w:w="2445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加强过程检查，防止此类事情发生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lang w:eastAsia="zh-CN"/>
                    </w:rPr>
                    <w:t>2</w:t>
                  </w:r>
                  <w:r>
                    <w:rPr>
                      <w:lang w:eastAsia="zh-CN"/>
                    </w:rPr>
                    <w:t>020.4.</w:t>
                  </w:r>
                  <w:r>
                    <w:rPr>
                      <w:rFonts w:hint="eastAsia"/>
                      <w:lang w:eastAsia="zh-CN"/>
                    </w:rPr>
                    <w:t>2</w:t>
                  </w:r>
                  <w:r>
                    <w:rPr>
                      <w:rFonts w:hint="eastAsia"/>
                      <w:lang w:val="en-US" w:eastAsia="zh-CN"/>
                    </w:rPr>
                    <w:t>7</w:t>
                  </w:r>
                </w:p>
              </w:tc>
              <w:tc>
                <w:tcPr>
                  <w:tcW w:w="158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灭火器</w:t>
                  </w:r>
                </w:p>
              </w:tc>
              <w:tc>
                <w:tcPr>
                  <w:tcW w:w="2205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阀门罐体接口处漏压</w:t>
                  </w:r>
                </w:p>
              </w:tc>
              <w:tc>
                <w:tcPr>
                  <w:tcW w:w="2445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☑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返工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返修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降等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报废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加强过程检查，防止此类事情发生</w:t>
                  </w:r>
                </w:p>
              </w:tc>
            </w:tr>
          </w:tbl>
          <w:p/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上述不合格处置的人员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160" w:type="dxa"/>
            <w:vMerge w:val="continue"/>
            <w:vAlign w:val="top"/>
          </w:tcPr>
          <w:p/>
        </w:tc>
        <w:tc>
          <w:tcPr>
            <w:tcW w:w="960" w:type="dxa"/>
            <w:vMerge w:val="continue"/>
            <w:vAlign w:val="top"/>
          </w:tcPr>
          <w:p/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现场检查对不合格原材料的存放和标识情况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现场检查对不合格半成品的存放和标识情况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现场检查对不合格成品的存放和标识情况   </w:t>
            </w:r>
            <w:bookmarkStart w:id="2" w:name="_GoBack"/>
            <w:bookmarkEnd w:id="2"/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 xml:space="preserve">符合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不符合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160" w:type="dxa"/>
            <w:vAlign w:val="top"/>
          </w:tcPr>
          <w:p>
            <w:r>
              <w:rPr>
                <w:rFonts w:hint="eastAsia"/>
                <w:lang w:val="en-US" w:eastAsia="zh-CN"/>
              </w:rPr>
              <w:t>分析与评价</w:t>
            </w:r>
          </w:p>
        </w:tc>
        <w:tc>
          <w:tcPr>
            <w:tcW w:w="960" w:type="dxa"/>
            <w:vAlign w:val="top"/>
          </w:tcPr>
          <w:p>
            <w:r>
              <w:rPr>
                <w:rFonts w:hint="eastAsia"/>
                <w:lang w:val="en-US" w:eastAsia="zh-CN"/>
              </w:rPr>
              <w:t>Q9.1.3</w:t>
            </w: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管理手册10.3章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160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960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4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9259" w:type="dxa"/>
            <w:vAlign w:val="top"/>
          </w:tcPr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对获得的数据和信息进行监视和测量</w:t>
            </w:r>
          </w:p>
          <w:tbl>
            <w:tblPr>
              <w:tblStyle w:val="6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25"/>
              <w:gridCol w:w="2651"/>
              <w:gridCol w:w="1811"/>
              <w:gridCol w:w="1342"/>
              <w:gridCol w:w="131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分析和评价的对象</w:t>
                  </w:r>
                </w:p>
              </w:tc>
              <w:tc>
                <w:tcPr>
                  <w:tcW w:w="2651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分析和评价的方法</w:t>
                  </w:r>
                </w:p>
              </w:tc>
              <w:tc>
                <w:tcPr>
                  <w:tcW w:w="181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分析和评价的频次和时机</w:t>
                  </w:r>
                </w:p>
              </w:tc>
              <w:tc>
                <w:tcPr>
                  <w:tcW w:w="1342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使用的统计技术</w:t>
                  </w:r>
                </w:p>
              </w:tc>
              <w:tc>
                <w:tcPr>
                  <w:tcW w:w="1314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分析的结果用于改进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产品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和服务的符合性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对产品合格率进行统计分析，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鱼刺图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顾客满意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程度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对顾客满意率进行统计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鱼刺图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质量管理体系的绩效和有效性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对内审不符合项进行分析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鱼刺图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策划是否得到有效实施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对质量目标完成/Cpk进行统计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SPC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eastAsia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针对风险和机遇所采取措施的有效性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对质量目标完成进行统计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eastAsia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外部供方的绩效</w:t>
                  </w:r>
                </w:p>
              </w:tc>
              <w:tc>
                <w:tcPr>
                  <w:tcW w:w="2651" w:type="dxa"/>
                  <w:shd w:val="clear" w:color="auto" w:fill="auto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对外部供方的供货质量和服务质量进行统计分析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SPC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25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质量管理体系改进的需求</w:t>
                  </w:r>
                </w:p>
              </w:tc>
              <w:tc>
                <w:tcPr>
                  <w:tcW w:w="2651" w:type="dxa"/>
                  <w:shd w:val="clear" w:color="auto" w:fill="auto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对QMS存在的需要问题进行分析</w:t>
                  </w:r>
                </w:p>
              </w:tc>
              <w:tc>
                <w:tcPr>
                  <w:tcW w:w="1811" w:type="dxa"/>
                  <w:shd w:val="clear" w:color="auto" w:fill="auto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每月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 xml:space="preserve">每季度 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1342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柱状图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饼状图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SPC</w:t>
                  </w:r>
                </w:p>
              </w:tc>
              <w:tc>
                <w:tcPr>
                  <w:tcW w:w="1314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0" w:type="auto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0" w:type="auto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00000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已用于</w:t>
                  </w:r>
                </w:p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未用于</w:t>
                  </w:r>
                </w:p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highlight w:val="none"/>
                    </w:rPr>
                    <w:t>□</w:t>
                  </w:r>
                </w:p>
              </w:tc>
            </w:tr>
          </w:tbl>
          <w:p>
            <w:pPr>
              <w:rPr>
                <w:rFonts w:hint="eastAsia"/>
                <w:highlight w:val="cyan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</w:tcPr>
          <w:p/>
        </w:tc>
      </w:tr>
    </w:tbl>
    <w:p/>
    <w:p/>
    <w:p>
      <w:pPr>
        <w:pStyle w:val="3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</w:t>
                </w:r>
                <w:r>
                  <w:rPr>
                    <w:sz w:val="18"/>
                    <w:szCs w:val="18"/>
                  </w:rPr>
                  <w:t>0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48201E"/>
    <w:rsid w:val="00536930"/>
    <w:rsid w:val="00564E53"/>
    <w:rsid w:val="005D5659"/>
    <w:rsid w:val="00600C20"/>
    <w:rsid w:val="00644FE2"/>
    <w:rsid w:val="0067640C"/>
    <w:rsid w:val="006E678B"/>
    <w:rsid w:val="006E7B1D"/>
    <w:rsid w:val="007757F3"/>
    <w:rsid w:val="007C1B48"/>
    <w:rsid w:val="007E3B15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1260C71"/>
    <w:rsid w:val="016D18E6"/>
    <w:rsid w:val="01E27364"/>
    <w:rsid w:val="02C75A20"/>
    <w:rsid w:val="032F5195"/>
    <w:rsid w:val="03A0688A"/>
    <w:rsid w:val="03A32F8E"/>
    <w:rsid w:val="03AC3D8E"/>
    <w:rsid w:val="03CE483E"/>
    <w:rsid w:val="03CF54E8"/>
    <w:rsid w:val="0405614C"/>
    <w:rsid w:val="04883DB3"/>
    <w:rsid w:val="04981EC9"/>
    <w:rsid w:val="050D3D1E"/>
    <w:rsid w:val="056577F0"/>
    <w:rsid w:val="05705C5F"/>
    <w:rsid w:val="057753FF"/>
    <w:rsid w:val="05A05014"/>
    <w:rsid w:val="05F6270F"/>
    <w:rsid w:val="0605101B"/>
    <w:rsid w:val="061B4460"/>
    <w:rsid w:val="067B702D"/>
    <w:rsid w:val="06994A8D"/>
    <w:rsid w:val="06AA7E97"/>
    <w:rsid w:val="06ED612A"/>
    <w:rsid w:val="07243AF7"/>
    <w:rsid w:val="08767210"/>
    <w:rsid w:val="08851DD7"/>
    <w:rsid w:val="08C22483"/>
    <w:rsid w:val="08ED1EE8"/>
    <w:rsid w:val="09005957"/>
    <w:rsid w:val="096333C5"/>
    <w:rsid w:val="09933EF9"/>
    <w:rsid w:val="09AA0CA5"/>
    <w:rsid w:val="09FA6045"/>
    <w:rsid w:val="0A0F142E"/>
    <w:rsid w:val="0A1C56C1"/>
    <w:rsid w:val="0A904067"/>
    <w:rsid w:val="0ACA6ED2"/>
    <w:rsid w:val="0AEF4D8D"/>
    <w:rsid w:val="0BE64DFF"/>
    <w:rsid w:val="0C5423F7"/>
    <w:rsid w:val="0C8009B8"/>
    <w:rsid w:val="0CC102DA"/>
    <w:rsid w:val="0D181113"/>
    <w:rsid w:val="0D1E4D9B"/>
    <w:rsid w:val="0D4D1326"/>
    <w:rsid w:val="0D6A2C36"/>
    <w:rsid w:val="0DB35CC0"/>
    <w:rsid w:val="0E49595F"/>
    <w:rsid w:val="0EB8524B"/>
    <w:rsid w:val="0F86648B"/>
    <w:rsid w:val="0F9C35C1"/>
    <w:rsid w:val="0FFA42BF"/>
    <w:rsid w:val="100B6D7F"/>
    <w:rsid w:val="100D075A"/>
    <w:rsid w:val="106A3497"/>
    <w:rsid w:val="106E69D4"/>
    <w:rsid w:val="108219C2"/>
    <w:rsid w:val="10991918"/>
    <w:rsid w:val="10A120FB"/>
    <w:rsid w:val="10AB5B5F"/>
    <w:rsid w:val="10C112A0"/>
    <w:rsid w:val="10C11C69"/>
    <w:rsid w:val="10DD2E35"/>
    <w:rsid w:val="11536201"/>
    <w:rsid w:val="115D3DB9"/>
    <w:rsid w:val="11BD2BE2"/>
    <w:rsid w:val="11BE2038"/>
    <w:rsid w:val="11DC0AC4"/>
    <w:rsid w:val="11E2439D"/>
    <w:rsid w:val="12563B2D"/>
    <w:rsid w:val="12A2571D"/>
    <w:rsid w:val="12A42EA7"/>
    <w:rsid w:val="12A506D3"/>
    <w:rsid w:val="13296CDD"/>
    <w:rsid w:val="134E7573"/>
    <w:rsid w:val="13890C2B"/>
    <w:rsid w:val="13A420AC"/>
    <w:rsid w:val="13C11723"/>
    <w:rsid w:val="13EB79B2"/>
    <w:rsid w:val="143E6DD0"/>
    <w:rsid w:val="145B46D3"/>
    <w:rsid w:val="14C400FD"/>
    <w:rsid w:val="14F1297E"/>
    <w:rsid w:val="14F26225"/>
    <w:rsid w:val="15023387"/>
    <w:rsid w:val="15051B66"/>
    <w:rsid w:val="151414F9"/>
    <w:rsid w:val="154C7AB0"/>
    <w:rsid w:val="155F4281"/>
    <w:rsid w:val="15BC540D"/>
    <w:rsid w:val="16016748"/>
    <w:rsid w:val="16210B83"/>
    <w:rsid w:val="16583F2B"/>
    <w:rsid w:val="169D3E09"/>
    <w:rsid w:val="16AB3CAD"/>
    <w:rsid w:val="16E341B9"/>
    <w:rsid w:val="16F10A78"/>
    <w:rsid w:val="17226BDD"/>
    <w:rsid w:val="17446813"/>
    <w:rsid w:val="177551EA"/>
    <w:rsid w:val="179B1D36"/>
    <w:rsid w:val="17C079EC"/>
    <w:rsid w:val="17F76BA3"/>
    <w:rsid w:val="182A66F0"/>
    <w:rsid w:val="186A6524"/>
    <w:rsid w:val="186F767B"/>
    <w:rsid w:val="187F0353"/>
    <w:rsid w:val="188852B3"/>
    <w:rsid w:val="18E725C6"/>
    <w:rsid w:val="18FB3FC3"/>
    <w:rsid w:val="19444428"/>
    <w:rsid w:val="19553BF7"/>
    <w:rsid w:val="197008AF"/>
    <w:rsid w:val="19746F33"/>
    <w:rsid w:val="197E61C1"/>
    <w:rsid w:val="199565C0"/>
    <w:rsid w:val="19D74BC7"/>
    <w:rsid w:val="19FD49DB"/>
    <w:rsid w:val="1A041A8F"/>
    <w:rsid w:val="1A546A4C"/>
    <w:rsid w:val="1A6C3FF9"/>
    <w:rsid w:val="1AAF33A8"/>
    <w:rsid w:val="1AB42370"/>
    <w:rsid w:val="1ACF1254"/>
    <w:rsid w:val="1AED5B63"/>
    <w:rsid w:val="1B1545B4"/>
    <w:rsid w:val="1B462375"/>
    <w:rsid w:val="1B5E3B97"/>
    <w:rsid w:val="1C392A3A"/>
    <w:rsid w:val="1C9B23E6"/>
    <w:rsid w:val="1CB1322F"/>
    <w:rsid w:val="1D076892"/>
    <w:rsid w:val="1D4D4A00"/>
    <w:rsid w:val="1DC4038A"/>
    <w:rsid w:val="1DF36090"/>
    <w:rsid w:val="1DFE25B1"/>
    <w:rsid w:val="1E511FFA"/>
    <w:rsid w:val="1E752FA2"/>
    <w:rsid w:val="1EB91518"/>
    <w:rsid w:val="1EF77273"/>
    <w:rsid w:val="1F1B65D5"/>
    <w:rsid w:val="1F35289F"/>
    <w:rsid w:val="1F4E73A5"/>
    <w:rsid w:val="1F8E0A45"/>
    <w:rsid w:val="1FAB395F"/>
    <w:rsid w:val="1FB8538A"/>
    <w:rsid w:val="1FF16224"/>
    <w:rsid w:val="201572E0"/>
    <w:rsid w:val="20272451"/>
    <w:rsid w:val="203255D2"/>
    <w:rsid w:val="20403C64"/>
    <w:rsid w:val="205905F2"/>
    <w:rsid w:val="205B3801"/>
    <w:rsid w:val="207644C2"/>
    <w:rsid w:val="20A856C1"/>
    <w:rsid w:val="21A07B88"/>
    <w:rsid w:val="21D24208"/>
    <w:rsid w:val="226B2F60"/>
    <w:rsid w:val="22813299"/>
    <w:rsid w:val="2338611D"/>
    <w:rsid w:val="23461CA8"/>
    <w:rsid w:val="238A1BAA"/>
    <w:rsid w:val="23900E62"/>
    <w:rsid w:val="23BF3886"/>
    <w:rsid w:val="241A6B34"/>
    <w:rsid w:val="24285E2F"/>
    <w:rsid w:val="242A7B69"/>
    <w:rsid w:val="247622DE"/>
    <w:rsid w:val="2480482A"/>
    <w:rsid w:val="24A05D8E"/>
    <w:rsid w:val="24FC7C66"/>
    <w:rsid w:val="2519537A"/>
    <w:rsid w:val="258041F6"/>
    <w:rsid w:val="258609CC"/>
    <w:rsid w:val="261B55F8"/>
    <w:rsid w:val="261D5675"/>
    <w:rsid w:val="269C7CAD"/>
    <w:rsid w:val="271B4DE1"/>
    <w:rsid w:val="272228DE"/>
    <w:rsid w:val="27443F4D"/>
    <w:rsid w:val="274B78E8"/>
    <w:rsid w:val="27602485"/>
    <w:rsid w:val="27CF15FE"/>
    <w:rsid w:val="27D42EE9"/>
    <w:rsid w:val="27E10A81"/>
    <w:rsid w:val="27FE6486"/>
    <w:rsid w:val="280B3F2E"/>
    <w:rsid w:val="28341F0D"/>
    <w:rsid w:val="2892323E"/>
    <w:rsid w:val="289361DE"/>
    <w:rsid w:val="291C5E47"/>
    <w:rsid w:val="296D2D47"/>
    <w:rsid w:val="29CB46C2"/>
    <w:rsid w:val="29F77BA5"/>
    <w:rsid w:val="2A3A6E77"/>
    <w:rsid w:val="2A400F7C"/>
    <w:rsid w:val="2A83770A"/>
    <w:rsid w:val="2A85024C"/>
    <w:rsid w:val="2B0D2F04"/>
    <w:rsid w:val="2B1D2572"/>
    <w:rsid w:val="2B206A2D"/>
    <w:rsid w:val="2B4C1179"/>
    <w:rsid w:val="2BD60481"/>
    <w:rsid w:val="2BEA3FA7"/>
    <w:rsid w:val="2C2E44D4"/>
    <w:rsid w:val="2C7B6C71"/>
    <w:rsid w:val="2CF203D5"/>
    <w:rsid w:val="2D357F0D"/>
    <w:rsid w:val="2D4E604F"/>
    <w:rsid w:val="2D5C2AB0"/>
    <w:rsid w:val="2D7A20E6"/>
    <w:rsid w:val="2DC57805"/>
    <w:rsid w:val="2DDF08DF"/>
    <w:rsid w:val="2DFF79D8"/>
    <w:rsid w:val="2E367C56"/>
    <w:rsid w:val="2E440885"/>
    <w:rsid w:val="2EEE512C"/>
    <w:rsid w:val="2F511B05"/>
    <w:rsid w:val="2F7C571D"/>
    <w:rsid w:val="2FA86B66"/>
    <w:rsid w:val="2FE823A5"/>
    <w:rsid w:val="2FEA1C57"/>
    <w:rsid w:val="300172B8"/>
    <w:rsid w:val="30945277"/>
    <w:rsid w:val="30C71DD4"/>
    <w:rsid w:val="30DC7CB1"/>
    <w:rsid w:val="30ED30CC"/>
    <w:rsid w:val="31064141"/>
    <w:rsid w:val="31640BD7"/>
    <w:rsid w:val="31B477DB"/>
    <w:rsid w:val="31B67BE2"/>
    <w:rsid w:val="31CA71DD"/>
    <w:rsid w:val="324E5138"/>
    <w:rsid w:val="325A6C71"/>
    <w:rsid w:val="331E21CE"/>
    <w:rsid w:val="33562A0D"/>
    <w:rsid w:val="33715F28"/>
    <w:rsid w:val="33F07155"/>
    <w:rsid w:val="340C6245"/>
    <w:rsid w:val="343C4522"/>
    <w:rsid w:val="34634CF5"/>
    <w:rsid w:val="347A0336"/>
    <w:rsid w:val="34956214"/>
    <w:rsid w:val="34F92D63"/>
    <w:rsid w:val="35527F1F"/>
    <w:rsid w:val="357914C0"/>
    <w:rsid w:val="35D721CD"/>
    <w:rsid w:val="36174333"/>
    <w:rsid w:val="364A3F09"/>
    <w:rsid w:val="367A501B"/>
    <w:rsid w:val="372D3763"/>
    <w:rsid w:val="37A3423F"/>
    <w:rsid w:val="37A66325"/>
    <w:rsid w:val="37AF435B"/>
    <w:rsid w:val="37B82B0E"/>
    <w:rsid w:val="37D8509F"/>
    <w:rsid w:val="380178E9"/>
    <w:rsid w:val="38363F4B"/>
    <w:rsid w:val="386866FF"/>
    <w:rsid w:val="38803663"/>
    <w:rsid w:val="389A539F"/>
    <w:rsid w:val="38B37216"/>
    <w:rsid w:val="38BD5C7F"/>
    <w:rsid w:val="38C5580C"/>
    <w:rsid w:val="38EC325F"/>
    <w:rsid w:val="39286E54"/>
    <w:rsid w:val="399117DD"/>
    <w:rsid w:val="39972637"/>
    <w:rsid w:val="39D7104B"/>
    <w:rsid w:val="3A3E0D9F"/>
    <w:rsid w:val="3A5573DE"/>
    <w:rsid w:val="3AAB1306"/>
    <w:rsid w:val="3ABD0173"/>
    <w:rsid w:val="3ACE23E2"/>
    <w:rsid w:val="3B227AA7"/>
    <w:rsid w:val="3B4241C0"/>
    <w:rsid w:val="3B5F0280"/>
    <w:rsid w:val="3BEE1D6F"/>
    <w:rsid w:val="3BF1473C"/>
    <w:rsid w:val="3CA475E5"/>
    <w:rsid w:val="3CA717F2"/>
    <w:rsid w:val="3CC56579"/>
    <w:rsid w:val="3DAB460B"/>
    <w:rsid w:val="3DDA7DB2"/>
    <w:rsid w:val="3E342793"/>
    <w:rsid w:val="3E3C5235"/>
    <w:rsid w:val="3EA34B57"/>
    <w:rsid w:val="3EEF1E6E"/>
    <w:rsid w:val="3F654598"/>
    <w:rsid w:val="40571F31"/>
    <w:rsid w:val="40760623"/>
    <w:rsid w:val="408B7234"/>
    <w:rsid w:val="40E27AF7"/>
    <w:rsid w:val="40F80D82"/>
    <w:rsid w:val="41342A6B"/>
    <w:rsid w:val="414C7183"/>
    <w:rsid w:val="418D501C"/>
    <w:rsid w:val="41E9167B"/>
    <w:rsid w:val="42416B50"/>
    <w:rsid w:val="4262379E"/>
    <w:rsid w:val="427A1188"/>
    <w:rsid w:val="43135B74"/>
    <w:rsid w:val="432A5E11"/>
    <w:rsid w:val="433B1167"/>
    <w:rsid w:val="435F500F"/>
    <w:rsid w:val="43C730CD"/>
    <w:rsid w:val="44A567F5"/>
    <w:rsid w:val="453B1EBC"/>
    <w:rsid w:val="45635AEC"/>
    <w:rsid w:val="45BA54FA"/>
    <w:rsid w:val="45EC74A5"/>
    <w:rsid w:val="45FA6B69"/>
    <w:rsid w:val="460414DD"/>
    <w:rsid w:val="46332B60"/>
    <w:rsid w:val="4654705C"/>
    <w:rsid w:val="468D2C1F"/>
    <w:rsid w:val="468D3CA5"/>
    <w:rsid w:val="46CA5AFC"/>
    <w:rsid w:val="46EA7997"/>
    <w:rsid w:val="470243E7"/>
    <w:rsid w:val="471F1498"/>
    <w:rsid w:val="47271944"/>
    <w:rsid w:val="475C4BFE"/>
    <w:rsid w:val="47BB044C"/>
    <w:rsid w:val="48262DE5"/>
    <w:rsid w:val="489D51EC"/>
    <w:rsid w:val="49C0281D"/>
    <w:rsid w:val="49E449BF"/>
    <w:rsid w:val="49EC77B8"/>
    <w:rsid w:val="49ED5B1C"/>
    <w:rsid w:val="4AD45EF1"/>
    <w:rsid w:val="4AE04A18"/>
    <w:rsid w:val="4B337454"/>
    <w:rsid w:val="4B407CC6"/>
    <w:rsid w:val="4B42232B"/>
    <w:rsid w:val="4B825A76"/>
    <w:rsid w:val="4B8B3702"/>
    <w:rsid w:val="4B9B0D7E"/>
    <w:rsid w:val="4BC83B65"/>
    <w:rsid w:val="4CA74E41"/>
    <w:rsid w:val="4CA91B51"/>
    <w:rsid w:val="4CB62537"/>
    <w:rsid w:val="4CD2365B"/>
    <w:rsid w:val="4D352804"/>
    <w:rsid w:val="4D791805"/>
    <w:rsid w:val="4D8F2F88"/>
    <w:rsid w:val="4DB86BCB"/>
    <w:rsid w:val="4DD85058"/>
    <w:rsid w:val="4E0166A9"/>
    <w:rsid w:val="4E1551DB"/>
    <w:rsid w:val="4E7774D0"/>
    <w:rsid w:val="4F594843"/>
    <w:rsid w:val="503C3BCC"/>
    <w:rsid w:val="505C4971"/>
    <w:rsid w:val="50C41CF1"/>
    <w:rsid w:val="51217DA6"/>
    <w:rsid w:val="51294703"/>
    <w:rsid w:val="51425A27"/>
    <w:rsid w:val="5158757E"/>
    <w:rsid w:val="521A5D1E"/>
    <w:rsid w:val="523624DE"/>
    <w:rsid w:val="52A23F56"/>
    <w:rsid w:val="52BA5471"/>
    <w:rsid w:val="52D871F4"/>
    <w:rsid w:val="52F263D6"/>
    <w:rsid w:val="53024EB7"/>
    <w:rsid w:val="53261795"/>
    <w:rsid w:val="534A6A4A"/>
    <w:rsid w:val="53953BE7"/>
    <w:rsid w:val="53F51637"/>
    <w:rsid w:val="54124FEF"/>
    <w:rsid w:val="541C4B67"/>
    <w:rsid w:val="552A2893"/>
    <w:rsid w:val="556B045B"/>
    <w:rsid w:val="557D4E77"/>
    <w:rsid w:val="55C375DD"/>
    <w:rsid w:val="56156439"/>
    <w:rsid w:val="56643532"/>
    <w:rsid w:val="568B5A7B"/>
    <w:rsid w:val="570A6E63"/>
    <w:rsid w:val="573B0118"/>
    <w:rsid w:val="573D2268"/>
    <w:rsid w:val="57411925"/>
    <w:rsid w:val="57441E32"/>
    <w:rsid w:val="57535542"/>
    <w:rsid w:val="575B3098"/>
    <w:rsid w:val="57F55B90"/>
    <w:rsid w:val="580F191D"/>
    <w:rsid w:val="58276F84"/>
    <w:rsid w:val="58584813"/>
    <w:rsid w:val="58B728A2"/>
    <w:rsid w:val="58B868EB"/>
    <w:rsid w:val="590D059A"/>
    <w:rsid w:val="592802C2"/>
    <w:rsid w:val="5978735A"/>
    <w:rsid w:val="59E42114"/>
    <w:rsid w:val="59E710C8"/>
    <w:rsid w:val="5A1C59A1"/>
    <w:rsid w:val="5A407674"/>
    <w:rsid w:val="5A432974"/>
    <w:rsid w:val="5A6A20C5"/>
    <w:rsid w:val="5AD64AF2"/>
    <w:rsid w:val="5B544EB3"/>
    <w:rsid w:val="5B6A33DD"/>
    <w:rsid w:val="5BF04FFA"/>
    <w:rsid w:val="5C4D2649"/>
    <w:rsid w:val="5C8D6CFF"/>
    <w:rsid w:val="5C966EB6"/>
    <w:rsid w:val="5CB9068F"/>
    <w:rsid w:val="5D013462"/>
    <w:rsid w:val="5D3351AF"/>
    <w:rsid w:val="5D604E0E"/>
    <w:rsid w:val="5D656BAA"/>
    <w:rsid w:val="5D6672E4"/>
    <w:rsid w:val="5D6B7BC6"/>
    <w:rsid w:val="5D6C21B2"/>
    <w:rsid w:val="5DBF6011"/>
    <w:rsid w:val="5DC13CCC"/>
    <w:rsid w:val="5DC35118"/>
    <w:rsid w:val="5DC55564"/>
    <w:rsid w:val="5DDA5570"/>
    <w:rsid w:val="5DE86882"/>
    <w:rsid w:val="5E0D6E91"/>
    <w:rsid w:val="5E264AF8"/>
    <w:rsid w:val="5E3B413F"/>
    <w:rsid w:val="5E971B73"/>
    <w:rsid w:val="5EA12B9A"/>
    <w:rsid w:val="5EB61B43"/>
    <w:rsid w:val="5EBA7075"/>
    <w:rsid w:val="5EBF5DC8"/>
    <w:rsid w:val="5F02275D"/>
    <w:rsid w:val="5F14059B"/>
    <w:rsid w:val="5F291E1B"/>
    <w:rsid w:val="5F551AC0"/>
    <w:rsid w:val="5F616E2A"/>
    <w:rsid w:val="5FE015B4"/>
    <w:rsid w:val="6018182B"/>
    <w:rsid w:val="601E0F43"/>
    <w:rsid w:val="60596F8D"/>
    <w:rsid w:val="608075E1"/>
    <w:rsid w:val="61326FB1"/>
    <w:rsid w:val="61384C31"/>
    <w:rsid w:val="61E77A7E"/>
    <w:rsid w:val="622A4138"/>
    <w:rsid w:val="62385483"/>
    <w:rsid w:val="62385A6C"/>
    <w:rsid w:val="62876D77"/>
    <w:rsid w:val="62CA4AF4"/>
    <w:rsid w:val="62E4371E"/>
    <w:rsid w:val="632045D1"/>
    <w:rsid w:val="6342544F"/>
    <w:rsid w:val="63452F65"/>
    <w:rsid w:val="63720424"/>
    <w:rsid w:val="63A31ABC"/>
    <w:rsid w:val="63C65078"/>
    <w:rsid w:val="63EA156F"/>
    <w:rsid w:val="63EA6D88"/>
    <w:rsid w:val="64621F9C"/>
    <w:rsid w:val="64A537DD"/>
    <w:rsid w:val="64B96E85"/>
    <w:rsid w:val="64BB6795"/>
    <w:rsid w:val="64D069A0"/>
    <w:rsid w:val="64E67E4B"/>
    <w:rsid w:val="64F27E75"/>
    <w:rsid w:val="65067C78"/>
    <w:rsid w:val="65662197"/>
    <w:rsid w:val="658C79F9"/>
    <w:rsid w:val="65A33DF6"/>
    <w:rsid w:val="65BE04E1"/>
    <w:rsid w:val="65F429F0"/>
    <w:rsid w:val="665A6FDB"/>
    <w:rsid w:val="66B368AE"/>
    <w:rsid w:val="66B532F3"/>
    <w:rsid w:val="66C2760F"/>
    <w:rsid w:val="675A3B6C"/>
    <w:rsid w:val="67AF7DB6"/>
    <w:rsid w:val="680564C6"/>
    <w:rsid w:val="681B3F7A"/>
    <w:rsid w:val="68233428"/>
    <w:rsid w:val="68B54AF7"/>
    <w:rsid w:val="68CA009F"/>
    <w:rsid w:val="695B5920"/>
    <w:rsid w:val="69B35A0D"/>
    <w:rsid w:val="69CC607C"/>
    <w:rsid w:val="69EA1163"/>
    <w:rsid w:val="69F96768"/>
    <w:rsid w:val="6A287F98"/>
    <w:rsid w:val="6AB40496"/>
    <w:rsid w:val="6ABD1D5E"/>
    <w:rsid w:val="6ACD348D"/>
    <w:rsid w:val="6AF33939"/>
    <w:rsid w:val="6B795D62"/>
    <w:rsid w:val="6BC747F5"/>
    <w:rsid w:val="6BD35CE4"/>
    <w:rsid w:val="6C3014BE"/>
    <w:rsid w:val="6C5D414F"/>
    <w:rsid w:val="6CA324B4"/>
    <w:rsid w:val="6CDE17FD"/>
    <w:rsid w:val="6D1D2C91"/>
    <w:rsid w:val="6D232D3C"/>
    <w:rsid w:val="6D2F5D1E"/>
    <w:rsid w:val="6D792112"/>
    <w:rsid w:val="6E641038"/>
    <w:rsid w:val="6EBD0EA6"/>
    <w:rsid w:val="6F435405"/>
    <w:rsid w:val="6F4810D8"/>
    <w:rsid w:val="6F6D2BAA"/>
    <w:rsid w:val="6F9A4A47"/>
    <w:rsid w:val="701710D0"/>
    <w:rsid w:val="70795456"/>
    <w:rsid w:val="709946EC"/>
    <w:rsid w:val="72702455"/>
    <w:rsid w:val="728F2E47"/>
    <w:rsid w:val="72973011"/>
    <w:rsid w:val="72E42D1B"/>
    <w:rsid w:val="734F0911"/>
    <w:rsid w:val="736054C4"/>
    <w:rsid w:val="736C572D"/>
    <w:rsid w:val="73A422EB"/>
    <w:rsid w:val="74103E55"/>
    <w:rsid w:val="745B622A"/>
    <w:rsid w:val="753E2D2E"/>
    <w:rsid w:val="75DB13A5"/>
    <w:rsid w:val="75E552E3"/>
    <w:rsid w:val="7648538B"/>
    <w:rsid w:val="76577132"/>
    <w:rsid w:val="76BD747C"/>
    <w:rsid w:val="76C5449B"/>
    <w:rsid w:val="76CD52EB"/>
    <w:rsid w:val="76FE004A"/>
    <w:rsid w:val="77462C4C"/>
    <w:rsid w:val="77A268F6"/>
    <w:rsid w:val="77CC3658"/>
    <w:rsid w:val="780F54C3"/>
    <w:rsid w:val="782C6CF7"/>
    <w:rsid w:val="78680ECD"/>
    <w:rsid w:val="7880670B"/>
    <w:rsid w:val="78EE7F5B"/>
    <w:rsid w:val="78F11CE1"/>
    <w:rsid w:val="78F66955"/>
    <w:rsid w:val="79053EDA"/>
    <w:rsid w:val="79097264"/>
    <w:rsid w:val="791D3993"/>
    <w:rsid w:val="79202162"/>
    <w:rsid w:val="7924138B"/>
    <w:rsid w:val="79826449"/>
    <w:rsid w:val="79D339B9"/>
    <w:rsid w:val="7A200C95"/>
    <w:rsid w:val="7A594332"/>
    <w:rsid w:val="7A8564DB"/>
    <w:rsid w:val="7AC22B97"/>
    <w:rsid w:val="7B1F77A4"/>
    <w:rsid w:val="7B292799"/>
    <w:rsid w:val="7C090682"/>
    <w:rsid w:val="7C6A6CA8"/>
    <w:rsid w:val="7CF04E00"/>
    <w:rsid w:val="7D41026F"/>
    <w:rsid w:val="7D59343F"/>
    <w:rsid w:val="7E0A78B3"/>
    <w:rsid w:val="7E2912F3"/>
    <w:rsid w:val="7F9026D0"/>
    <w:rsid w:val="7F984417"/>
    <w:rsid w:val="7FDB73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2">
    <w:name w:val="No Spacing"/>
    <w:qFormat/>
    <w:uiPriority w:val="0"/>
    <w:pPr>
      <w:widowControl w:val="0"/>
      <w:adjustRightInd w:val="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2</TotalTime>
  <ScaleCrop>false</ScaleCrop>
  <LinksUpToDate>false</LinksUpToDate>
  <CharactersWithSpaces>147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张磊</cp:lastModifiedBy>
  <dcterms:modified xsi:type="dcterms:W3CDTF">2020-12-17T08:12:28Z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