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0617-2019-QEO-2020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泉州惠安鑫盛隆石业有限公司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Quanzhou hui 'an xin sheng long stone industry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泉州市惠安县涂寨镇曾厝工业区</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362100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(英文)：Quanzhou city huian county tu zhai town zengcuo industrial zone zip code: 362100</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组织经营地址(中文)：泉州市惠安县东桥镇屿头山村屿头959号邮编</w:t>
      </w:r>
      <w:r>
        <w:rPr>
          <w:rFonts w:hint="eastAsia" w:ascii="宋体" w:hAnsi="宋体"/>
          <w:b/>
          <w:color w:val="000000" w:themeColor="text1"/>
          <w:sz w:val="22"/>
          <w:szCs w:val="22"/>
        </w:rPr>
        <w:t>:</w:t>
      </w:r>
      <w:bookmarkStart w:id="5" w:name="办公邮编"/>
      <w:r>
        <w:rPr>
          <w:b/>
          <w:color w:val="000000" w:themeColor="text1"/>
          <w:sz w:val="22"/>
          <w:szCs w:val="22"/>
          <w:u w:val="single"/>
        </w:rPr>
        <w:t>362100</w:t>
      </w:r>
      <w:bookmarkEnd w:id="5"/>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(英文)：No.959, Yutou Village, Yutou Village, Dongqiao Town, Hui 'an County, Quanzhou City</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(中文)：泉州市惠安县东桥镇屿头山村屿头959号邮编</w:t>
      </w:r>
      <w:r>
        <w:rPr>
          <w:rFonts w:hint="eastAsia" w:ascii="宋体" w:hAnsi="宋体"/>
          <w:b/>
          <w:color w:val="000000" w:themeColor="text1"/>
          <w:sz w:val="22"/>
          <w:szCs w:val="22"/>
        </w:rPr>
        <w:t>:</w:t>
      </w:r>
      <w:r>
        <w:rPr>
          <w:b/>
          <w:color w:val="000000" w:themeColor="text1"/>
          <w:sz w:val="22"/>
          <w:szCs w:val="22"/>
          <w:u w:val="single"/>
        </w:rPr>
        <w:t>362100</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(英文)：No.959, Yutou Village, Yutou Village, Dongqiao Town, Hui 'an County, Quanzhou City</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91350521081644050T</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0595-27687668</w:t>
      </w:r>
      <w:bookmarkEnd w:id="8"/>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9" w:name="管理者代表"/>
      <w:r>
        <w:rPr>
          <w:rFonts w:hint="eastAsia"/>
          <w:b/>
          <w:color w:val="000000" w:themeColor="text1"/>
          <w:sz w:val="22"/>
          <w:szCs w:val="22"/>
        </w:rPr>
        <w:t>林森泉</w:t>
      </w:r>
      <w:bookmarkEnd w:id="9"/>
      <w:r>
        <w:rPr>
          <w:rFonts w:hint="eastAsia"/>
          <w:b/>
          <w:color w:val="000000" w:themeColor="text1"/>
          <w:sz w:val="22"/>
          <w:szCs w:val="22"/>
        </w:rPr>
        <w:t>组织人数：</w:t>
      </w:r>
      <w:bookmarkStart w:id="10" w:name="体系人数"/>
      <w:r>
        <w:rPr>
          <w:b/>
          <w:color w:val="000000" w:themeColor="text1"/>
          <w:sz w:val="22"/>
          <w:szCs w:val="22"/>
          <w:u w:val="single"/>
        </w:rPr>
        <w:t>Q:15,E:15,O:15</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2" w:name="QJ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3" w:name="E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24001-2016 idt ISO 14001:2015标准；</w:t>
      </w:r>
      <w:bookmarkStart w:id="16" w:name="_GoBack"/>
      <w:bookmarkEnd w:id="16"/>
    </w:p>
    <w:p>
      <w:pPr>
        <w:pStyle w:val="2"/>
        <w:spacing w:line="240" w:lineRule="auto"/>
        <w:ind w:firstLine="1078" w:firstLineChars="488"/>
        <w:rPr>
          <w:rFonts w:ascii="宋体" w:hAnsi="宋体"/>
          <w:b/>
          <w:color w:val="000000" w:themeColor="text1"/>
          <w:sz w:val="22"/>
          <w:szCs w:val="22"/>
          <w:u w:val="single"/>
        </w:rPr>
      </w:pPr>
      <w:bookmarkStart w:id="14" w:name="S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w:t>
      </w:r>
      <w:r>
        <w:rPr>
          <w:rFonts w:hint="eastAsia" w:ascii="宋体" w:hAnsi="宋体"/>
          <w:b/>
          <w:color w:val="000000" w:themeColor="text1"/>
          <w:sz w:val="22"/>
          <w:szCs w:val="22"/>
          <w:u w:val="single"/>
          <w:lang w:val="en-US" w:eastAsia="zh-CN"/>
        </w:rPr>
        <w:t>ISO</w:t>
      </w:r>
      <w:r>
        <w:rPr>
          <w:rFonts w:hint="eastAsia" w:ascii="宋体" w:hAnsi="宋体"/>
          <w:b/>
          <w:color w:val="000000" w:themeColor="text1"/>
          <w:sz w:val="22"/>
          <w:szCs w:val="22"/>
          <w:u w:val="single"/>
        </w:rPr>
        <w:t xml:space="preserve">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18</w:t>
      </w:r>
      <w:r>
        <w:rPr>
          <w:rFonts w:hint="eastAsia" w:ascii="宋体" w:hAnsi="宋体"/>
          <w:b/>
          <w:color w:val="000000" w:themeColor="text1"/>
          <w:sz w:val="22"/>
          <w:szCs w:val="22"/>
          <w:u w:val="single"/>
        </w:rPr>
        <w:t>标准；</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Q:监查1,E:监查1,O:监查1</w:t>
      </w:r>
      <w:bookmarkEnd w:id="15"/>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rPr>
        <w:sym w:font="Wingdings 2" w:char="0052"/>
      </w:r>
      <w:r>
        <w:rPr>
          <w:rFonts w:hint="eastAsia"/>
          <w:b/>
          <w:color w:val="000000" w:themeColor="text1"/>
          <w:sz w:val="22"/>
          <w:szCs w:val="22"/>
        </w:rPr>
        <w:t>地址变更□认证范围变更（□扩大□缩小）</w:t>
      </w:r>
    </w:p>
    <w:p>
      <w:pPr>
        <w:spacing w:line="0" w:lineRule="atLeast"/>
        <w:jc w:val="left"/>
        <w:rPr>
          <w:rFonts w:ascii="Arial" w:hAnsi="Arial" w:cs="Arial"/>
          <w:bCs/>
          <w:sz w:val="21"/>
          <w:szCs w:val="21"/>
        </w:rPr>
      </w:pPr>
      <w:r>
        <w:rPr>
          <w:rFonts w:hint="eastAsia" w:ascii="宋体" w:hAnsi="宋体"/>
          <w:color w:val="000000"/>
          <w:szCs w:val="24"/>
        </w:rPr>
        <w:t>☑</w:t>
      </w:r>
      <w:r>
        <w:rPr>
          <w:rFonts w:hint="eastAsia"/>
          <w:b/>
          <w:color w:val="000000" w:themeColor="text1"/>
          <w:sz w:val="22"/>
          <w:szCs w:val="22"/>
        </w:rPr>
        <w:t>QMS覆盖范围（中文）：</w:t>
      </w:r>
      <w:r>
        <w:rPr>
          <w:rFonts w:hint="eastAsia" w:ascii="Times New Roman" w:hAnsi="Times New Roman" w:eastAsia="宋体" w:cs="Times New Roman"/>
          <w:color w:val="000000"/>
          <w:kern w:val="2"/>
          <w:sz w:val="21"/>
          <w:szCs w:val="21"/>
          <w:lang w:val="en-US" w:eastAsia="zh-CN" w:bidi="ar-SA"/>
        </w:rPr>
        <w:t>石材制品、石雕工艺品、墓碑的销售（法规强制要求范围除外）。</w:t>
      </w:r>
    </w:p>
    <w:p>
      <w:pPr>
        <w:pStyle w:val="2"/>
        <w:spacing w:line="240" w:lineRule="auto"/>
        <w:ind w:firstLine="0"/>
        <w:rPr>
          <w:sz w:val="28"/>
          <w:szCs w:val="28"/>
        </w:rPr>
      </w:pPr>
      <w:r>
        <w:rPr>
          <w:rFonts w:hint="eastAsia" w:ascii="宋体" w:hAnsi="宋体"/>
          <w:color w:val="000000"/>
          <w:sz w:val="24"/>
          <w:szCs w:val="24"/>
          <w:lang w:eastAsia="zh-CN"/>
        </w:rPr>
        <w:sym w:font="Wingdings 2" w:char="0052"/>
      </w:r>
      <w:r>
        <w:rPr>
          <w:rFonts w:hint="eastAsia"/>
          <w:b/>
          <w:color w:val="000000" w:themeColor="text1"/>
          <w:sz w:val="22"/>
          <w:szCs w:val="22"/>
        </w:rPr>
        <w:t>QMS（英文）：Sales of stone products, stone carving crafts and tombstones (except the scope required by laws and regulations)</w:t>
      </w:r>
    </w:p>
    <w:p>
      <w:pPr>
        <w:pStyle w:val="2"/>
        <w:spacing w:line="240" w:lineRule="auto"/>
        <w:ind w:firstLine="0"/>
        <w:rPr>
          <w:rFonts w:hint="eastAsia"/>
          <w:b/>
          <w:color w:val="000000" w:themeColor="text1"/>
          <w:sz w:val="22"/>
          <w:szCs w:val="22"/>
          <w:lang w:val="en-US" w:eastAsia="zh-CN"/>
        </w:rPr>
      </w:pPr>
      <w:r>
        <w:rPr>
          <w:rFonts w:hint="eastAsia"/>
          <w:b/>
          <w:color w:val="000000" w:themeColor="text1"/>
          <w:sz w:val="22"/>
          <w:szCs w:val="22"/>
        </w:rPr>
        <w:t>☑EMS覆盖范围（中文）：</w:t>
      </w:r>
      <w:r>
        <w:rPr>
          <w:rFonts w:hint="eastAsia" w:ascii="Times New Roman" w:hAnsi="Times New Roman" w:eastAsia="宋体" w:cs="Times New Roman"/>
          <w:color w:val="000000"/>
          <w:kern w:val="2"/>
          <w:sz w:val="21"/>
          <w:szCs w:val="21"/>
          <w:lang w:val="en-US" w:eastAsia="zh-CN" w:bidi="ar-SA"/>
        </w:rPr>
        <w:t>石材制品、石雕工艺品、墓碑的销售（法规强制要求范围除外）及相关环境管</w:t>
      </w:r>
      <w:r>
        <w:rPr>
          <w:rFonts w:hint="eastAsia"/>
          <w:b/>
          <w:color w:val="000000" w:themeColor="text1"/>
          <w:sz w:val="22"/>
          <w:szCs w:val="22"/>
          <w:lang w:val="en-US" w:eastAsia="zh-CN"/>
        </w:rPr>
        <w:t>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sym w:font="Wingdings 2" w:char="0052"/>
      </w:r>
      <w:r>
        <w:rPr>
          <w:rFonts w:hint="eastAsia"/>
          <w:b/>
          <w:color w:val="000000" w:themeColor="text1"/>
          <w:sz w:val="22"/>
          <w:szCs w:val="22"/>
        </w:rPr>
        <w:t>EMS（英文）：Sales of stone products, stone carvings, tombstones (except those required by regulations) and related environmental management activities.</w:t>
      </w:r>
    </w:p>
    <w:p>
      <w:pPr>
        <w:pStyle w:val="2"/>
        <w:spacing w:line="240" w:lineRule="auto"/>
        <w:ind w:firstLine="0"/>
        <w:rPr>
          <w:rFonts w:hint="eastAsia"/>
          <w:b/>
          <w:color w:val="000000" w:themeColor="text1"/>
          <w:sz w:val="22"/>
          <w:szCs w:val="22"/>
        </w:rPr>
      </w:pPr>
      <w:r>
        <w:rPr>
          <w:rFonts w:hint="eastAsia"/>
          <w:b/>
          <w:color w:val="000000" w:themeColor="text1"/>
          <w:sz w:val="22"/>
          <w:szCs w:val="22"/>
        </w:rPr>
        <w:t>☑OHSMS覆盖范围（中文）：</w:t>
      </w:r>
      <w:r>
        <w:rPr>
          <w:rFonts w:hint="eastAsia" w:ascii="Times New Roman" w:hAnsi="Times New Roman" w:eastAsia="宋体" w:cs="Times New Roman"/>
          <w:color w:val="000000"/>
          <w:kern w:val="2"/>
          <w:sz w:val="21"/>
          <w:szCs w:val="21"/>
          <w:lang w:val="en-US" w:eastAsia="zh-CN" w:bidi="ar-SA"/>
        </w:rPr>
        <w:t>石材制品、石雕工艺品、墓碑的销售（法规强制要求范围除外）及相关职业健康安全管理活动。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sym w:font="Wingdings 2" w:char="0052"/>
      </w:r>
      <w:r>
        <w:rPr>
          <w:rFonts w:hint="eastAsia"/>
          <w:b/>
          <w:color w:val="000000" w:themeColor="text1"/>
          <w:sz w:val="22"/>
          <w:szCs w:val="22"/>
        </w:rPr>
        <w:t>OHSMS（英文）：Sales of stone products, stone carvings, tombstones (except those required by laws and regulations) and related occupational health and safety management activities.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E06F5B"/>
    <w:rsid w:val="2B89642F"/>
    <w:rsid w:val="549878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4</TotalTime>
  <ScaleCrop>false</ScaleCrop>
  <LinksUpToDate>false</LinksUpToDate>
  <CharactersWithSpaces>816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弓长</cp:lastModifiedBy>
  <dcterms:modified xsi:type="dcterms:W3CDTF">2020-12-24T01:32:25Z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