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ascii="楷体" w:hAnsi="楷体" w:eastAsia="楷体"/>
          <w:b/>
          <w:color w:val="000000" w:themeColor="text1"/>
          <w:sz w:val="28"/>
          <w:szCs w:val="28"/>
        </w:rPr>
      </w:pPr>
      <w:r>
        <w:rPr>
          <w:rFonts w:hint="eastAsia" w:ascii="楷体" w:hAnsi="楷体" w:eastAsia="楷体"/>
          <w:color w:val="000000"/>
          <w:sz w:val="28"/>
          <w:szCs w:val="28"/>
        </w:rPr>
        <w:t>合同编号：</w:t>
      </w:r>
      <w:bookmarkStart w:id="0" w:name="合同编号"/>
      <w:r>
        <w:rPr>
          <w:rFonts w:hint="eastAsia" w:ascii="Times New Roman" w:hAnsi="Times New Roman" w:eastAsia="楷体" w:cs="Times New Roman"/>
          <w:b w:val="0"/>
          <w:bCs w:val="0"/>
          <w:color w:val="000000"/>
          <w:sz w:val="21"/>
          <w:szCs w:val="21"/>
        </w:rPr>
        <w:t>01</w:t>
      </w:r>
      <w:r>
        <w:rPr>
          <w:rFonts w:hint="eastAsia" w:eastAsia="楷体" w:cs="Times New Roman"/>
          <w:b w:val="0"/>
          <w:bCs w:val="0"/>
          <w:color w:val="000000"/>
          <w:sz w:val="21"/>
          <w:szCs w:val="21"/>
          <w:lang w:val="en-US" w:eastAsia="zh-CN"/>
        </w:rPr>
        <w:t>85</w:t>
      </w:r>
      <w:r>
        <w:rPr>
          <w:rFonts w:hint="eastAsia" w:ascii="Times New Roman" w:hAnsi="Times New Roman" w:eastAsia="楷体" w:cs="Times New Roman"/>
          <w:b w:val="0"/>
          <w:bCs w:val="0"/>
          <w:color w:val="000000"/>
          <w:sz w:val="21"/>
          <w:szCs w:val="21"/>
        </w:rPr>
        <w:t>-2020-E</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themeColor="text1"/>
          <w:sz w:val="32"/>
          <w:szCs w:val="32"/>
          <w:u w:val="single"/>
          <w:lang w:eastAsia="zh-CN"/>
        </w:rPr>
        <w:t>河北亿申路桥防护工程有限公司</w:t>
      </w: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rFonts w:hint="default" w:eastAsia="宋体"/>
                <w:color w:val="000000" w:themeColor="text1"/>
                <w:sz w:val="20"/>
                <w:szCs w:val="20"/>
                <w:lang w:val="en-US" w:eastAsia="zh-CN"/>
              </w:rPr>
            </w:pPr>
            <w:r>
              <w:rPr>
                <w:rFonts w:hint="eastAsia"/>
                <w:color w:val="000000" w:themeColor="text1"/>
                <w:sz w:val="20"/>
                <w:szCs w:val="20"/>
              </w:rPr>
              <w:t>010-5351 62</w:t>
            </w:r>
            <w:r>
              <w:rPr>
                <w:rFonts w:hint="eastAsia"/>
                <w:color w:val="000000" w:themeColor="text1"/>
                <w:sz w:val="20"/>
                <w:szCs w:val="20"/>
                <w:lang w:val="en-US" w:eastAsia="zh-CN"/>
              </w:rPr>
              <w:t>58</w:t>
            </w:r>
          </w:p>
        </w:tc>
        <w:tc>
          <w:tcPr>
            <w:tcW w:w="1150"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2"/>
            <w:vAlign w:val="center"/>
          </w:tcPr>
          <w:p>
            <w:pPr>
              <w:spacing w:line="240" w:lineRule="exact"/>
              <w:jc w:val="center"/>
              <w:rPr>
                <w:b/>
                <w:color w:val="000000" w:themeColor="text1"/>
                <w:sz w:val="20"/>
                <w:szCs w:val="20"/>
              </w:rPr>
            </w:pPr>
            <w:r>
              <w:rPr>
                <w:rFonts w:hint="eastAsia"/>
                <w:b/>
                <w:color w:val="000000"/>
                <w:sz w:val="20"/>
                <w:szCs w:val="20"/>
              </w:rPr>
              <w:t>2020-N1EMS-3022240</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17.12.03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rFonts w:hint="eastAsia" w:eastAsia="宋体"/>
                <w:b/>
                <w:color w:val="000000" w:themeColor="text1"/>
                <w:sz w:val="20"/>
                <w:szCs w:val="20"/>
                <w:lang w:val="en-US" w:eastAsia="zh-CN"/>
              </w:rPr>
            </w:pPr>
          </w:p>
        </w:tc>
        <w:tc>
          <w:tcPr>
            <w:tcW w:w="992" w:type="dxa"/>
            <w:vAlign w:val="center"/>
          </w:tcPr>
          <w:p>
            <w:pPr>
              <w:spacing w:line="240" w:lineRule="exact"/>
              <w:jc w:val="center"/>
              <w:rPr>
                <w:rFonts w:hint="eastAsia" w:eastAsia="宋体"/>
                <w:b/>
                <w:color w:val="000000" w:themeColor="text1"/>
                <w:sz w:val="20"/>
                <w:szCs w:val="20"/>
                <w:lang w:val="en-US" w:eastAsia="zh-CN"/>
              </w:rPr>
            </w:pPr>
          </w:p>
        </w:tc>
        <w:tc>
          <w:tcPr>
            <w:tcW w:w="1216" w:type="dxa"/>
            <w:vAlign w:val="center"/>
          </w:tcPr>
          <w:p>
            <w:pPr>
              <w:spacing w:line="240" w:lineRule="exact"/>
              <w:jc w:val="center"/>
              <w:rPr>
                <w:rFonts w:hint="eastAsia" w:eastAsia="宋体"/>
                <w:b/>
                <w:color w:val="000000" w:themeColor="text1"/>
                <w:sz w:val="20"/>
                <w:szCs w:val="20"/>
                <w:lang w:val="en-US" w:eastAsia="zh-CN"/>
              </w:rPr>
            </w:pPr>
          </w:p>
        </w:tc>
        <w:tc>
          <w:tcPr>
            <w:tcW w:w="3478" w:type="dxa"/>
            <w:gridSpan w:val="2"/>
            <w:vAlign w:val="center"/>
          </w:tcPr>
          <w:p>
            <w:pPr>
              <w:spacing w:line="240" w:lineRule="exact"/>
              <w:jc w:val="center"/>
              <w:rPr>
                <w:rFonts w:hint="default" w:eastAsia="宋体"/>
                <w:b/>
                <w:color w:val="000000"/>
                <w:sz w:val="20"/>
                <w:szCs w:val="20"/>
                <w:lang w:val="en-US" w:eastAsia="zh-CN"/>
              </w:rPr>
            </w:pPr>
          </w:p>
        </w:tc>
        <w:tc>
          <w:tcPr>
            <w:tcW w:w="2333" w:type="dxa"/>
            <w:gridSpan w:val="2"/>
            <w:vAlign w:val="center"/>
          </w:tcPr>
          <w:p>
            <w:pPr>
              <w:spacing w:line="240" w:lineRule="exact"/>
              <w:jc w:val="center"/>
              <w:rPr>
                <w:rFonts w:hint="eastAsia"/>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2"/>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rFonts w:hint="eastAsia" w:eastAsia="宋体"/>
                <w:b/>
                <w:color w:val="000000" w:themeColor="text1"/>
                <w:lang w:eastAsia="zh-CN"/>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hint="eastAsia" w:ascii="宋体" w:hAnsi="宋体" w:eastAsia="宋体"/>
                <w:b/>
                <w:color w:val="000000" w:themeColor="text1"/>
                <w:sz w:val="20"/>
                <w:szCs w:val="20"/>
                <w:lang w:val="en-US" w:eastAsia="zh-CN"/>
              </w:rPr>
            </w:pPr>
            <w:r>
              <w:rPr>
                <w:rFonts w:hint="eastAsia" w:ascii="宋体" w:cs="宋体" w:hAnsiTheme="minorHAnsi"/>
                <w:color w:val="000000" w:themeColor="text1"/>
                <w:kern w:val="0"/>
                <w:sz w:val="20"/>
                <w:szCs w:val="20"/>
              </w:rPr>
              <w:t>第二阶段审核：</w:t>
            </w:r>
            <w:r>
              <w:rPr>
                <w:rFonts w:hint="eastAsia" w:ascii="宋体" w:cs="宋体" w:hAnsiTheme="minorHAnsi"/>
                <w:color w:val="000000" w:themeColor="text1"/>
                <w:kern w:val="0"/>
                <w:sz w:val="20"/>
                <w:szCs w:val="20"/>
                <w:lang w:val="en-US" w:eastAsia="zh-CN"/>
              </w:rPr>
              <w:t>补充</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hAnsi="宋体" w:cs="Times New Roman"/>
                <w:b/>
                <w:bCs/>
                <w:sz w:val="20"/>
                <w:szCs w:val="22"/>
                <w:lang w:val="en-US" w:eastAsia="zh-CN"/>
              </w:rPr>
              <w:t>对远程初审的现场补充验证，</w:t>
            </w:r>
            <w:r>
              <w:rPr>
                <w:rFonts w:hint="eastAsia" w:ascii="宋体" w:hAnsi="宋体"/>
                <w:b/>
                <w:bCs/>
                <w:sz w:val="20"/>
              </w:rPr>
              <w:t>验证组织管理体系是否持续有效运行，以确定是否推荐保持认证注册资格</w:t>
            </w:r>
            <w:r>
              <w:rPr>
                <w:rFonts w:hint="eastAsia" w:ascii="宋体" w:hAnsi="Calibri" w:cs="宋体"/>
                <w:color w:val="000000"/>
                <w:kern w:val="0"/>
                <w:sz w:val="20"/>
                <w:szCs w:val="20"/>
              </w:rPr>
              <w:t>。</w:t>
            </w:r>
            <w:r>
              <w:rPr>
                <w:rFonts w:hint="eastAsia" w:ascii="宋体" w:cs="宋体" w:hAnsiTheme="minorHAnsi"/>
                <w:color w:val="000000" w:themeColor="text1"/>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b/>
          <w:color w:val="000000"/>
          <w:sz w:val="20"/>
          <w:szCs w:val="20"/>
          <w:lang w:val="de-DE"/>
        </w:rPr>
      </w:pPr>
      <w:r>
        <w:rPr>
          <w:rFonts w:hint="eastAsia" w:ascii="宋体" w:hAnsi="宋体"/>
          <w:b/>
          <w:color w:val="000000" w:themeColor="text1"/>
          <w:sz w:val="26"/>
          <w:szCs w:val="26"/>
        </w:rPr>
        <w:t>审核准则</w:t>
      </w:r>
    </w:p>
    <w:p>
      <w:pPr>
        <w:spacing w:line="300" w:lineRule="auto"/>
        <w:rPr>
          <w:rFonts w:ascii="宋体"/>
          <w:b/>
          <w:color w:val="000000"/>
          <w:sz w:val="20"/>
          <w:szCs w:val="20"/>
          <w:lang w:val="de-DE"/>
        </w:rPr>
      </w:pP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pStyle w:val="11"/>
        <w:numPr>
          <w:ilvl w:val="0"/>
          <w:numId w:val="1"/>
        </w:numPr>
        <w:ind w:left="-142" w:hanging="709" w:firstLineChars="0"/>
        <w:rPr>
          <w:rFonts w:ascii="宋体" w:hAnsi="宋体"/>
          <w:b/>
          <w:color w:val="000000" w:themeColor="text1"/>
          <w:spacing w:val="-10"/>
          <w:sz w:val="20"/>
          <w:szCs w:val="20"/>
        </w:rPr>
      </w:pPr>
      <w:r>
        <w:rPr>
          <w:rFonts w:hint="eastAsia" w:ascii="宋体" w:hAnsi="宋体" w:cs="Times New Roman"/>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757"/>
        <w:gridCol w:w="943"/>
        <w:gridCol w:w="704"/>
        <w:gridCol w:w="378"/>
        <w:gridCol w:w="1010"/>
        <w:gridCol w:w="311"/>
        <w:gridCol w:w="507"/>
        <w:gridCol w:w="96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792"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河北亿申路桥防护工程有限公司</w:t>
            </w:r>
          </w:p>
        </w:tc>
        <w:tc>
          <w:tcPr>
            <w:tcW w:w="1781"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1384"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注册地址</w:t>
            </w:r>
          </w:p>
        </w:tc>
        <w:tc>
          <w:tcPr>
            <w:tcW w:w="47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rFonts w:hint="eastAsia" w:cs="Times New Roman"/>
                <w:b/>
                <w:color w:val="auto"/>
                <w:sz w:val="20"/>
                <w:szCs w:val="20"/>
                <w:lang w:eastAsia="zh-CN"/>
              </w:rPr>
              <w:t>安平县经济开发区经四路28号4幢</w:t>
            </w:r>
          </w:p>
        </w:tc>
        <w:tc>
          <w:tcPr>
            <w:tcW w:w="818" w:type="dxa"/>
            <w:gridSpan w:val="2"/>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themeColor="text1"/>
                <w:sz w:val="20"/>
                <w:szCs w:val="20"/>
              </w:rPr>
            </w:pP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rFonts w:hint="eastAsia" w:ascii="宋体" w:hAnsi="宋体"/>
                <w:sz w:val="20"/>
                <w:szCs w:val="20"/>
                <w:lang w:val="en-US" w:eastAsia="zh-CN"/>
              </w:rPr>
              <w:t>053600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经营地址</w:t>
            </w:r>
          </w:p>
        </w:tc>
        <w:tc>
          <w:tcPr>
            <w:tcW w:w="47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rFonts w:hint="eastAsia" w:cs="Times New Roman"/>
                <w:b/>
                <w:color w:val="auto"/>
                <w:sz w:val="20"/>
                <w:szCs w:val="20"/>
                <w:lang w:eastAsia="zh-CN"/>
              </w:rPr>
              <w:t>安平县经济开发区经四路28号</w:t>
            </w:r>
          </w:p>
        </w:tc>
        <w:tc>
          <w:tcPr>
            <w:tcW w:w="818"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themeColor="text1"/>
                <w:sz w:val="20"/>
                <w:szCs w:val="20"/>
              </w:rPr>
            </w:pP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rFonts w:hint="eastAsia" w:ascii="宋体" w:hAnsi="宋体"/>
                <w:sz w:val="20"/>
                <w:szCs w:val="20"/>
                <w:lang w:val="en-US" w:eastAsia="zh-CN"/>
              </w:rPr>
              <w:t>053600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联系人</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sz w:val="20"/>
                <w:szCs w:val="20"/>
              </w:rPr>
              <w:t>刘帆</w:t>
            </w:r>
          </w:p>
        </w:tc>
        <w:tc>
          <w:tcPr>
            <w:tcW w:w="1647"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电话</w:t>
            </w:r>
          </w:p>
        </w:tc>
        <w:tc>
          <w:tcPr>
            <w:tcW w:w="1388"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sz w:val="20"/>
                <w:szCs w:val="20"/>
              </w:rPr>
              <w:t>15373188858</w:t>
            </w:r>
          </w:p>
        </w:tc>
        <w:tc>
          <w:tcPr>
            <w:tcW w:w="818"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bookmarkStart w:id="5" w:name="联系人传真"/>
            <w:bookmarkEnd w:id="5"/>
            <w:r>
              <w:rPr>
                <w:rFonts w:hint="default" w:ascii="Times New Roman" w:hAnsi="Times New Roman" w:cs="Times New Roman"/>
                <w:b/>
                <w:color w:val="auto"/>
                <w:sz w:val="20"/>
                <w:szCs w:val="20"/>
              </w:rPr>
              <w:t>传真</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法人代表</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r>
              <w:rPr>
                <w:sz w:val="20"/>
                <w:szCs w:val="20"/>
              </w:rPr>
              <w:t>李万开</w:t>
            </w:r>
          </w:p>
        </w:tc>
        <w:tc>
          <w:tcPr>
            <w:tcW w:w="1647"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管理者代表</w:t>
            </w:r>
          </w:p>
        </w:tc>
        <w:tc>
          <w:tcPr>
            <w:tcW w:w="1388"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0"/>
                <w:szCs w:val="20"/>
                <w:lang w:val="en-US" w:eastAsia="zh-CN" w:bidi="ar-SA"/>
              </w:rPr>
            </w:pPr>
            <w:bookmarkStart w:id="6" w:name="最高管理者"/>
            <w:bookmarkEnd w:id="6"/>
            <w:r>
              <w:rPr>
                <w:rFonts w:hint="eastAsia"/>
                <w:sz w:val="20"/>
                <w:szCs w:val="20"/>
                <w:lang w:val="en-US" w:eastAsia="zh-CN"/>
              </w:rPr>
              <w:t>李刚</w:t>
            </w:r>
          </w:p>
        </w:tc>
        <w:tc>
          <w:tcPr>
            <w:tcW w:w="818" w:type="dxa"/>
            <w:gridSpan w:val="2"/>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0"/>
                <w:szCs w:val="20"/>
                <w:lang w:val="en-US" w:eastAsia="zh-CN" w:bidi="ar-SA"/>
              </w:rPr>
            </w:pPr>
            <w:r>
              <w:rPr>
                <w:rFonts w:hint="default" w:ascii="Times New Roman" w:hAnsi="Times New Roman" w:cs="Times New Roman"/>
                <w:b/>
                <w:color w:val="auto"/>
                <w:sz w:val="20"/>
                <w:szCs w:val="20"/>
              </w:rPr>
              <w:t>邮箱</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793485062@qq.com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9"/>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rPr>
            </w:pPr>
            <w:bookmarkStart w:id="7" w:name="审核范围"/>
            <w:r>
              <w:rPr>
                <w:rFonts w:hint="eastAsia" w:ascii="宋体" w:hAnsi="宋体"/>
                <w:sz w:val="20"/>
                <w:szCs w:val="20"/>
              </w:rPr>
              <w:t>护栏网、石笼网的生产所涉及的相关环境管理活动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782"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17.12.03</w:t>
            </w:r>
          </w:p>
        </w:tc>
        <w:tc>
          <w:tcPr>
            <w:tcW w:w="1828"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700" w:type="dxa"/>
            <w:gridSpan w:val="2"/>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bookmarkStart w:id="8" w:name="体系运行时间"/>
            <w:bookmarkEnd w:id="8"/>
            <w:r>
              <w:rPr>
                <w:rFonts w:hint="eastAsia" w:ascii="宋体"/>
                <w:b/>
                <w:color w:val="000000"/>
                <w:sz w:val="20"/>
                <w:szCs w:val="20"/>
                <w:lang w:val="en-US" w:eastAsia="zh-CN"/>
              </w:rPr>
              <w:t>2019年9月1日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w:t>
            </w:r>
            <w:r>
              <w:rPr>
                <w:rFonts w:hint="eastAsia" w:ascii="宋体" w:hAnsi="宋体"/>
                <w:b/>
                <w:color w:val="000000" w:themeColor="text1"/>
                <w:sz w:val="20"/>
                <w:szCs w:val="20"/>
                <w:lang w:val="en-US" w:eastAsia="zh-CN"/>
              </w:rPr>
              <w:t>远程</w:t>
            </w:r>
            <w:r>
              <w:rPr>
                <w:rFonts w:hint="eastAsia" w:ascii="宋体" w:hAnsi="宋体"/>
                <w:b/>
                <w:color w:val="000000" w:themeColor="text1"/>
                <w:sz w:val="20"/>
                <w:szCs w:val="20"/>
              </w:rPr>
              <w:t>）</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2020.5.22-23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rPr>
              <w:t>4.1</w:t>
            </w:r>
            <w:r>
              <w:rPr>
                <w:rFonts w:hint="eastAsia"/>
                <w:sz w:val="21"/>
                <w:szCs w:val="21"/>
                <w:lang w:val="en-US" w:eastAsia="zh-CN"/>
              </w:rPr>
              <w:t>/4.2/4.3/4.4/5.1/5.2/5.3/6.1/6.2/7.1/9.1.1/9.3/10.1/10.3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生产技术部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5.3/7.2/7.3/7.4/7.5/8.2/9.2/6.1.2/6.1.3/6.2/8.1/9.1.2/10.2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9919"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1536"/>
        <w:gridCol w:w="134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服务名称</w:t>
            </w:r>
          </w:p>
        </w:tc>
        <w:tc>
          <w:tcPr>
            <w:tcW w:w="15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服务类型</w:t>
            </w:r>
          </w:p>
        </w:tc>
        <w:tc>
          <w:tcPr>
            <w:tcW w:w="134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sz w:val="20"/>
                <w:szCs w:val="20"/>
              </w:rPr>
              <w:t>护栏网、石笼网的生产</w:t>
            </w:r>
          </w:p>
        </w:tc>
        <w:tc>
          <w:tcPr>
            <w:tcW w:w="1536"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35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9"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9"/>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28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cs="宋体"/>
              </w:rPr>
            </w:pPr>
            <w:r>
              <w:t>1.</w:t>
            </w:r>
            <w:r>
              <w:rPr>
                <w:rFonts w:hint="eastAsia"/>
                <w:lang w:val="en-US" w:eastAsia="zh-CN"/>
              </w:rPr>
              <w:t xml:space="preserve"> </w:t>
            </w:r>
            <w:r>
              <w:rPr>
                <w:rFonts w:hint="eastAsia" w:cs="宋体"/>
              </w:rPr>
              <w:t>管理方针：</w:t>
            </w:r>
          </w:p>
          <w:p>
            <w:pPr>
              <w:rPr>
                <w:rFonts w:hint="eastAsia"/>
                <w:sz w:val="21"/>
                <w:szCs w:val="21"/>
              </w:rPr>
            </w:pPr>
            <w:r>
              <w:rPr>
                <w:rFonts w:hint="eastAsia"/>
                <w:sz w:val="21"/>
                <w:szCs w:val="21"/>
              </w:rPr>
              <w:t>创新求精，不断提升产品与服务质量，促进快速发展</w:t>
            </w:r>
          </w:p>
          <w:p>
            <w:pPr>
              <w:rPr>
                <w:rFonts w:hint="eastAsia"/>
                <w:sz w:val="21"/>
                <w:szCs w:val="21"/>
              </w:rPr>
            </w:pPr>
            <w:r>
              <w:rPr>
                <w:rFonts w:hint="eastAsia"/>
                <w:sz w:val="21"/>
                <w:szCs w:val="21"/>
              </w:rPr>
              <w:t>节能降耗，注重环境保护与污染预防，促进协调发展</w:t>
            </w:r>
          </w:p>
          <w:p>
            <w:pPr>
              <w:rPr>
                <w:rFonts w:hint="eastAsia"/>
                <w:sz w:val="21"/>
                <w:szCs w:val="21"/>
              </w:rPr>
            </w:pPr>
            <w:r>
              <w:rPr>
                <w:rFonts w:hint="eastAsia"/>
                <w:sz w:val="21"/>
                <w:szCs w:val="21"/>
              </w:rPr>
              <w:t>以人为本，确保职业健康与劳动安全，促进和谐发展</w:t>
            </w:r>
          </w:p>
          <w:p>
            <w:pPr>
              <w:keepNext w:val="0"/>
              <w:keepLines w:val="0"/>
              <w:pageBreakBefore w:val="0"/>
              <w:kinsoku/>
              <w:wordWrap/>
              <w:overflowPunct/>
              <w:topLinePunct w:val="0"/>
              <w:autoSpaceDE/>
              <w:autoSpaceDN/>
              <w:bidi w:val="0"/>
              <w:adjustRightInd/>
              <w:snapToGrid/>
              <w:spacing w:line="360" w:lineRule="exact"/>
              <w:textAlignment w:val="auto"/>
            </w:pPr>
            <w:r>
              <w:rPr>
                <w:rFonts w:hint="eastAsia"/>
                <w:sz w:val="21"/>
                <w:szCs w:val="21"/>
              </w:rPr>
              <w:t>守法诚信，坚持预防为主与持续改进，追求卓越绩效</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8"/>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color w:val="auto"/>
                <w:u w:val="none" w:color="auto"/>
                <w:lang w:val="en-US" w:eastAsia="zh-CN"/>
              </w:rPr>
              <w:t>原材料消耗、</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噪声排放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5</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b/>
                <w:color w:val="000000" w:themeColor="text1"/>
                <w:sz w:val="2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cs="宋体"/>
                <w:lang w:eastAsia="zh-CN"/>
              </w:rPr>
            </w:pPr>
            <w:r>
              <w:rPr>
                <w:rFonts w:hint="eastAsia" w:ascii="Times New Roman" w:hAnsi="Times New Roman" w:cs="宋体"/>
              </w:rPr>
              <w:t>公司环境目标</w:t>
            </w:r>
            <w:r>
              <w:rPr>
                <w:rFonts w:hint="eastAsia" w:cs="宋体"/>
                <w:lang w:eastAsia="zh-CN"/>
              </w:rPr>
              <w:t>：</w:t>
            </w:r>
          </w:p>
          <w:p>
            <w:pPr>
              <w:rPr>
                <w:rFonts w:hint="eastAsia"/>
                <w:sz w:val="21"/>
                <w:szCs w:val="21"/>
              </w:rPr>
            </w:pPr>
            <w:r>
              <w:rPr>
                <w:rFonts w:hint="eastAsia"/>
                <w:sz w:val="21"/>
                <w:szCs w:val="21"/>
              </w:rPr>
              <w:t>1.废弃物100%实现分类存放，合理处置。</w:t>
            </w:r>
          </w:p>
          <w:p>
            <w:pPr>
              <w:rPr>
                <w:rFonts w:hint="eastAsia"/>
                <w:sz w:val="21"/>
                <w:szCs w:val="21"/>
              </w:rPr>
            </w:pPr>
            <w:r>
              <w:rPr>
                <w:rFonts w:hint="eastAsia"/>
                <w:sz w:val="21"/>
                <w:szCs w:val="21"/>
              </w:rPr>
              <w:t>2.杜绝发生重大污染事故。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cs="宋体"/>
                <w:lang w:eastAsia="zh-CN"/>
              </w:rPr>
            </w:pPr>
            <w:r>
              <w:rPr>
                <w:rFonts w:hint="eastAsia"/>
                <w:sz w:val="21"/>
                <w:szCs w:val="21"/>
              </w:rPr>
              <w:t>3.噪声、废气达标排放。</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cs="宋体"/>
                <w:lang w:val="en-US" w:eastAsia="zh-CN"/>
              </w:rPr>
              <w:t>季度</w:t>
            </w:r>
            <w:r>
              <w:rPr>
                <w:rFonts w:hint="eastAsia" w:ascii="Times New Roman" w:hAnsi="Times New Roman" w:cs="宋体"/>
              </w:rPr>
              <w:t>考核一次，提供</w:t>
            </w:r>
            <w:r>
              <w:rPr>
                <w:rFonts w:hint="eastAsia" w:cs="宋体"/>
                <w:lang w:val="en-US" w:eastAsia="zh-CN"/>
              </w:rPr>
              <w:t>2020</w:t>
            </w:r>
            <w:r>
              <w:rPr>
                <w:rFonts w:hint="eastAsia" w:ascii="Times New Roman" w:hAnsi="Times New Roman" w:cs="宋体"/>
                <w:lang w:val="en-US" w:eastAsia="zh-CN"/>
              </w:rPr>
              <w:t>年目标考核记录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上，每个人均可查阅。外来文件电子版本在电脑上，每个人均可查阅，产品技术标准打印一套，放于文件柜内该公司人员均可查阅，外来人员查阅需经过总经理批准。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15</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生产服务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lang w:val="en-US" w:eastAsia="zh-CN"/>
              </w:rPr>
              <w:t>车间</w:t>
            </w:r>
            <w:r>
              <w:rPr>
                <w:rFonts w:hint="eastAsia"/>
                <w:sz w:val="21"/>
                <w:szCs w:val="21"/>
              </w:rPr>
              <w:t>等基础设施，主要设</w:t>
            </w:r>
            <w:r>
              <w:rPr>
                <w:rFonts w:hint="eastAsia"/>
                <w:sz w:val="21"/>
                <w:szCs w:val="21"/>
                <w:lang w:eastAsia="zh-CN"/>
              </w:rPr>
              <w:t>施：</w:t>
            </w:r>
            <w:r>
              <w:rPr>
                <w:rFonts w:hint="eastAsia"/>
                <w:sz w:val="21"/>
                <w:szCs w:val="21"/>
                <w:lang w:val="en-US" w:eastAsia="zh-CN"/>
              </w:rPr>
              <w:t>切割机、石笼网编织机、电焊机</w:t>
            </w:r>
            <w:r>
              <w:rPr>
                <w:rFonts w:hint="eastAsia"/>
                <w:sz w:val="21"/>
                <w:szCs w:val="21"/>
              </w:rPr>
              <w:t>，满足</w:t>
            </w:r>
            <w:r>
              <w:rPr>
                <w:rFonts w:hint="eastAsia"/>
                <w:sz w:val="21"/>
                <w:szCs w:val="21"/>
                <w:lang w:val="en-US" w:eastAsia="zh-CN"/>
              </w:rPr>
              <w:t>生产</w:t>
            </w:r>
            <w:r>
              <w:rPr>
                <w:rFonts w:hint="eastAsia"/>
                <w:sz w:val="21"/>
                <w:szCs w:val="21"/>
                <w:lang w:eastAsia="zh-CN"/>
              </w:rPr>
              <w:t>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rPr>
                <w:rFonts w:hint="eastAsia"/>
                <w:b w:val="0"/>
                <w:bCs w:val="0"/>
                <w:sz w:val="21"/>
                <w:szCs w:val="21"/>
                <w:lang w:val="en-US" w:eastAsia="zh-CN"/>
              </w:rPr>
              <w:t>安平县经济开发区经四路28号</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100平米、车间1000平</w:t>
            </w:r>
            <w:r>
              <w:rPr>
                <w:rFonts w:hint="eastAsia"/>
                <w:sz w:val="21"/>
                <w:szCs w:val="21"/>
                <w:lang w:val="en-US" w:eastAsia="zh-CN"/>
              </w:rPr>
              <w:t>米，</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公司对法律法规及其他要求进行了获取，包括质量法、合同法、环境保护法、劳动法、消防法、环境空气质量标准、固体废弃物环境防治法、仓库防火安全管理规则、</w:t>
            </w:r>
            <w:r>
              <w:rPr>
                <w:rFonts w:hint="eastAsia"/>
                <w:lang w:eastAsia="zh-CN"/>
              </w:rPr>
              <w:t>DB11/501-2007《大气污染物综合排放标准》、GB12348-2008《工业企业厂界环境噪声排放标准》</w:t>
            </w:r>
            <w:r>
              <w:rPr>
                <w:rFonts w:hint="eastAsia" w:ascii="宋体" w:hAnsi="宋体"/>
                <w:sz w:val="21"/>
                <w:szCs w:val="21"/>
                <w:u w:val="none"/>
                <w:lang w:eastAsia="zh-CN"/>
              </w:rPr>
              <w:t>、</w:t>
            </w:r>
            <w:r>
              <w:rPr>
                <w:rFonts w:hint="eastAsia"/>
                <w:sz w:val="21"/>
                <w:szCs w:val="21"/>
              </w:rPr>
              <w:t>GB/T24001-2016《环境管理体系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灭火器、集气罩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numPr>
                <w:ilvl w:val="0"/>
                <w:numId w:val="4"/>
              </w:numPr>
              <w:rPr>
                <w:rFonts w:hint="eastAsia" w:cs="宋体"/>
              </w:rPr>
            </w:pPr>
            <w:r>
              <w:rPr>
                <w:rFonts w:hint="eastAsia" w:cs="宋体"/>
              </w:rPr>
              <w:t>管理方针：</w:t>
            </w:r>
          </w:p>
          <w:p>
            <w:pPr>
              <w:numPr>
                <w:ilvl w:val="0"/>
                <w:numId w:val="0"/>
              </w:numPr>
              <w:rPr>
                <w:rFonts w:hint="eastAsia"/>
                <w:sz w:val="21"/>
                <w:szCs w:val="21"/>
              </w:rPr>
            </w:pPr>
            <w:r>
              <w:rPr>
                <w:rFonts w:hint="eastAsia"/>
                <w:sz w:val="21"/>
                <w:szCs w:val="21"/>
              </w:rPr>
              <w:t>创新求精，不断提升产品与服务质量，促进快速发展</w:t>
            </w:r>
          </w:p>
          <w:p>
            <w:pPr>
              <w:rPr>
                <w:rFonts w:hint="eastAsia"/>
                <w:sz w:val="21"/>
                <w:szCs w:val="21"/>
              </w:rPr>
            </w:pPr>
            <w:r>
              <w:rPr>
                <w:rFonts w:hint="eastAsia"/>
                <w:sz w:val="21"/>
                <w:szCs w:val="21"/>
              </w:rPr>
              <w:t>节能降耗，注重环境保护与污染预防，促进协调发展</w:t>
            </w:r>
          </w:p>
          <w:p>
            <w:pPr>
              <w:rPr>
                <w:rFonts w:hint="eastAsia"/>
                <w:sz w:val="21"/>
                <w:szCs w:val="21"/>
              </w:rPr>
            </w:pPr>
            <w:r>
              <w:rPr>
                <w:rFonts w:hint="eastAsia"/>
                <w:sz w:val="21"/>
                <w:szCs w:val="21"/>
              </w:rPr>
              <w:t>以人为本，确保职业健康与劳动安全，促进和谐发展</w:t>
            </w:r>
          </w:p>
          <w:p>
            <w:r>
              <w:rPr>
                <w:rFonts w:hint="eastAsia"/>
                <w:sz w:val="21"/>
                <w:szCs w:val="21"/>
              </w:rPr>
              <w:t>守法诚信，坚持预防为主与持续改进，追求卓越绩效</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w:t>
            </w:r>
            <w:r>
              <w:rPr>
                <w:rFonts w:hint="eastAsia"/>
                <w:sz w:val="21"/>
                <w:szCs w:val="21"/>
                <w:lang w:val="en-US" w:eastAsia="zh-CN"/>
              </w:rPr>
              <w:t>噪声、烟气、</w:t>
            </w:r>
            <w:r>
              <w:rPr>
                <w:rFonts w:hint="eastAsia"/>
                <w:sz w:val="21"/>
                <w:szCs w:val="21"/>
              </w:rPr>
              <w:t>相关方施加影响等。</w:t>
            </w:r>
            <w:r>
              <w:rPr>
                <w:rFonts w:hint="eastAsia"/>
                <w:sz w:val="21"/>
                <w:szCs w:val="21"/>
                <w:lang w:val="en-US" w:eastAsia="zh-CN"/>
              </w:rPr>
              <w:t>提供有固废处置记录、相关方告知书及发放记录、环境检测报告。</w:t>
            </w:r>
            <w:r>
              <w:rPr>
                <w:rFonts w:hint="eastAsia"/>
                <w:sz w:val="21"/>
                <w:szCs w:val="21"/>
              </w:rPr>
              <w:t>查看办公区域干净整洁，</w:t>
            </w:r>
            <w:r>
              <w:rPr>
                <w:rFonts w:hint="eastAsia"/>
                <w:sz w:val="21"/>
                <w:szCs w:val="21"/>
                <w:lang w:val="en-US" w:eastAsia="zh-CN"/>
              </w:rPr>
              <w:t>配有灭火器，但未</w:t>
            </w:r>
            <w:r>
              <w:rPr>
                <w:rFonts w:hint="eastAsia"/>
                <w:sz w:val="21"/>
                <w:szCs w:val="21"/>
              </w:rPr>
              <w:t>配置</w:t>
            </w:r>
            <w:r>
              <w:rPr>
                <w:rFonts w:hint="eastAsia"/>
                <w:sz w:val="21"/>
                <w:szCs w:val="21"/>
                <w:lang w:val="en-US" w:eastAsia="zh-CN"/>
              </w:rPr>
              <w:t>固废分类处置装置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sz w:val="21"/>
                <w:szCs w:val="21"/>
                <w:lang w:val="en-GB"/>
              </w:rPr>
              <w:t>编制应急准备和响应控制程序，识别的潜在意外紧急情况为火灾等。编制了应急预案，组织了消防演练，提供了应急预案演练记录。对应急预案进行了评价，可行。</w:t>
            </w:r>
            <w:r>
              <w:rPr>
                <w:rFonts w:hint="eastAsia"/>
                <w:sz w:val="21"/>
                <w:szCs w:val="21"/>
                <w:lang w:val="en-US" w:eastAsia="zh-CN"/>
              </w:rPr>
              <w:t>办公区域、车间</w:t>
            </w:r>
            <w:r>
              <w:rPr>
                <w:rFonts w:hint="eastAsia"/>
                <w:sz w:val="21"/>
                <w:szCs w:val="21"/>
              </w:rPr>
              <w:t>配置灭火器等消防设施</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lang w:val="en-US" w:eastAsia="zh-CN"/>
              </w:rPr>
            </w:pPr>
            <w:r>
              <w:rPr>
                <w:rFonts w:hint="eastAsia"/>
                <w:b/>
                <w:color w:val="000000" w:themeColor="text1"/>
                <w:sz w:val="20"/>
                <w:szCs w:val="20"/>
                <w:lang w:val="en-US" w:eastAsia="zh-CN"/>
              </w:rPr>
              <w:t>7</w:t>
            </w:r>
            <w:r>
              <w:rPr>
                <w:rFonts w:hint="eastAsia"/>
                <w:b/>
                <w:color w:val="000000" w:themeColor="text1"/>
                <w:sz w:val="20"/>
                <w:szCs w:val="20"/>
              </w:rPr>
              <w:t xml:space="preserve">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季度</w:t>
            </w:r>
            <w:r>
              <w:rPr>
                <w:rFonts w:hint="eastAsia"/>
                <w:sz w:val="21"/>
                <w:szCs w:val="21"/>
              </w:rPr>
              <w:t>考核一次，查看</w:t>
            </w:r>
            <w:r>
              <w:rPr>
                <w:rFonts w:hint="eastAsia"/>
                <w:sz w:val="21"/>
                <w:szCs w:val="21"/>
                <w:lang w:val="en-US" w:eastAsia="zh-CN"/>
              </w:rPr>
              <w:t>2020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20年11月15-16</w:t>
            </w:r>
            <w:bookmarkStart w:id="11" w:name="_GoBack"/>
            <w:bookmarkEnd w:id="11"/>
            <w:r>
              <w:rPr>
                <w:rFonts w:hint="eastAsia"/>
                <w:lang w:val="en-US" w:eastAsia="zh-CN"/>
              </w:rPr>
              <w:t>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12</w:t>
            </w:r>
            <w:r>
              <w:rPr>
                <w:rFonts w:hint="eastAsia" w:cs="宋体"/>
              </w:rPr>
              <w:t>月</w:t>
            </w:r>
            <w:r>
              <w:rPr>
                <w:rFonts w:hint="eastAsia"/>
                <w:lang w:val="en-US" w:eastAsia="zh-CN"/>
              </w:rPr>
              <w:t>3</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numPr>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提供2020年9月27日由河北祥安检测技术服务有限公司对噪声、废气的检测，检测结论达标，报告编号：202009HJ2001，详见附件.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5.</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cs="Times New Roman"/>
                <w:szCs w:val="22"/>
                <w:lang w:val="en-US" w:eastAsia="zh-CN"/>
              </w:rPr>
              <w:t>提供</w:t>
            </w:r>
            <w:r>
              <w:rPr>
                <w:rFonts w:hint="eastAsia" w:ascii="Times New Roman" w:hAnsi="Times New Roman" w:cs="Times New Roman"/>
                <w:szCs w:val="22"/>
                <w:lang w:val="en-US" w:eastAsia="zh-CN"/>
              </w:rPr>
              <w:t>建设项目环境影响报告</w:t>
            </w:r>
            <w:r>
              <w:rPr>
                <w:rFonts w:hint="eastAsia" w:cs="Times New Roman"/>
                <w:szCs w:val="22"/>
                <w:lang w:val="en-US" w:eastAsia="zh-CN"/>
              </w:rPr>
              <w:t>表</w:t>
            </w:r>
            <w:r>
              <w:rPr>
                <w:rFonts w:hint="eastAsia" w:ascii="Times New Roman" w:hAnsi="Times New Roman" w:cs="Times New Roman"/>
                <w:szCs w:val="22"/>
                <w:lang w:val="en-US" w:eastAsia="zh-CN"/>
              </w:rPr>
              <w:t>、</w:t>
            </w:r>
            <w:r>
              <w:rPr>
                <w:rFonts w:hint="eastAsia" w:cs="Times New Roman"/>
                <w:szCs w:val="22"/>
                <w:lang w:val="en-US" w:eastAsia="zh-CN"/>
              </w:rPr>
              <w:t>环保局审批意见、验收</w:t>
            </w:r>
            <w:r>
              <w:rPr>
                <w:rFonts w:hint="eastAsia" w:ascii="Times New Roman" w:hAnsi="Times New Roman" w:cs="Times New Roman"/>
                <w:szCs w:val="22"/>
                <w:lang w:val="en-US" w:eastAsia="zh-CN"/>
              </w:rPr>
              <w:t>报告、</w:t>
            </w:r>
            <w:r>
              <w:rPr>
                <w:rFonts w:hint="eastAsia" w:cs="Times New Roman"/>
                <w:szCs w:val="22"/>
                <w:lang w:val="en-US" w:eastAsia="zh-CN"/>
              </w:rPr>
              <w:t>环保局验收意见、</w:t>
            </w:r>
            <w:r>
              <w:rPr>
                <w:rFonts w:hint="eastAsia" w:ascii="Times New Roman" w:hAnsi="Times New Roman" w:cs="Times New Roman"/>
                <w:szCs w:val="22"/>
                <w:lang w:val="en-US" w:eastAsia="zh-CN"/>
              </w:rPr>
              <w:t>排</w:t>
            </w:r>
            <w:r>
              <w:rPr>
                <w:rFonts w:hint="eastAsia" w:ascii="Times New Roman" w:hAnsi="Times New Roman" w:cs="Times New Roman"/>
                <w:szCs w:val="22"/>
                <w:lang w:eastAsia="zh-CN"/>
              </w:rPr>
              <w:t>污许可证</w:t>
            </w:r>
            <w:r>
              <w:rPr>
                <w:rFonts w:hint="eastAsia" w:cs="Times New Roman"/>
                <w:szCs w:val="22"/>
                <w:lang w:val="en-US" w:eastAsia="zh-CN"/>
              </w:rPr>
              <w:t>回执</w:t>
            </w:r>
            <w:r>
              <w:rPr>
                <w:rFonts w:hint="eastAsia" w:cs="Times New Roman"/>
                <w:szCs w:val="22"/>
                <w:lang w:eastAsia="zh-CN"/>
              </w:rPr>
              <w:t>，</w:t>
            </w:r>
            <w:r>
              <w:rPr>
                <w:rFonts w:hint="eastAsia" w:cs="Times New Roman"/>
                <w:szCs w:val="22"/>
                <w:lang w:val="en-US" w:eastAsia="zh-CN"/>
              </w:rPr>
              <w:t>详见附件</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lang w:val="en-US" w:eastAsia="zh-CN"/>
              </w:rPr>
              <w:t>1.</w:t>
            </w:r>
            <w:r>
              <w:rPr>
                <w:rFonts w:hint="eastAsia"/>
                <w:b/>
                <w:color w:val="000000"/>
                <w:sz w:val="21"/>
                <w:szCs w:val="21"/>
              </w:rPr>
              <w:t>纠正/预防措施的实施及效果</w:t>
            </w:r>
            <w:r>
              <w:rPr>
                <w:rFonts w:hint="eastAsia"/>
                <w:b/>
                <w:color w:val="000000"/>
                <w:spacing w:val="-8"/>
                <w:sz w:val="21"/>
                <w:szCs w:val="21"/>
              </w:rPr>
              <w:t>;</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kern w:val="2"/>
                <w:sz w:val="21"/>
                <w:szCs w:val="21"/>
                <w:lang w:val="en-US" w:eastAsia="zh-CN" w:bidi="ar-SA"/>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2.</w:t>
            </w:r>
            <w:r>
              <w:rPr>
                <w:rFonts w:hint="eastAsia" w:ascii="宋体" w:hAnsi="宋体"/>
                <w:b/>
                <w:sz w:val="21"/>
                <w:szCs w:val="21"/>
              </w:rPr>
              <w:t>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Times New Roman"/>
                <w:b/>
                <w:kern w:val="2"/>
                <w:sz w:val="21"/>
                <w:szCs w:val="21"/>
                <w:lang w:val="en-US" w:eastAsia="zh-CN" w:bidi="ar-SA"/>
              </w:rPr>
            </w:pPr>
            <w:r>
              <w:rPr>
                <w:rFonts w:hint="eastAsia" w:ascii="宋体" w:hAnsi="宋体"/>
                <w:b/>
                <w:sz w:val="21"/>
                <w:szCs w:val="21"/>
                <w:lang w:val="en-US" w:eastAsia="zh-CN"/>
              </w:rPr>
              <w:t>3.</w:t>
            </w:r>
            <w:r>
              <w:rPr>
                <w:rFonts w:hint="eastAsia" w:ascii="宋体" w:hAnsi="宋体"/>
                <w:b/>
                <w:sz w:val="21"/>
                <w:szCs w:val="21"/>
              </w:rPr>
              <w:t>创新情况</w:t>
            </w:r>
            <w:r>
              <w:rPr>
                <w:rFonts w:hint="eastAsia" w:ascii="宋体" w:hAnsi="宋体"/>
                <w:b/>
                <w:sz w:val="21"/>
                <w:szCs w:val="21"/>
                <w:lang w:eastAsia="zh-CN"/>
              </w:rPr>
              <w:t>：</w:t>
            </w: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上次不符合的整改情况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Times New Roman"/>
                <w:b/>
                <w:kern w:val="2"/>
                <w:sz w:val="21"/>
                <w:szCs w:val="21"/>
                <w:lang w:val="en-US" w:eastAsia="zh-CN" w:bidi="ar-SA"/>
              </w:rPr>
            </w:pPr>
            <w:r>
              <w:rPr>
                <w:rFonts w:hint="eastAsia"/>
                <w:color w:val="auto"/>
                <w:sz w:val="21"/>
                <w:szCs w:val="21"/>
              </w:rPr>
              <w:t>上次</w:t>
            </w:r>
            <w:r>
              <w:rPr>
                <w:rFonts w:hint="eastAsia"/>
                <w:color w:val="auto"/>
                <w:sz w:val="21"/>
                <w:szCs w:val="21"/>
                <w:lang w:val="en-US" w:eastAsia="zh-CN"/>
              </w:rPr>
              <w:t>远程</w:t>
            </w:r>
            <w:r>
              <w:rPr>
                <w:rFonts w:hint="eastAsia"/>
                <w:color w:val="auto"/>
                <w:sz w:val="21"/>
                <w:szCs w:val="21"/>
              </w:rPr>
              <w:t>审核发现的不符合项</w:t>
            </w:r>
            <w:r>
              <w:rPr>
                <w:rFonts w:hint="eastAsia"/>
                <w:color w:val="auto"/>
                <w:sz w:val="21"/>
                <w:szCs w:val="21"/>
                <w:lang w:eastAsia="zh-CN"/>
              </w:rPr>
              <w:t>为</w:t>
            </w:r>
            <w:r>
              <w:rPr>
                <w:rFonts w:hint="eastAsia"/>
                <w:color w:val="auto"/>
                <w:sz w:val="21"/>
                <w:szCs w:val="21"/>
                <w:lang w:val="en-US" w:eastAsia="zh-CN"/>
              </w:rPr>
              <w:t>办公室GB/T 24001-2016标准8.1条款，</w:t>
            </w:r>
            <w:r>
              <w:rPr>
                <w:rFonts w:hint="eastAsia"/>
                <w:color w:val="auto"/>
                <w:sz w:val="21"/>
                <w:szCs w:val="21"/>
              </w:rPr>
              <w:t>相关责任部门对</w:t>
            </w:r>
            <w:r>
              <w:rPr>
                <w:rFonts w:hint="eastAsia"/>
                <w:color w:val="auto"/>
                <w:sz w:val="21"/>
                <w:szCs w:val="21"/>
                <w:lang w:eastAsia="zh-CN"/>
              </w:rPr>
              <w:t>其</w:t>
            </w:r>
            <w:r>
              <w:rPr>
                <w:rFonts w:hint="eastAsia"/>
                <w:color w:val="auto"/>
                <w:sz w:val="21"/>
                <w:szCs w:val="21"/>
              </w:rPr>
              <w:t>进行了原因分析，制定并采取了</w:t>
            </w:r>
            <w:r>
              <w:rPr>
                <w:rFonts w:hint="eastAsia"/>
                <w:color w:val="auto"/>
                <w:sz w:val="21"/>
                <w:szCs w:val="21"/>
                <w:lang w:eastAsia="zh-CN"/>
              </w:rPr>
              <w:t>纠正及</w:t>
            </w:r>
            <w:r>
              <w:rPr>
                <w:rFonts w:hint="eastAsia"/>
                <w:color w:val="auto"/>
                <w:sz w:val="21"/>
                <w:szCs w:val="21"/>
              </w:rPr>
              <w:t>纠正措施，</w:t>
            </w:r>
            <w:r>
              <w:rPr>
                <w:rFonts w:hint="eastAsia"/>
                <w:color w:val="auto"/>
                <w:sz w:val="21"/>
                <w:szCs w:val="21"/>
                <w:lang w:val="en-US" w:eastAsia="zh-CN"/>
              </w:rPr>
              <w:t>本次现场审核未发生类似问题，采取的纠正措施有效。</w:t>
            </w:r>
          </w:p>
        </w:tc>
      </w:tr>
    </w:tbl>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2050"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val="en-US" w:eastAsia="zh-CN"/>
        </w:rPr>
        <w:t>.</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河北亿申路桥防护工程有限公司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ascii="宋体" w:hAnsi="宋体"/>
                <w:sz w:val="21"/>
                <w:szCs w:val="21"/>
              </w:rPr>
            </w:pPr>
            <w:r>
              <w:rPr>
                <w:rFonts w:hint="eastAsia" w:ascii="宋体" w:hAnsi="宋体"/>
                <w:sz w:val="21"/>
                <w:szCs w:val="21"/>
              </w:rPr>
              <w:t>护栏网、石笼网的生产所涉及的相关环境管理活动</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lang w:eastAsia="zh-CN"/>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 xml:space="preserve">  </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cs="Times New Roman"/>
          <w:b/>
          <w:color w:val="000000" w:themeColor="text1"/>
          <w:sz w:val="26"/>
          <w:szCs w:val="26"/>
        </w:rPr>
        <w:t>任何影响审核方案的重要事项</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2336" behindDoc="0" locked="0" layoutInCell="1" allowOverlap="1">
            <wp:simplePos x="0" y="0"/>
            <wp:positionH relativeFrom="column">
              <wp:posOffset>1473200</wp:posOffset>
            </wp:positionH>
            <wp:positionV relativeFrom="paragraph">
              <wp:posOffset>127635</wp:posOffset>
            </wp:positionV>
            <wp:extent cx="1195070" cy="575310"/>
            <wp:effectExtent l="0" t="0" r="0" b="9525"/>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195070" cy="57531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b/>
          <w:color w:val="000000" w:themeColor="text1"/>
          <w:sz w:val="26"/>
          <w:szCs w:val="26"/>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p>
    <w:p>
      <w:pPr>
        <w:snapToGrid w:val="0"/>
        <w:spacing w:line="360" w:lineRule="auto"/>
        <w:ind w:firstLine="4554" w:firstLineChars="21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rFonts w:hint="eastAsia"/>
          <w:b/>
          <w:color w:val="000000" w:themeColor="text1"/>
          <w:sz w:val="26"/>
          <w:szCs w:val="26"/>
        </w:rPr>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rFonts w:hint="eastAsia"/>
          <w:b/>
          <w:color w:val="000000" w:themeColor="text1"/>
          <w:szCs w:val="21"/>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napToGrid w:val="0"/>
        <w:spacing w:before="156" w:beforeLines="50" w:after="156" w:afterLines="50" w:line="360" w:lineRule="auto"/>
        <w:rPr>
          <w:rFonts w:hint="eastAsia"/>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0</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napToGrid w:val="0"/>
        <w:spacing w:before="156" w:beforeLines="50" w:after="156" w:afterLines="50"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eastAsia"/>
          <w:b/>
          <w:color w:val="000000" w:themeColor="text1"/>
          <w:szCs w:val="21"/>
        </w:rPr>
        <w:drawing>
          <wp:anchor distT="0" distB="0" distL="114300" distR="114300" simplePos="0" relativeHeight="251663360" behindDoc="0" locked="0" layoutInCell="1" allowOverlap="1">
            <wp:simplePos x="0" y="0"/>
            <wp:positionH relativeFrom="column">
              <wp:posOffset>582930</wp:posOffset>
            </wp:positionH>
            <wp:positionV relativeFrom="paragraph">
              <wp:posOffset>322580</wp:posOffset>
            </wp:positionV>
            <wp:extent cx="1272540" cy="612775"/>
            <wp:effectExtent l="0" t="0" r="0" b="1016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272540" cy="612775"/>
                    </a:xfrm>
                    <a:prstGeom prst="rect">
                      <a:avLst/>
                    </a:prstGeom>
                  </pic:spPr>
                </pic:pic>
              </a:graphicData>
            </a:graphic>
          </wp:anchor>
        </w:drawing>
      </w:r>
    </w:p>
    <w:p>
      <w:pPr>
        <w:spacing w:before="312" w:beforeLines="100" w:after="156" w:afterLines="50"/>
        <w:rPr>
          <w:rFonts w:hint="eastAsia"/>
          <w:b/>
          <w:color w:val="000000" w:themeColor="text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12</w:t>
      </w:r>
      <w:r>
        <w:rPr>
          <w:rFonts w:hint="eastAsia"/>
          <w:b/>
          <w:color w:val="000000" w:themeColor="text1"/>
          <w:szCs w:val="21"/>
        </w:rPr>
        <w:t>月</w:t>
      </w:r>
      <w:r>
        <w:rPr>
          <w:rFonts w:hint="eastAsia"/>
          <w:b/>
          <w:color w:val="000000" w:themeColor="text1"/>
          <w:szCs w:val="21"/>
          <w:lang w:val="en-US" w:eastAsia="zh-CN"/>
        </w:rPr>
        <w:t>28</w:t>
      </w:r>
      <w:r>
        <w:rPr>
          <w:rFonts w:hint="eastAsia"/>
          <w:b/>
          <w:color w:val="000000" w:themeColor="text1"/>
          <w:szCs w:val="21"/>
        </w:rPr>
        <w:t>日</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r>
        <w:rPr>
          <w:rFonts w:hint="eastAsia"/>
          <w:b/>
          <w:color w:val="000000" w:themeColor="text1"/>
          <w:sz w:val="26"/>
          <w:szCs w:val="26"/>
        </w:rPr>
        <w:t>十七、与末次会议结论不同处的说明和其他说明(技术委员会填写)</w:t>
      </w: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r>
        <w:rPr>
          <w:rFonts w:hint="eastAsia"/>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4FEE95"/>
    <w:multiLevelType w:val="singleLevel"/>
    <w:tmpl w:val="C74FEE95"/>
    <w:lvl w:ilvl="0" w:tentative="0">
      <w:start w:val="2"/>
      <w:numFmt w:val="decimal"/>
      <w:suff w:val="nothing"/>
      <w:lvlText w:val="%1、"/>
      <w:lvlJc w:val="left"/>
    </w:lvl>
  </w:abstractNum>
  <w:abstractNum w:abstractNumId="1">
    <w:nsid w:val="058876D9"/>
    <w:multiLevelType w:val="singleLevel"/>
    <w:tmpl w:val="058876D9"/>
    <w:lvl w:ilvl="0" w:tentative="0">
      <w:start w:val="1"/>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0745B7"/>
    <w:rsid w:val="10D61799"/>
    <w:rsid w:val="3C9A0372"/>
    <w:rsid w:val="60E54F6B"/>
    <w:rsid w:val="647437DC"/>
    <w:rsid w:val="6A0441F7"/>
    <w:rsid w:val="79A5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7</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2020-12-28T02:27:36Z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