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5650230" cy="9306560"/>
            <wp:effectExtent l="0" t="0" r="1270" b="2540"/>
            <wp:docPr id="2" name="图片 2" descr="51d7ab7fd2180755b5d59cd75d1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d7ab7fd2180755b5d59cd75d110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93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8" w:name="_GoBack"/>
      <w:bookmarkEnd w:id="18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9"/>
        <w:gridCol w:w="1234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河北亿申路桥防护工程有限公司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安平县经济开发区经四路28号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刘帆</w:t>
            </w:r>
            <w:bookmarkEnd w:id="2"/>
          </w:p>
        </w:tc>
        <w:tc>
          <w:tcPr>
            <w:tcW w:w="12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15373188858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0185-2020-E</w:t>
            </w:r>
            <w:bookmarkEnd w:id="8"/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3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13"/>
            <w:r>
              <w:rPr>
                <w:rFonts w:hint="eastAsia" w:ascii="宋体" w:hAnsi="宋体" w:cs="Times New Roman"/>
                <w:b/>
                <w:bCs/>
                <w:sz w:val="20"/>
                <w:szCs w:val="22"/>
                <w:lang w:val="en-US" w:eastAsia="zh-CN"/>
              </w:rPr>
              <w:t>对远程监督审核的现场补充验证</w:t>
            </w: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审核范围"/>
            <w:r>
              <w:rPr>
                <w:b w:val="0"/>
                <w:bCs w:val="0"/>
                <w:sz w:val="21"/>
                <w:szCs w:val="21"/>
              </w:rPr>
              <w:t>护栏网、石笼网的生产所涉及的相关环境管理活动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专业代码"/>
            <w:r>
              <w:rPr>
                <w:b w:val="0"/>
                <w:bCs w:val="0"/>
                <w:sz w:val="21"/>
                <w:szCs w:val="21"/>
              </w:rPr>
              <w:t>17.12.03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7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2020年12月28日 上午至2020年12月28日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25400</wp:posOffset>
                  </wp:positionV>
                  <wp:extent cx="1155700" cy="467995"/>
                  <wp:effectExtent l="0" t="0" r="0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2020.12.27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2020.12.27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2020.12.28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；合规义务；文件化信息；人员；能力；意识；沟通；运行控制；应急准备和响应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C052F2"/>
    <w:rsid w:val="72135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2020-12-28T03:26:00Z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