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ascii="宋体" w:hAnsi="宋体" w:cs="宋体"/>
                <w:color w:val="000000"/>
                <w:szCs w:val="21"/>
              </w:rPr>
            </w:pPr>
            <w:r>
              <w:rPr>
                <w:rFonts w:hint="eastAsia" w:ascii="宋体" w:hAnsi="宋体" w:cs="宋体"/>
                <w:color w:val="000000"/>
                <w:szCs w:val="21"/>
              </w:rPr>
              <w:t>受审核部门：质检部    主管领导：</w:t>
            </w:r>
            <w:r>
              <w:rPr>
                <w:rFonts w:hint="eastAsia"/>
              </w:rPr>
              <w:t xml:space="preserve">党云鸽 </w:t>
            </w:r>
            <w:r>
              <w:t xml:space="preserve">   </w:t>
            </w:r>
            <w:r>
              <w:rPr>
                <w:rFonts w:hint="eastAsia" w:ascii="宋体" w:hAnsi="宋体" w:cs="宋体"/>
                <w:color w:val="000000"/>
                <w:szCs w:val="21"/>
              </w:rPr>
              <w:t>陪同人员：</w:t>
            </w:r>
            <w:r>
              <w:rPr>
                <w:rFonts w:hint="eastAsia"/>
              </w:rPr>
              <w:t>吴玉华</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hint="default" w:ascii="宋体" w:hAnsi="宋体" w:cs="宋体"/>
                <w:color w:val="000000"/>
                <w:szCs w:val="21"/>
                <w:lang w:val="en-US"/>
              </w:rPr>
            </w:pPr>
            <w:r>
              <w:rPr>
                <w:rFonts w:hint="eastAsia" w:ascii="宋体" w:hAnsi="宋体" w:cs="宋体"/>
                <w:color w:val="000000"/>
                <w:szCs w:val="21"/>
              </w:rPr>
              <w:t xml:space="preserve">审核员：李京田   </w:t>
            </w:r>
            <w:r>
              <w:rPr>
                <w:sz w:val="20"/>
              </w:rPr>
              <w:t>冯雪峥</w:t>
            </w:r>
            <w:r>
              <w:rPr>
                <w:rFonts w:hint="eastAsia" w:ascii="宋体" w:hAnsi="宋体" w:cs="宋体"/>
                <w:color w:val="000000"/>
                <w:szCs w:val="21"/>
              </w:rPr>
              <w:t xml:space="preserve">           审核时间：</w:t>
            </w:r>
            <w:r>
              <w:rPr>
                <w:rFonts w:hint="eastAsia" w:ascii="宋体" w:hAnsi="宋体" w:cs="宋体"/>
                <w:color w:val="000000"/>
                <w:szCs w:val="21"/>
                <w:lang w:eastAsia="zh-CN"/>
              </w:rPr>
              <w:t>202</w:t>
            </w:r>
            <w:r>
              <w:rPr>
                <w:rFonts w:hint="eastAsia" w:ascii="宋体" w:hAnsi="宋体" w:cs="宋体"/>
                <w:color w:val="000000"/>
                <w:szCs w:val="21"/>
                <w:lang w:val="en-US" w:eastAsia="zh-CN"/>
              </w:rPr>
              <w:t>1.1.19</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cs="宋体"/>
                <w:sz w:val="24"/>
                <w:szCs w:val="24"/>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w:t>
            </w:r>
            <w:r>
              <w:rPr>
                <w:rFonts w:ascii="宋体" w:hAnsi="宋体"/>
                <w:sz w:val="18"/>
              </w:rPr>
              <w:t>8.6</w:t>
            </w:r>
            <w:r>
              <w:rPr>
                <w:rFonts w:hint="eastAsia" w:ascii="宋体" w:hAnsi="宋体"/>
                <w:sz w:val="18"/>
              </w:rPr>
              <w:t xml:space="preserve">    E</w:t>
            </w:r>
            <w:r>
              <w:rPr>
                <w:rFonts w:hint="eastAsia" w:ascii="宋体" w:hAnsi="宋体"/>
                <w:sz w:val="18"/>
                <w:lang w:val="en-US" w:eastAsia="zh-CN"/>
              </w:rPr>
              <w:t>S</w:t>
            </w:r>
            <w:r>
              <w:rPr>
                <w:rFonts w:ascii="宋体" w:hAnsi="宋体"/>
                <w:sz w:val="18"/>
              </w:rPr>
              <w:t>:5.3/6.2/6.1.2/8.1/8.2</w:t>
            </w:r>
            <w:r>
              <w:rPr>
                <w:rFonts w:hint="eastAsia" w:ascii="宋体" w:hAnsi="宋体"/>
                <w:sz w:val="18"/>
              </w:rPr>
              <w:t xml:space="preserve">   </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本部门主要负责质量检验产品放行及相应环境和职业健康安全的运行控制。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错检、漏检率0</w:t>
            </w:r>
          </w:p>
          <w:p>
            <w:pPr>
              <w:spacing w:line="380" w:lineRule="exact"/>
              <w:ind w:firstLine="420" w:firstLineChars="200"/>
              <w:rPr>
                <w:rFonts w:ascii="宋体" w:hAnsi="宋体" w:cs="宋体"/>
                <w:color w:val="000000"/>
                <w:szCs w:val="21"/>
              </w:rPr>
            </w:pPr>
            <w:r>
              <w:rPr>
                <w:rFonts w:hint="eastAsia" w:ascii="宋体" w:hAnsi="宋体"/>
                <w:color w:val="000000"/>
                <w:szCs w:val="21"/>
              </w:rPr>
              <w:t>固体废弃物分类处置率100%</w:t>
            </w:r>
          </w:p>
          <w:p>
            <w:pPr>
              <w:spacing w:line="380" w:lineRule="exact"/>
              <w:ind w:firstLine="420" w:firstLineChars="200"/>
              <w:rPr>
                <w:rFonts w:ascii="宋体" w:hAnsi="宋体"/>
                <w:color w:val="000000"/>
                <w:szCs w:val="21"/>
              </w:rPr>
            </w:pPr>
            <w:r>
              <w:rPr>
                <w:rFonts w:hint="eastAsia" w:ascii="宋体" w:hAnsi="宋体"/>
                <w:color w:val="000000"/>
                <w:szCs w:val="21"/>
              </w:rPr>
              <w:t>火灾、爆炸事故为0；</w:t>
            </w:r>
          </w:p>
          <w:p>
            <w:pPr>
              <w:spacing w:line="380" w:lineRule="exact"/>
              <w:ind w:firstLine="420" w:firstLineChars="200"/>
              <w:rPr>
                <w:rFonts w:ascii="宋体" w:hAnsi="宋体" w:cs="宋体"/>
                <w:szCs w:val="21"/>
              </w:rPr>
            </w:pPr>
            <w:r>
              <w:rPr>
                <w:rFonts w:hint="eastAsia" w:ascii="宋体" w:hAnsi="宋体" w:cs="宋体"/>
                <w:color w:val="000000"/>
                <w:szCs w:val="21"/>
              </w:rPr>
              <w:t>部门分解目标与公司方针一致，可测量，已经完成。并传达到部门相关人员，必要时适时更新，目前无变化。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szCs w:val="21"/>
              </w:rPr>
            </w:pPr>
            <w:r>
              <w:rPr>
                <w:rFonts w:hint="eastAsia"/>
                <w:bCs/>
                <w:szCs w:val="21"/>
              </w:rPr>
              <w:t>产品和服务的放行</w:t>
            </w:r>
          </w:p>
        </w:tc>
        <w:tc>
          <w:tcPr>
            <w:tcW w:w="1019" w:type="dxa"/>
          </w:tcPr>
          <w:p>
            <w:pPr>
              <w:spacing w:line="380" w:lineRule="exact"/>
              <w:rPr>
                <w:rFonts w:ascii="宋体" w:hAnsi="宋体" w:cs="宋体"/>
                <w:bCs/>
                <w:szCs w:val="21"/>
              </w:rPr>
            </w:pPr>
            <w:r>
              <w:rPr>
                <w:rFonts w:hint="eastAsia" w:ascii="宋体" w:hAnsi="宋体" w:cs="宋体"/>
                <w:bCs/>
                <w:szCs w:val="21"/>
              </w:rPr>
              <w:t>Q8.6</w:t>
            </w:r>
          </w:p>
          <w:p>
            <w:pPr>
              <w:spacing w:line="380" w:lineRule="exact"/>
              <w:rPr>
                <w:rFonts w:ascii="宋体" w:hAnsi="宋体" w:cs="宋体"/>
                <w:szCs w:val="21"/>
              </w:rPr>
            </w:pPr>
          </w:p>
        </w:tc>
        <w:tc>
          <w:tcPr>
            <w:tcW w:w="11223" w:type="dxa"/>
          </w:tcPr>
          <w:p>
            <w:pPr>
              <w:numPr>
                <w:ilvl w:val="0"/>
                <w:numId w:val="1"/>
              </w:numPr>
              <w:spacing w:line="380" w:lineRule="exact"/>
              <w:ind w:firstLine="421"/>
              <w:rPr>
                <w:rFonts w:hint="eastAsia" w:ascii="宋体" w:hAnsi="宋体" w:cs="宋体"/>
                <w:b/>
                <w:bCs/>
                <w:szCs w:val="21"/>
                <w:lang w:val="en-US" w:eastAsia="zh-CN"/>
              </w:rPr>
            </w:pPr>
            <w:r>
              <w:rPr>
                <w:rFonts w:hint="eastAsia" w:ascii="宋体" w:hAnsi="宋体" w:cs="宋体"/>
                <w:b/>
                <w:bCs/>
                <w:szCs w:val="21"/>
                <w:lang w:val="en-US" w:eastAsia="zh-CN"/>
              </w:rPr>
              <w:t>采购检验：由质检部按照检验规程进行检验</w:t>
            </w:r>
          </w:p>
          <w:p>
            <w:pPr>
              <w:pStyle w:val="2"/>
            </w:pPr>
            <w:r>
              <w:drawing>
                <wp:inline distT="0" distB="0" distL="114300" distR="114300">
                  <wp:extent cx="2538095" cy="4239260"/>
                  <wp:effectExtent l="0" t="0" r="190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38095" cy="42392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251200" cy="42418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251200" cy="4241800"/>
                          </a:xfrm>
                          <a:prstGeom prst="rect">
                            <a:avLst/>
                          </a:prstGeom>
                          <a:noFill/>
                          <a:ln>
                            <a:noFill/>
                          </a:ln>
                        </pic:spPr>
                      </pic:pic>
                    </a:graphicData>
                  </a:graphic>
                </wp:inline>
              </w:drawing>
            </w:r>
          </w:p>
          <w:p>
            <w:pPr>
              <w:pStyle w:val="2"/>
            </w:pPr>
          </w:p>
          <w:p>
            <w:pPr>
              <w:pStyle w:val="2"/>
            </w:pPr>
            <w:r>
              <w:rPr>
                <w:rFonts w:hint="eastAsia"/>
                <w:lang w:val="en-US" w:eastAsia="zh-CN"/>
              </w:rPr>
              <w:t xml:space="preserve"> </w:t>
            </w:r>
            <w:r>
              <w:drawing>
                <wp:inline distT="0" distB="0" distL="114300" distR="114300">
                  <wp:extent cx="3018790" cy="4483100"/>
                  <wp:effectExtent l="0" t="0" r="381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018790" cy="44831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238500" cy="45212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3238500" cy="4521200"/>
                          </a:xfrm>
                          <a:prstGeom prst="rect">
                            <a:avLst/>
                          </a:prstGeom>
                          <a:noFill/>
                          <a:ln>
                            <a:noFill/>
                          </a:ln>
                        </pic:spPr>
                      </pic:pic>
                    </a:graphicData>
                  </a:graphic>
                </wp:inline>
              </w:drawing>
            </w:r>
          </w:p>
          <w:p>
            <w:pPr>
              <w:pStyle w:val="2"/>
              <w:numPr>
                <w:ilvl w:val="0"/>
                <w:numId w:val="2"/>
              </w:numPr>
              <w:rPr>
                <w:rFonts w:hint="eastAsia"/>
                <w:lang w:val="en-US" w:eastAsia="zh-CN"/>
              </w:rPr>
            </w:pPr>
            <w:r>
              <w:rPr>
                <w:rFonts w:hint="eastAsia"/>
                <w:lang w:val="en-US" w:eastAsia="zh-CN"/>
              </w:rPr>
              <w:t>过程检验：见8.5.1审核记录，以及参见附件压力试验报告、焊缝检验报告、海南华盛项目无损检测报告-射线检测报告</w:t>
            </w:r>
          </w:p>
          <w:p>
            <w:pPr>
              <w:pStyle w:val="2"/>
              <w:numPr>
                <w:numId w:val="0"/>
              </w:numPr>
              <w:rPr>
                <w:rFonts w:hint="default"/>
                <w:lang w:val="en-US" w:eastAsia="zh-CN"/>
              </w:rPr>
            </w:pPr>
            <w:r>
              <w:rPr>
                <w:rFonts w:hint="eastAsia"/>
                <w:lang w:val="en-US" w:eastAsia="zh-CN"/>
              </w:rPr>
              <w:t>3、成品放行：</w:t>
            </w:r>
          </w:p>
          <w:p>
            <w:pPr>
              <w:spacing w:line="380" w:lineRule="exact"/>
              <w:ind w:firstLine="421"/>
              <w:rPr>
                <w:rFonts w:ascii="宋体" w:hAnsi="宋体" w:cs="宋体"/>
                <w:b/>
                <w:bCs/>
                <w:szCs w:val="21"/>
              </w:rPr>
            </w:pPr>
            <w:r>
              <w:rPr>
                <w:rFonts w:hint="eastAsia" w:ascii="宋体" w:hAnsi="宋体" w:cs="宋体"/>
                <w:b/>
                <w:bCs/>
                <w:szCs w:val="21"/>
              </w:rPr>
              <w:t xml:space="preserve">抽1：高压撬装结构块检验报告   </w:t>
            </w:r>
            <w:r>
              <w:rPr>
                <w:rFonts w:hint="eastAsia" w:ascii="宋体" w:hAnsi="宋体" w:cs="宋体"/>
                <w:b/>
                <w:bCs/>
                <w:szCs w:val="21"/>
                <w:lang w:eastAsia="zh-CN"/>
              </w:rPr>
              <w:t>，</w:t>
            </w:r>
            <w:r>
              <w:rPr>
                <w:rFonts w:hint="eastAsia" w:ascii="宋体" w:hAnsi="宋体" w:cs="宋体"/>
                <w:b/>
                <w:bCs/>
                <w:szCs w:val="21"/>
                <w:lang w:val="en-US" w:eastAsia="zh-CN"/>
              </w:rPr>
              <w:t>见附件</w:t>
            </w:r>
            <w:bookmarkStart w:id="0" w:name="_GoBack"/>
            <w:bookmarkEnd w:id="0"/>
            <w:r>
              <w:rPr>
                <w:rFonts w:hint="eastAsia" w:ascii="宋体" w:hAnsi="宋体" w:cs="宋体"/>
                <w:b/>
                <w:bCs/>
                <w:szCs w:val="21"/>
              </w:rPr>
              <w:t xml:space="preserve">  </w:t>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1、设备底座，地脚检查</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1）地脚螺栓长度      地脚螺栓数量       地脚螺栓螺帽垫片规格材质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2）地脚孔大于地脚螺栓螺丝直径      固定滑动端符合图纸要求       大型设备地脚螺栓应配加大加厚垫片</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3）地脚螺栓（螺杆）表面无油漆，无油迹，颜色标记位置位于螺柱柱体截面</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 设备底座平整，每米误差5mm，总长误差10mm        5）底座开孔不能采用气割开孔，应当钻孔</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6）底座开孔中心对角线尺寸，四孔关系为正四边形，两孔中心距按图纸，误差不超过±2mm</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2、撬装结构块</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1）撬块中的基座颜色同图纸相符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2）撬块中的各管口定位尺寸应与图纸相符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3）撬块中应当有设计合理的吊耳，吊耳重心位置合理</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4）撬块底部及背面应当满焊</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 xml:space="preserve">   5）撬块中的管口标高，朝向，及法兰标准形式应与图纸相符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6）撬的框架与钢板材质强度及撬内支撑应合理         7）海油平台项目撬块底座应设有围堰</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7）含集油盘的撬块应有污油排放口，排污口有防止堵塞的滤网，滤网便于拆卸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8）海油项目排污口，阀门下口，法兰处应当配盲板，螺纹处配丝堵</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9）撬块中的仪表，电气电缆、配电箱、应铺设安装完工，完工后仪表应装箱</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10）电缆槽盒出厂前用铁丝捆扎，到达现场电气试验完毕，使用不锈钢扎带捆扎</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11）控制柜出厂前使用铁丝或钢丝绳拉纤，防止运输中控制柜底部螺丝脱落，拉纤时不应受力与控制柜防雨帽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12）石油项目循环泵撬灌浆孔的位置，应保证开孔数量可以灌满一个独立撬分区，位置应不影响设备运行，便于灌浆操作</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13）撬块出厂已保温的应有运输防撞保护措施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14）撬块中管线及保温完毕管线应当标示介质流向</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15）撬块设备设计相应的接地螺柱螺母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16）海油项目法兰跨接线，螺丝采用M6x20，材质不锈钢，打一个圈，使用6平方地线</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17）石油项目使用16平方地线在法兰螺栓跨接，法兰螺栓数量低于5个时，需要使用地线跨接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18）同一批次时，各部位一致性应相同</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4、保温、防腐</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1）保温材质及保温层外的保护层应符合合同要求，同时保护层有阻燃防水性能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2）外保护板之间的连接应为搭接，搭接长度不应小于20mm，搭接处应采用钢板条压紧，以防雨水渗入</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3）外保温螺钉、铆钉间距不宜大于200mm           4）不锈钢外保温保护膜出厂全部撕掉</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5）外保温皮，连接处应用玻璃胶密封填充，水流自上搭接口流至下层</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6）不锈钢保护层时，铆钉或保温钉材质应为不锈钢。优先使用铆钉</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5、法兰、垫片、螺栓</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1)发货区的所有非配对垫片、法兰、螺栓、石棉绳打木包装成为一件箱      </w:t>
            </w:r>
          </w:p>
          <w:p>
            <w:pPr>
              <w:spacing w:line="380" w:lineRule="exact"/>
              <w:ind w:firstLine="421"/>
              <w:rPr>
                <w:rFonts w:ascii="宋体" w:hAnsi="宋体" w:cs="宋体"/>
                <w:szCs w:val="21"/>
              </w:rPr>
            </w:pPr>
            <w:r>
              <w:rPr>
                <w:rFonts w:hint="eastAsia" w:ascii="宋体" w:hAnsi="宋体" w:cs="宋体"/>
                <w:szCs w:val="21"/>
              </w:rPr>
              <w:t xml:space="preserve">  螺栓数量按套计算，按套成箱</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 xml:space="preserve">  箱内每一类螺栓应当用袋、筒，箱分类包装或区分        </w:t>
            </w:r>
          </w:p>
          <w:p>
            <w:pPr>
              <w:spacing w:line="380" w:lineRule="exact"/>
              <w:ind w:firstLine="421"/>
              <w:rPr>
                <w:rFonts w:ascii="宋体" w:hAnsi="宋体" w:cs="宋体"/>
                <w:szCs w:val="21"/>
              </w:rPr>
            </w:pPr>
            <w:r>
              <w:rPr>
                <w:rFonts w:hint="eastAsia" w:ascii="宋体" w:hAnsi="宋体" w:cs="宋体"/>
                <w:szCs w:val="21"/>
              </w:rPr>
              <w:t xml:space="preserve">     包装袋上写有规格型号并与发货清单相符</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2）锅炉及仪表的配对法兰、垫片、所有螺栓应配套齐全，安装完毕     </w:t>
            </w:r>
          </w:p>
          <w:p>
            <w:pPr>
              <w:spacing w:line="380" w:lineRule="exact"/>
              <w:ind w:firstLine="421"/>
              <w:rPr>
                <w:rFonts w:ascii="宋体" w:hAnsi="宋体" w:cs="宋体"/>
                <w:szCs w:val="21"/>
              </w:rPr>
            </w:pPr>
            <w:r>
              <w:rPr>
                <w:rFonts w:hint="eastAsia" w:ascii="宋体" w:hAnsi="宋体" w:cs="宋体"/>
                <w:szCs w:val="21"/>
              </w:rPr>
              <w:t xml:space="preserve">  3） 系统所有螺栓、螺母至少应提供5%的备用量</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4）供货清单中应当包含螺栓、法兰、垫片、石棉绳，备用漆的清单     </w:t>
            </w:r>
          </w:p>
          <w:p>
            <w:pPr>
              <w:spacing w:line="380" w:lineRule="exact"/>
              <w:ind w:firstLine="421"/>
              <w:rPr>
                <w:rFonts w:ascii="宋体" w:hAnsi="宋体" w:cs="宋体"/>
                <w:szCs w:val="21"/>
              </w:rPr>
            </w:pPr>
            <w:r>
              <w:rPr>
                <w:rFonts w:hint="eastAsia" w:ascii="宋体" w:hAnsi="宋体" w:cs="宋体"/>
                <w:szCs w:val="21"/>
              </w:rPr>
              <w:t xml:space="preserve">  5）检查已安装螺栓长度，过长过短要更换</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6）紧固件中，单头螺栓，双头螺栓，都安装垫片       </w:t>
            </w:r>
          </w:p>
          <w:p>
            <w:pPr>
              <w:spacing w:line="380" w:lineRule="exact"/>
              <w:ind w:firstLine="421"/>
              <w:rPr>
                <w:rFonts w:ascii="宋体" w:hAnsi="宋体" w:cs="宋体"/>
                <w:szCs w:val="21"/>
              </w:rPr>
            </w:pPr>
            <w:r>
              <w:rPr>
                <w:rFonts w:hint="eastAsia" w:ascii="宋体" w:hAnsi="宋体" w:cs="宋体"/>
                <w:szCs w:val="21"/>
              </w:rPr>
              <w:t xml:space="preserve">  7）35CrMo螺栓在螺栓和螺母上有标识；8.8级螺栓螺母上有标示</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6、铭牌、包装运输、随机（设备）资料、</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1）铭牌及铭牌支架的内容、材质、位置要经过采购方认可     </w:t>
            </w:r>
          </w:p>
          <w:p>
            <w:pPr>
              <w:spacing w:line="380" w:lineRule="exact"/>
              <w:ind w:firstLine="421"/>
              <w:rPr>
                <w:rFonts w:ascii="宋体" w:hAnsi="宋体" w:cs="宋体"/>
                <w:szCs w:val="21"/>
              </w:rPr>
            </w:pPr>
            <w:r>
              <w:rPr>
                <w:rFonts w:hint="eastAsia" w:ascii="宋体" w:hAnsi="宋体" w:cs="宋体"/>
                <w:szCs w:val="21"/>
              </w:rPr>
              <w:t xml:space="preserve">   2）成箱的货物，箱内应有防淋雨的包装与措施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3)设备、附件的法兰口，应有防护盖，纤维板、塑料薄膜，包扎封闭；仪表口应当有丝堵等防雨防堵措施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4）裸发的货物，应当使用薄膜塑料包装   </w:t>
            </w:r>
          </w:p>
          <w:p>
            <w:pPr>
              <w:spacing w:line="380" w:lineRule="exact"/>
              <w:ind w:firstLine="421"/>
              <w:rPr>
                <w:rFonts w:ascii="宋体" w:hAnsi="宋体" w:cs="宋体"/>
                <w:szCs w:val="21"/>
              </w:rPr>
            </w:pPr>
            <w:r>
              <w:rPr>
                <w:rFonts w:hint="eastAsia" w:ascii="宋体" w:hAnsi="宋体" w:cs="宋体"/>
                <w:szCs w:val="21"/>
              </w:rPr>
              <w:t xml:space="preserve">   5）出口项目设备撬块、附件的法兰口，烟道口，防护材料等级升高，统一标准</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6）说明书、合格证、监检等资料，应统一发往公司总部     </w:t>
            </w:r>
          </w:p>
          <w:p>
            <w:pPr>
              <w:spacing w:line="380" w:lineRule="exact"/>
              <w:ind w:firstLine="421"/>
              <w:rPr>
                <w:rFonts w:ascii="宋体" w:hAnsi="宋体" w:cs="宋体"/>
                <w:szCs w:val="21"/>
              </w:rPr>
            </w:pPr>
            <w:r>
              <w:rPr>
                <w:rFonts w:hint="eastAsia" w:ascii="宋体" w:hAnsi="宋体" w:cs="宋体"/>
                <w:szCs w:val="21"/>
              </w:rPr>
              <w:t xml:space="preserve">     7）设备应有明显的起吊、防雨，防倾，重心、易碎等标志</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制造方：森展节能设备制造（香河）有限公司</w:t>
            </w:r>
            <w:r>
              <w:rPr>
                <w:rFonts w:hint="eastAsia" w:ascii="宋体" w:hAnsi="宋体" w:cs="宋体"/>
                <w:szCs w:val="21"/>
              </w:rPr>
              <w:tab/>
            </w:r>
            <w:r>
              <w:rPr>
                <w:rFonts w:hint="eastAsia" w:ascii="宋体" w:hAnsi="宋体" w:cs="宋体"/>
                <w:szCs w:val="21"/>
              </w:rPr>
              <w:tab/>
            </w:r>
          </w:p>
          <w:p>
            <w:r>
              <w:rPr>
                <w:rFonts w:hint="eastAsia" w:ascii="宋体" w:hAnsi="宋体" w:cs="宋体"/>
                <w:szCs w:val="21"/>
              </w:rPr>
              <w:t xml:space="preserve">    </w:t>
            </w:r>
          </w:p>
          <w:p>
            <w:pPr>
              <w:pStyle w:val="2"/>
            </w:pPr>
          </w:p>
          <w:p>
            <w:pPr>
              <w:pStyle w:val="2"/>
            </w:pPr>
          </w:p>
          <w:p>
            <w:pPr>
              <w:spacing w:line="380" w:lineRule="exact"/>
              <w:ind w:firstLine="421"/>
              <w:rPr>
                <w:rFonts w:ascii="宋体" w:hAnsi="宋体" w:cs="宋体"/>
                <w:szCs w:val="21"/>
              </w:rPr>
            </w:pPr>
            <w:r>
              <w:rPr>
                <w:rFonts w:hint="eastAsia" w:ascii="宋体" w:hAnsi="宋体" w:cs="宋体"/>
                <w:szCs w:val="21"/>
              </w:rPr>
              <w:t xml:space="preserve">                                                  </w:t>
            </w:r>
            <w:r>
              <w:rPr>
                <w:rFonts w:hint="eastAsia" w:ascii="宋体" w:hAnsi="宋体" w:cs="宋体"/>
                <w:szCs w:val="21"/>
              </w:rPr>
              <w:tab/>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bCs/>
                <w:szCs w:val="21"/>
              </w:rPr>
            </w:pPr>
            <w:r>
              <w:rPr>
                <w:rFonts w:hint="eastAsia"/>
                <w:bCs/>
                <w:szCs w:val="21"/>
              </w:rPr>
              <w:t>危险源</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bCs/>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J检验过程中的环境因素，除了本身在检验过程中的环境因素外，公司也识别了能够施加影响的供方和客户的环境因素。另外，在采购产品的使用寿命结束后处理和最终处置相关的潜在重大环境影响。本部门识别的各区域环境因素有：废气粉尘、废水排放、噪声排放、固体废弃物排放、潜在火灾、水电能源消耗等。重要环境因素经按影响程度识别有：火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本部门识别的各区域危险源有：触电、意外伤害、职业病、火灾、交通事故等。不可接受风险识别有：火灾、意外伤害。</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spacing w:line="380" w:lineRule="exact"/>
              <w:rPr>
                <w:rFonts w:ascii="宋体" w:hAnsi="宋体" w:cs="宋体"/>
                <w:szCs w:val="21"/>
              </w:rPr>
            </w:pPr>
            <w:r>
              <w:rPr>
                <w:rFonts w:hint="eastAsia"/>
                <w:bCs/>
                <w:szCs w:val="21"/>
              </w:rPr>
              <w:t>运行控制</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编制与环境、安全体系运行控制有关的文件有《环境运行控制程序》、《职业健康安全运行控制程序》、《相关方管理程序》等。</w:t>
            </w:r>
          </w:p>
          <w:p>
            <w:pPr>
              <w:spacing w:line="380" w:lineRule="exact"/>
              <w:ind w:firstLine="420" w:firstLineChars="200"/>
              <w:rPr>
                <w:rFonts w:ascii="宋体" w:hAnsi="宋体" w:cs="宋体"/>
                <w:szCs w:val="21"/>
              </w:rPr>
            </w:pPr>
            <w:r>
              <w:rPr>
                <w:rFonts w:hint="eastAsia" w:ascii="宋体" w:hAnsi="宋体" w:cs="宋体"/>
                <w:szCs w:val="21"/>
              </w:rPr>
              <w:t>现场查见：</w:t>
            </w:r>
          </w:p>
          <w:p>
            <w:pPr>
              <w:spacing w:line="380" w:lineRule="exact"/>
              <w:ind w:firstLine="420" w:firstLineChars="200"/>
              <w:rPr>
                <w:rFonts w:ascii="宋体" w:hAnsi="宋体" w:cs="宋体"/>
                <w:szCs w:val="21"/>
              </w:rPr>
            </w:pPr>
            <w:r>
              <w:rPr>
                <w:rFonts w:hint="eastAsia" w:ascii="宋体" w:hAnsi="宋体" w:cs="宋体"/>
                <w:szCs w:val="21"/>
              </w:rPr>
              <w:t>废水管控：检验过程无废水废液产生。生活污水排放政府污水管网统一集中处理。</w:t>
            </w:r>
          </w:p>
          <w:p>
            <w:pPr>
              <w:spacing w:line="380" w:lineRule="exact"/>
              <w:ind w:firstLine="420" w:firstLineChars="200"/>
              <w:rPr>
                <w:rFonts w:ascii="宋体" w:hAnsi="宋体" w:cs="宋体"/>
                <w:szCs w:val="21"/>
              </w:rPr>
            </w:pPr>
            <w:r>
              <w:rPr>
                <w:rFonts w:hint="eastAsia" w:ascii="宋体" w:hAnsi="宋体" w:cs="宋体"/>
                <w:szCs w:val="21"/>
              </w:rPr>
              <w:t>废气管控：检验过程无废气产生。</w:t>
            </w:r>
          </w:p>
          <w:p>
            <w:pPr>
              <w:spacing w:line="380" w:lineRule="exact"/>
              <w:ind w:firstLine="420" w:firstLineChars="200"/>
              <w:rPr>
                <w:rFonts w:ascii="宋体" w:hAnsi="宋体" w:cs="宋体"/>
                <w:szCs w:val="21"/>
              </w:rPr>
            </w:pPr>
            <w:r>
              <w:rPr>
                <w:rFonts w:hint="eastAsia" w:ascii="宋体" w:hAnsi="宋体" w:cs="宋体"/>
                <w:szCs w:val="21"/>
              </w:rPr>
              <w:t>噪声管控：检验过程选用了低噪声的设备和工具，同时在厂房内生产，加强设备的检查和维保，确保机械设备在正常工况下运行，周围无环境敏感点。</w:t>
            </w:r>
          </w:p>
          <w:p>
            <w:pPr>
              <w:spacing w:line="380" w:lineRule="exact"/>
              <w:ind w:firstLine="420" w:firstLineChars="200"/>
              <w:rPr>
                <w:rFonts w:ascii="宋体" w:hAnsi="宋体" w:cs="宋体"/>
                <w:szCs w:val="21"/>
              </w:rPr>
            </w:pPr>
            <w:r>
              <w:rPr>
                <w:rFonts w:hint="eastAsia" w:ascii="宋体" w:hAnsi="宋体" w:cs="宋体"/>
                <w:szCs w:val="21"/>
              </w:rPr>
              <w:t>固废管控：检验过程中主要为拆包装袋，质检部将以上固废放置公司固定位置，积攒一定量后出售有处理能力的单位回收再利用；</w:t>
            </w:r>
          </w:p>
          <w:p>
            <w:pPr>
              <w:spacing w:line="380" w:lineRule="exact"/>
              <w:ind w:firstLine="420" w:firstLineChars="200"/>
              <w:rPr>
                <w:rFonts w:ascii="宋体" w:hAnsi="宋体" w:cs="宋体"/>
                <w:szCs w:val="21"/>
              </w:rPr>
            </w:pPr>
            <w:r>
              <w:rPr>
                <w:rFonts w:hint="eastAsia" w:ascii="宋体" w:hAnsi="宋体" w:cs="宋体"/>
                <w:szCs w:val="21"/>
              </w:rPr>
              <w:t>资、能源管控：能源、资源消耗控制：在检验过程中合理安排避免无序、重复检验；现场杜绝用水跑冒滴漏，采用节水阀门和节能灯等节能设备。</w:t>
            </w:r>
          </w:p>
          <w:p>
            <w:pPr>
              <w:spacing w:line="380" w:lineRule="exact"/>
              <w:ind w:firstLine="420" w:firstLineChars="200"/>
              <w:rPr>
                <w:rFonts w:ascii="宋体" w:hAnsi="宋体" w:cs="宋体"/>
                <w:szCs w:val="21"/>
              </w:rPr>
            </w:pPr>
            <w:r>
              <w:rPr>
                <w:rFonts w:hint="eastAsia" w:ascii="宋体" w:hAnsi="宋体" w:cs="宋体"/>
                <w:szCs w:val="21"/>
              </w:rPr>
              <w:t>产品周期的环境管控</w:t>
            </w:r>
          </w:p>
          <w:p>
            <w:pPr>
              <w:spacing w:line="380" w:lineRule="exact"/>
              <w:ind w:firstLine="420" w:firstLineChars="200"/>
              <w:rPr>
                <w:rFonts w:ascii="宋体" w:hAnsi="宋体" w:cs="宋体"/>
                <w:szCs w:val="21"/>
              </w:rPr>
            </w:pPr>
            <w:r>
              <w:rPr>
                <w:rFonts w:hint="eastAsia" w:ascii="宋体" w:hAnsi="宋体" w:cs="宋体"/>
                <w:szCs w:val="21"/>
              </w:rPr>
              <w:t>公司从采用产品时已考虑了产品的环保性（包括其包装），生产过程中，严格按照环保等管理制度实施，控制好辅助材料的计量，避免浪费。</w:t>
            </w:r>
          </w:p>
          <w:p>
            <w:pPr>
              <w:spacing w:line="380" w:lineRule="exact"/>
              <w:ind w:firstLine="420" w:firstLineChars="200"/>
              <w:rPr>
                <w:rFonts w:ascii="宋体" w:hAnsi="宋体" w:cs="宋体"/>
                <w:szCs w:val="21"/>
              </w:rPr>
            </w:pPr>
            <w:r>
              <w:rPr>
                <w:rFonts w:hint="eastAsia" w:ascii="宋体" w:hAnsi="宋体" w:cs="宋体"/>
                <w:szCs w:val="21"/>
              </w:rPr>
              <w:t>潜在火灾管控：办公区域配有消防栓、灭火器，均在有效期内，经了解未发生过触电和火灾事故。</w:t>
            </w:r>
          </w:p>
          <w:p>
            <w:pPr>
              <w:spacing w:line="380" w:lineRule="exact"/>
              <w:ind w:firstLine="420" w:firstLineChars="200"/>
              <w:rPr>
                <w:rFonts w:ascii="宋体" w:hAnsi="宋体" w:cs="宋体"/>
                <w:szCs w:val="21"/>
              </w:rPr>
            </w:pPr>
            <w:r>
              <w:rPr>
                <w:rFonts w:hint="eastAsia" w:ascii="宋体" w:hAnsi="宋体" w:cs="宋体"/>
                <w:szCs w:val="21"/>
              </w:rPr>
              <w:t>职业健康安全管控：发放安全帽、工服、手套等劳保，并能穿戴。</w:t>
            </w:r>
          </w:p>
          <w:p>
            <w:pPr>
              <w:spacing w:line="380" w:lineRule="exact"/>
              <w:ind w:firstLine="420" w:firstLineChars="200"/>
              <w:rPr>
                <w:rFonts w:ascii="宋体" w:hAnsi="宋体" w:cs="宋体"/>
                <w:szCs w:val="21"/>
              </w:rPr>
            </w:pPr>
            <w:r>
              <w:rPr>
                <w:rFonts w:hint="eastAsia" w:ascii="宋体" w:hAnsi="宋体" w:cs="宋体"/>
                <w:szCs w:val="21"/>
              </w:rPr>
              <w:t xml:space="preserve"> 提供公司与员工签订的劳动合同，见审核办公室该条款记录。</w:t>
            </w:r>
          </w:p>
          <w:p>
            <w:pPr>
              <w:spacing w:line="380" w:lineRule="exact"/>
              <w:ind w:firstLine="420" w:firstLineChars="200"/>
              <w:rPr>
                <w:rFonts w:ascii="宋体" w:hAnsi="宋体" w:cs="宋体"/>
                <w:szCs w:val="21"/>
              </w:rPr>
            </w:pPr>
            <w:r>
              <w:rPr>
                <w:rFonts w:hint="eastAsia" w:ascii="宋体" w:hAnsi="宋体" w:cs="宋体"/>
                <w:szCs w:val="21"/>
              </w:rPr>
              <w:t>经了解公司为职工缴纳社保，见审核办公室该条款记录。</w:t>
            </w:r>
          </w:p>
          <w:p>
            <w:pPr>
              <w:spacing w:line="380" w:lineRule="exact"/>
              <w:ind w:firstLine="420" w:firstLineChars="200"/>
              <w:rPr>
                <w:rFonts w:ascii="宋体" w:hAnsi="宋体" w:cs="宋体"/>
                <w:szCs w:val="21"/>
              </w:rPr>
            </w:pPr>
            <w:r>
              <w:rPr>
                <w:rFonts w:hint="eastAsia" w:ascii="宋体" w:hAnsi="宋体" w:cs="宋体"/>
                <w:szCs w:val="21"/>
              </w:rPr>
              <w:t>按有关程序和要求通报供方和顾客，采用〈告知函〉方式通报。查到相关方告知书。</w:t>
            </w:r>
          </w:p>
          <w:p>
            <w:pPr>
              <w:spacing w:line="380" w:lineRule="exact"/>
              <w:ind w:firstLine="420" w:firstLineChars="200"/>
              <w:rPr>
                <w:rFonts w:ascii="宋体" w:hAnsi="宋体" w:cs="宋体"/>
                <w:szCs w:val="21"/>
              </w:rPr>
            </w:pPr>
            <w:r>
              <w:rPr>
                <w:rFonts w:hint="eastAsia" w:ascii="宋体" w:hAnsi="宋体" w:cs="宋体"/>
                <w:szCs w:val="21"/>
              </w:rPr>
              <w:t>经了解未发生相关方造成的环境污染以及职业健康安全问题情况。</w:t>
            </w:r>
          </w:p>
          <w:p>
            <w:pPr>
              <w:spacing w:line="380" w:lineRule="exact"/>
              <w:ind w:firstLine="420" w:firstLineChars="200"/>
              <w:rPr>
                <w:rFonts w:ascii="宋体" w:hAnsi="宋体" w:cs="宋体"/>
                <w:szCs w:val="21"/>
              </w:rPr>
            </w:pPr>
            <w:r>
              <w:rPr>
                <w:rFonts w:hint="eastAsia" w:ascii="宋体" w:hAnsi="宋体" w:cs="宋体"/>
                <w:szCs w:val="21"/>
              </w:rPr>
              <w:t>运行控制基本有效。</w:t>
            </w:r>
          </w:p>
        </w:tc>
        <w:tc>
          <w:tcPr>
            <w:tcW w:w="760" w:type="dxa"/>
          </w:tcPr>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19" w:type="dxa"/>
          </w:tcPr>
          <w:p>
            <w:pPr>
              <w:spacing w:line="380" w:lineRule="exact"/>
              <w:rPr>
                <w:bCs/>
                <w:szCs w:val="21"/>
              </w:rPr>
            </w:pPr>
            <w:r>
              <w:rPr>
                <w:rFonts w:hint="eastAsia"/>
                <w:bCs/>
                <w:szCs w:val="21"/>
              </w:rPr>
              <w:t>E</w:t>
            </w:r>
            <w:r>
              <w:rPr>
                <w:rFonts w:hint="eastAsia"/>
                <w:bCs/>
                <w:szCs w:val="21"/>
                <w:lang w:val="en-US" w:eastAsia="zh-CN"/>
              </w:rPr>
              <w:t xml:space="preserve">S </w:t>
            </w:r>
            <w:r>
              <w:rPr>
                <w:rFonts w:hint="eastAsia"/>
                <w:bCs/>
                <w:szCs w:val="21"/>
              </w:rPr>
              <w:t>8.2</w:t>
            </w:r>
          </w:p>
          <w:p>
            <w:pPr>
              <w:spacing w:line="380" w:lineRule="exact"/>
              <w:rPr>
                <w:rFonts w:ascii="宋体" w:hAnsi="宋体" w:cs="宋体"/>
                <w:color w:val="000000"/>
                <w:szCs w:val="21"/>
              </w:rPr>
            </w:pPr>
          </w:p>
        </w:tc>
        <w:tc>
          <w:tcPr>
            <w:tcW w:w="11223"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80" w:lineRule="exact"/>
              <w:rPr>
                <w:rFonts w:ascii="宋体" w:hAnsi="宋体" w:cs="宋体"/>
                <w:szCs w:val="21"/>
              </w:rPr>
            </w:pPr>
          </w:p>
        </w:tc>
      </w:tr>
    </w:tbl>
    <w:p>
      <w:pPr>
        <w:pStyle w:val="6"/>
        <w:spacing w:line="380" w:lineRule="exact"/>
      </w:pPr>
      <w:r>
        <w:rPr>
          <w:rFonts w:hint="eastAsia"/>
          <w:sz w:val="21"/>
          <w:szCs w:val="21"/>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6B864"/>
    <w:multiLevelType w:val="singleLevel"/>
    <w:tmpl w:val="B816B864"/>
    <w:lvl w:ilvl="0" w:tentative="0">
      <w:start w:val="2"/>
      <w:numFmt w:val="decimal"/>
      <w:suff w:val="nothing"/>
      <w:lvlText w:val="%1、"/>
      <w:lvlJc w:val="left"/>
    </w:lvl>
  </w:abstractNum>
  <w:abstractNum w:abstractNumId="1">
    <w:nsid w:val="74E559CC"/>
    <w:multiLevelType w:val="singleLevel"/>
    <w:tmpl w:val="74E559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00D57"/>
    <w:rsid w:val="001A2D7F"/>
    <w:rsid w:val="00262E34"/>
    <w:rsid w:val="00337922"/>
    <w:rsid w:val="00340867"/>
    <w:rsid w:val="00380837"/>
    <w:rsid w:val="003A198A"/>
    <w:rsid w:val="00410914"/>
    <w:rsid w:val="00536930"/>
    <w:rsid w:val="00564E53"/>
    <w:rsid w:val="0059008D"/>
    <w:rsid w:val="005B65F5"/>
    <w:rsid w:val="005F252F"/>
    <w:rsid w:val="00644FE2"/>
    <w:rsid w:val="0067640C"/>
    <w:rsid w:val="006E678B"/>
    <w:rsid w:val="007349CC"/>
    <w:rsid w:val="00770737"/>
    <w:rsid w:val="007757F3"/>
    <w:rsid w:val="007D725F"/>
    <w:rsid w:val="007E6AEB"/>
    <w:rsid w:val="008973EE"/>
    <w:rsid w:val="008A7C8B"/>
    <w:rsid w:val="008D37B4"/>
    <w:rsid w:val="009043C9"/>
    <w:rsid w:val="00933C04"/>
    <w:rsid w:val="00963112"/>
    <w:rsid w:val="00971600"/>
    <w:rsid w:val="009973B4"/>
    <w:rsid w:val="009C28C1"/>
    <w:rsid w:val="009F7EED"/>
    <w:rsid w:val="00A445B4"/>
    <w:rsid w:val="00A60FF4"/>
    <w:rsid w:val="00AC0073"/>
    <w:rsid w:val="00AE4CEF"/>
    <w:rsid w:val="00AF0AAB"/>
    <w:rsid w:val="00BF597E"/>
    <w:rsid w:val="00C179A0"/>
    <w:rsid w:val="00C51A36"/>
    <w:rsid w:val="00C55228"/>
    <w:rsid w:val="00CE315A"/>
    <w:rsid w:val="00D06F59"/>
    <w:rsid w:val="00D712AB"/>
    <w:rsid w:val="00D8388C"/>
    <w:rsid w:val="00EA5B7F"/>
    <w:rsid w:val="00EB0164"/>
    <w:rsid w:val="00EC0BDA"/>
    <w:rsid w:val="00ED0F62"/>
    <w:rsid w:val="0320505F"/>
    <w:rsid w:val="038B12E8"/>
    <w:rsid w:val="04510B7D"/>
    <w:rsid w:val="08370D1F"/>
    <w:rsid w:val="08E60B71"/>
    <w:rsid w:val="0998237F"/>
    <w:rsid w:val="0A7E0BF2"/>
    <w:rsid w:val="0A8D103E"/>
    <w:rsid w:val="0ACE1CBC"/>
    <w:rsid w:val="0AF9100B"/>
    <w:rsid w:val="0B5F07F0"/>
    <w:rsid w:val="0C1869EC"/>
    <w:rsid w:val="0DD806AD"/>
    <w:rsid w:val="0E891764"/>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A23146B"/>
    <w:rsid w:val="6D53402F"/>
    <w:rsid w:val="700D5C7C"/>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780</Words>
  <Characters>4450</Characters>
  <Lines>37</Lines>
  <Paragraphs>10</Paragraphs>
  <TotalTime>10</TotalTime>
  <ScaleCrop>false</ScaleCrop>
  <LinksUpToDate>false</LinksUpToDate>
  <CharactersWithSpaces>5220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2021-01-21T13:01:43Z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