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15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 xml:space="preserve">0430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5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森展节能设备制造（香河）有限公司</w:t>
            </w:r>
            <w:bookmarkEnd w:id="4"/>
          </w:p>
        </w:tc>
        <w:tc>
          <w:tcPr>
            <w:tcW w:w="1720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O：18.01.02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Q：18.01.02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E：18.01.02</w:t>
            </w:r>
            <w:bookmarkEnd w:id="5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李京田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O：18.01.02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Q：18.01.02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E：18.01.02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远程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1"/>
                <w:szCs w:val="21"/>
              </w:rPr>
              <w:t>李雅静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1"/>
                <w:szCs w:val="21"/>
              </w:rPr>
              <w:t>冯雪峥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生产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工艺</w:t>
            </w:r>
            <w:r>
              <w:rPr>
                <w:rFonts w:hint="eastAsia" w:ascii="宋体" w:hAnsi="宋体"/>
                <w:sz w:val="24"/>
              </w:rPr>
              <w:t>流程：</w:t>
            </w:r>
          </w:p>
          <w:p>
            <w:pPr>
              <w:pStyle w:val="2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下料-剪切、折弯-气体保护焊接-机加工（车、钻）-装配-检验-成品-交付</w:t>
            </w:r>
          </w:p>
          <w:p>
            <w:pPr>
              <w:tabs>
                <w:tab w:val="left" w:pos="540"/>
              </w:tabs>
              <w:spacing w:line="300" w:lineRule="exact"/>
              <w:ind w:left="201" w:hanging="201" w:hangingChars="100"/>
              <w:rPr>
                <w:rFonts w:ascii="宋体" w:hAnsi="宋体"/>
                <w:b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0"/>
                <w:szCs w:val="20"/>
              </w:rPr>
              <w:t>其中关键过程有</w:t>
            </w:r>
            <w:r>
              <w:rPr>
                <w:rFonts w:hint="eastAsia" w:ascii="宋体" w:hAnsi="宋体"/>
                <w:b/>
                <w:color w:val="000000" w:themeColor="text1"/>
                <w:sz w:val="20"/>
                <w:szCs w:val="20"/>
                <w:u w:val="single"/>
              </w:rPr>
              <w:t xml:space="preserve">     焊接过程      </w:t>
            </w:r>
          </w:p>
          <w:p>
            <w:pPr>
              <w:tabs>
                <w:tab w:val="left" w:pos="540"/>
              </w:tabs>
              <w:spacing w:line="300" w:lineRule="exact"/>
              <w:ind w:left="201" w:hanging="201" w:hangingChars="100"/>
              <w:rPr>
                <w:rFonts w:ascii="宋体" w:hAnsi="宋体"/>
                <w:b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0"/>
                <w:szCs w:val="20"/>
              </w:rPr>
              <w:t xml:space="preserve">需要确认过程  </w:t>
            </w:r>
            <w:r>
              <w:rPr>
                <w:rFonts w:hint="eastAsia" w:ascii="宋体" w:hAnsi="宋体"/>
                <w:b/>
                <w:color w:val="000000" w:themeColor="text1"/>
                <w:sz w:val="20"/>
                <w:szCs w:val="20"/>
                <w:u w:val="single"/>
              </w:rPr>
              <w:t xml:space="preserve"> 焊接过程 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焊接：电流、电压、焊接速度，焊条焊剂的选用，使用保护气体时气体流量压力。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/>
              </w:rPr>
              <w:t>提供《</w:t>
            </w:r>
            <w:r>
              <w:rPr>
                <w:rFonts w:hint="eastAsia"/>
                <w:lang w:val="en-US" w:eastAsia="zh-CN"/>
              </w:rPr>
              <w:t>焊接</w:t>
            </w:r>
            <w:r>
              <w:rPr>
                <w:rFonts w:hint="eastAsia"/>
              </w:rPr>
              <w:t>过程确认记录表》，确认内容包括：</w:t>
            </w:r>
            <w:r>
              <w:rPr>
                <w:rFonts w:hint="eastAsia"/>
                <w:lang w:val="en-US" w:eastAsia="zh-CN"/>
              </w:rPr>
              <w:t>焊接</w:t>
            </w:r>
            <w:r>
              <w:rPr>
                <w:rFonts w:hint="eastAsia"/>
              </w:rPr>
              <w:t>方法和</w:t>
            </w:r>
            <w:r>
              <w:rPr>
                <w:rFonts w:hint="eastAsia"/>
                <w:lang w:val="en-US" w:eastAsia="zh-CN"/>
              </w:rPr>
              <w:t>工艺</w:t>
            </w:r>
            <w:r>
              <w:rPr>
                <w:rFonts w:hint="eastAsia"/>
              </w:rPr>
              <w:t>、设备工具的认可、人员资格的鉴定、记录要求等。评审结论：根据公司实际情况，</w:t>
            </w:r>
            <w:r>
              <w:rPr>
                <w:rFonts w:hint="eastAsia"/>
                <w:lang w:val="en-US" w:eastAsia="zh-CN"/>
              </w:rPr>
              <w:t>焊接过程</w:t>
            </w:r>
            <w:r>
              <w:rPr>
                <w:rFonts w:hint="eastAsia"/>
              </w:rPr>
              <w:t>按照公司质量控制管理制度进行，过程所用基础设施均处在完好状态，从业人员经过培训，胜任本职工作，可以提供满足顾客要求、法律法规要求的服务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szCs w:val="21"/>
              </w:rPr>
              <w:t>提供的“环境因素识别评价表”“重要环境因素清单”， 评价考虑了三种时态现在、过去、将来、三种状态、异常、正常、紧急考虑了法律法规，并进行了评价，针对</w:t>
            </w:r>
            <w:r>
              <w:rPr>
                <w:rFonts w:hint="eastAsia" w:ascii="宋体" w:hAnsi="宋体" w:cs="宋体"/>
                <w:kern w:val="0"/>
                <w:szCs w:val="21"/>
              </w:rPr>
              <w:t>服装机械设备及零配件的销售</w:t>
            </w:r>
            <w:r>
              <w:rPr>
                <w:rFonts w:hint="eastAsia"/>
                <w:szCs w:val="21"/>
              </w:rPr>
              <w:t>过程，用打分法考虑了法规符合性、发生频次、影响范围等, 通过定性判断法，共识别出重大环境因素4项：固废排放、火灾、废气、噪声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szCs w:val="21"/>
              </w:rPr>
              <w:t>提供的：“危险源识别与风险评价表”“不可接受风险源清单”， 评价考虑了将来、状态、可能导致的事件，并进行了评价，用打分法考虑了法规符合性、发生频次、影响范围等, 通过是非法，共识别出不可接受风险4项，涉及：火灾、触电、机械伤害、职业病，评价符合程序要求及公司的实际情况。对危险源的控制措施包括制定管理制度、监督检查、应急预案、培训等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pStyle w:val="2"/>
            </w:pPr>
            <w:r>
              <w:rPr>
                <w:rFonts w:hint="eastAsia"/>
              </w:rPr>
              <w:t>锅炉钢结构技术条件 NB/T50087-2013</w:t>
            </w:r>
          </w:p>
          <w:p>
            <w:pPr>
              <w:pStyle w:val="2"/>
            </w:pPr>
            <w:r>
              <w:rPr>
                <w:rFonts w:hint="eastAsia"/>
              </w:rPr>
              <w:t>TSG D0001-2009《压力管道安全技术监察规程-工业管道》</w:t>
            </w:r>
          </w:p>
          <w:p>
            <w:pPr>
              <w:pStyle w:val="2"/>
            </w:pPr>
            <w:r>
              <w:rPr>
                <w:rFonts w:hint="eastAsia"/>
              </w:rPr>
              <w:t>HG/T20592-20635-2009《钢制管法兰、垫片、紧固件》</w:t>
            </w:r>
          </w:p>
          <w:p>
            <w:pPr>
              <w:pStyle w:val="2"/>
            </w:pPr>
            <w:r>
              <w:rPr>
                <w:rFonts w:hint="eastAsia"/>
              </w:rPr>
              <w:t>SH/T3059-2012《石油化工管道设计器材选用规范》</w:t>
            </w:r>
          </w:p>
          <w:p>
            <w:pPr>
              <w:pStyle w:val="2"/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4"/>
                <w:szCs w:val="21"/>
                <w:lang w:val="en-US" w:eastAsia="zh-CN" w:bidi="ar-SA"/>
              </w:rPr>
              <w:t>《承压设备用碳素钢和合金钢锻件》NB/T47008-2010</w:t>
            </w:r>
          </w:p>
          <w:p>
            <w:pPr>
              <w:pStyle w:val="2"/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4"/>
                <w:szCs w:val="21"/>
                <w:lang w:val="en-US" w:eastAsia="zh-CN" w:bidi="ar-SA"/>
              </w:rPr>
              <w:t>GB50051-2013《烟囱设计规范》</w:t>
            </w:r>
          </w:p>
          <w:p>
            <w:pPr>
              <w:pStyle w:val="2"/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4"/>
                <w:szCs w:val="21"/>
                <w:lang w:val="en-US" w:eastAsia="zh-CN" w:bidi="ar-SA"/>
              </w:rPr>
              <w:t>SH/T3405-2017《石油化工钢管尺寸系列》</w:t>
            </w:r>
          </w:p>
          <w:p>
            <w:pPr>
              <w:pStyle w:val="2"/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4"/>
                <w:szCs w:val="21"/>
                <w:lang w:val="en-US" w:eastAsia="zh-CN" w:bidi="ar-SA"/>
              </w:rPr>
              <w:t>GB/T8163-2018《输送流体用无缝钢管》</w:t>
            </w:r>
          </w:p>
          <w:p>
            <w:pPr>
              <w:pStyle w:val="2"/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4"/>
                <w:szCs w:val="21"/>
                <w:lang w:val="en-US" w:eastAsia="zh-CN" w:bidi="ar-SA"/>
              </w:rPr>
              <w:t>电厂设备采购指南.第4-9部分:锅炉附件.吹灰机      EN 45510-4-9-1999</w:t>
            </w:r>
          </w:p>
          <w:p>
            <w:pPr>
              <w:pStyle w:val="2"/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4"/>
                <w:szCs w:val="21"/>
                <w:lang w:val="en-US" w:eastAsia="zh-CN" w:bidi="ar-SA"/>
              </w:rPr>
              <w:t>电厂设备采购指南.第4-8部分:锅炉附件.灰尘处理设备  EN 45510-4-8-1999</w:t>
            </w:r>
          </w:p>
          <w:p>
            <w:pPr>
              <w:pStyle w:val="2"/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4"/>
                <w:szCs w:val="21"/>
                <w:lang w:val="en-US" w:eastAsia="zh-CN" w:bidi="ar-SA"/>
              </w:rPr>
              <w:t>工业锅炉通用技术条件    JB/T10094-2002</w:t>
            </w:r>
          </w:p>
          <w:p>
            <w:pPr>
              <w:pStyle w:val="2"/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4"/>
                <w:szCs w:val="21"/>
                <w:lang w:val="en-US" w:eastAsia="zh-CN" w:bidi="ar-SA"/>
              </w:rPr>
              <w:t>锅炉钢结构技术条件 NB/T50087-2013</w:t>
            </w:r>
          </w:p>
          <w:p>
            <w:pPr>
              <w:pStyle w:val="2"/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4"/>
                <w:szCs w:val="21"/>
                <w:lang w:val="en-US" w:eastAsia="zh-CN" w:bidi="ar-SA"/>
              </w:rPr>
              <w:t>GB6077-1985 剪切机械安全操作规程</w:t>
            </w:r>
          </w:p>
          <w:p>
            <w:pPr>
              <w:pStyle w:val="2"/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4"/>
                <w:szCs w:val="21"/>
                <w:lang w:val="en-US" w:eastAsia="zh-CN" w:bidi="ar-SA"/>
              </w:rPr>
              <w:t>GB15578-2008 电阻焊机的安全要求</w:t>
            </w:r>
          </w:p>
          <w:p>
            <w:pPr>
              <w:pStyle w:val="2"/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4"/>
                <w:szCs w:val="21"/>
                <w:lang w:val="en-US" w:eastAsia="zh-CN" w:bidi="ar-SA"/>
              </w:rPr>
              <w:t>GB15579-2004 弧焊设备安全要求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4"/>
                <w:szCs w:val="21"/>
                <w:lang w:val="en-US" w:eastAsia="zh-CN" w:bidi="ar-SA"/>
              </w:rPr>
              <w:t xml:space="preserve">GB4674-2009 磨削机械安全规程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2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</w:tbl>
    <w:p>
      <w:pPr>
        <w:snapToGrid w:val="0"/>
        <w:rPr>
          <w:rFonts w:ascii="宋体"/>
          <w:b/>
          <w:spacing w:val="-6"/>
          <w:sz w:val="18"/>
          <w:szCs w:val="18"/>
        </w:rPr>
      </w:pP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18"/>
          <w:szCs w:val="18"/>
        </w:rPr>
        <w:t xml:space="preserve">： </w:t>
      </w:r>
      <w:r>
        <w:rPr>
          <w:rFonts w:hint="eastAsia" w:ascii="宋体"/>
          <w:b/>
          <w:sz w:val="18"/>
          <w:szCs w:val="18"/>
          <w:lang w:val="en-US" w:eastAsia="zh-CN"/>
        </w:rPr>
        <w:t>李京田</w:t>
      </w:r>
      <w:r>
        <w:rPr>
          <w:rFonts w:ascii="宋体"/>
          <w:b/>
          <w:sz w:val="18"/>
          <w:szCs w:val="18"/>
        </w:rPr>
        <w:t xml:space="preserve">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/>
          <w:b/>
          <w:sz w:val="22"/>
          <w:szCs w:val="22"/>
        </w:rPr>
        <w:t xml:space="preserve"> </w:t>
      </w:r>
      <w:r>
        <w:rPr>
          <w:rFonts w:hint="eastAsia" w:ascii="宋体"/>
          <w:b/>
          <w:sz w:val="22"/>
          <w:szCs w:val="22"/>
          <w:lang w:val="en-US" w:eastAsia="zh-CN"/>
        </w:rPr>
        <w:t>2021.1.18</w:t>
      </w:r>
      <w:r>
        <w:rPr>
          <w:rFonts w:ascii="宋体"/>
          <w:b/>
          <w:sz w:val="22"/>
          <w:szCs w:val="22"/>
        </w:rPr>
        <w:t xml:space="preserve">    </w:t>
      </w:r>
      <w:r>
        <w:rPr>
          <w:rFonts w:hint="eastAsia" w:ascii="宋体"/>
          <w:b/>
          <w:sz w:val="22"/>
          <w:szCs w:val="22"/>
        </w:rPr>
        <w:t>审核组长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hint="eastAsia" w:ascii="宋体"/>
          <w:b/>
          <w:sz w:val="18"/>
          <w:szCs w:val="18"/>
          <w:lang w:val="en-US" w:eastAsia="zh-CN"/>
        </w:rPr>
        <w:t>李京田</w:t>
      </w:r>
      <w:r>
        <w:rPr>
          <w:rFonts w:ascii="宋体"/>
          <w:b/>
          <w:sz w:val="18"/>
          <w:szCs w:val="18"/>
        </w:rPr>
        <w:t xml:space="preserve">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/>
          <w:b/>
          <w:sz w:val="22"/>
          <w:szCs w:val="22"/>
        </w:rPr>
        <w:t xml:space="preserve"> </w:t>
      </w:r>
      <w:r>
        <w:rPr>
          <w:rFonts w:hint="eastAsia" w:ascii="宋体"/>
          <w:b/>
          <w:sz w:val="22"/>
          <w:szCs w:val="22"/>
          <w:lang w:val="en-US" w:eastAsia="zh-CN"/>
        </w:rPr>
        <w:t>2021.1.18</w:t>
      </w:r>
      <w:r>
        <w:rPr>
          <w:rFonts w:ascii="宋体"/>
          <w:b/>
          <w:sz w:val="22"/>
          <w:szCs w:val="22"/>
        </w:rPr>
        <w:t xml:space="preserve">  </w:t>
      </w:r>
    </w:p>
    <w:p>
      <w:pPr>
        <w:snapToGrid w:val="0"/>
        <w:rPr>
          <w:rFonts w:hint="eastAsia" w:ascii="宋体"/>
          <w:b/>
          <w:spacing w:val="-6"/>
          <w:sz w:val="18"/>
          <w:szCs w:val="18"/>
        </w:rPr>
      </w:pPr>
    </w:p>
    <w:p>
      <w:pPr>
        <w:snapToGrid w:val="0"/>
        <w:rPr>
          <w:rFonts w:hint="eastAsia"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bookmarkStart w:id="6" w:name="_GoBack"/>
      <w:bookmarkEnd w:id="6"/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pict>
        <v:shape id="图片 24" o:spid="_x0000_s2049" o:spt="75" type="#_x0000_t75" style="position:absolute;left:0pt;margin-left:-0.05pt;margin-top:0.35pt;height:34.1pt;width:32.3pt;mso-wrap-distance-left:9pt;mso-wrap-distance-right:9pt;z-index:-251658240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jc w:val="left"/>
    </w:pPr>
    <w:r>
      <w:pict>
        <v:shape id="文本框 1" o:spid="_x0000_s2050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专业培训记录(03版)</w:t>
                </w:r>
              </w:p>
            </w:txbxContent>
          </v:textbox>
        </v:shape>
      </w:pict>
    </w:r>
    <w:r>
      <w:rPr>
        <w:rStyle w:val="11"/>
        <w:rFonts w:hint="default"/>
      </w:rPr>
      <w:t xml:space="preserve">        </w:t>
    </w:r>
    <w:r>
      <w:rPr>
        <w:rStyle w:val="11"/>
        <w:rFonts w:hint="default"/>
        <w:w w:val="90"/>
      </w:rPr>
      <w:t>Beijing International Standard united Certification Co.,Ltd.</w:t>
    </w:r>
    <w:r>
      <w:rPr>
        <w:rStyle w:val="11"/>
        <w:rFonts w:hint="default"/>
        <w:w w:val="90"/>
        <w:szCs w:val="21"/>
      </w:rPr>
      <w:t xml:space="preserve">  </w:t>
    </w:r>
    <w:r>
      <w:rPr>
        <w:rStyle w:val="11"/>
        <w:rFonts w:hint="default"/>
        <w:w w:val="90"/>
        <w:sz w:val="20"/>
      </w:rPr>
      <w:t xml:space="preserve"> </w:t>
    </w:r>
    <w:r>
      <w:rPr>
        <w:rStyle w:val="11"/>
        <w:rFonts w:hint="default"/>
        <w:w w:val="90"/>
      </w:rPr>
      <w:t xml:space="preserve">                   </w:t>
    </w:r>
  </w:p>
  <w:p>
    <w:pPr>
      <w:pStyle w:val="5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NotTrackMoves/>
  <w:documentProtection w:enforcement="0"/>
  <w:defaultTabStop w:val="420"/>
  <w:drawingGridHorizontalSpacing w:val="108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4F157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0" w:semiHidden="0" w:name="Table Grid" w:locked="1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字符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字符"/>
    <w:link w:val="5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link w:val="3"/>
    <w:semiHidden/>
    <w:uiPriority w:val="99"/>
    <w:rPr>
      <w:rFonts w:ascii="Times New Roman" w:hAnsi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46</Words>
  <Characters>267</Characters>
  <Lines>2</Lines>
  <Paragraphs>1</Paragraphs>
  <TotalTime>0</TotalTime>
  <ScaleCrop>false</ScaleCrop>
  <LinksUpToDate>false</LinksUpToDate>
  <CharactersWithSpaces>312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叶子</cp:lastModifiedBy>
  <dcterms:modified xsi:type="dcterms:W3CDTF">2021-01-18T13:20:45Z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