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宝鸡市红星凯瑞工贸有限公司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3"/>
          <w:rFonts w:ascii="楷体" w:hAnsi="楷体" w:eastAsia="楷体"/>
          <w:b/>
          <w:sz w:val="36"/>
          <w:szCs w:val="36"/>
        </w:rPr>
        <w:t>www.</w:t>
      </w:r>
      <w:r>
        <w:rPr>
          <w:rStyle w:val="13"/>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18.01.05</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59"/>
        <w:gridCol w:w="158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0C0C0C" w:themeColor="text1" w:themeTint="F2"/>
                <w:sz w:val="16"/>
                <w:szCs w:val="16"/>
              </w:rPr>
            </w:pPr>
            <w:r>
              <w:rPr>
                <w:rFonts w:hint="eastAsia" w:ascii="宋体" w:hAnsi="宋体"/>
                <w:b/>
                <w:color w:val="0C0C0C" w:themeColor="text1" w:themeTint="F2"/>
                <w:sz w:val="21"/>
              </w:rPr>
              <w:t>受审核方名称</w:t>
            </w:r>
          </w:p>
        </w:tc>
        <w:tc>
          <w:tcPr>
            <w:tcW w:w="4257" w:type="dxa"/>
            <w:gridSpan w:val="3"/>
            <w:vAlign w:val="center"/>
          </w:tcPr>
          <w:p>
            <w:pPr>
              <w:spacing w:line="260" w:lineRule="exact"/>
              <w:jc w:val="center"/>
              <w:rPr>
                <w:rFonts w:ascii="宋体"/>
                <w:b/>
                <w:color w:val="0C0C0C" w:themeColor="text1" w:themeTint="F2"/>
                <w:sz w:val="21"/>
              </w:rPr>
            </w:pPr>
            <w:bookmarkStart w:id="11" w:name="组织名称Add"/>
            <w:r>
              <w:rPr>
                <w:rFonts w:ascii="宋体"/>
                <w:b/>
                <w:color w:val="0C0C0C" w:themeColor="text1" w:themeTint="F2"/>
                <w:sz w:val="21"/>
              </w:rPr>
              <w:t>宝鸡市红星凯瑞工贸有限公司</w:t>
            </w:r>
            <w:bookmarkEnd w:id="11"/>
          </w:p>
        </w:tc>
        <w:tc>
          <w:tcPr>
            <w:tcW w:w="1580" w:type="dxa"/>
            <w:vAlign w:val="center"/>
          </w:tcPr>
          <w:p>
            <w:pPr>
              <w:spacing w:line="260" w:lineRule="exact"/>
              <w:jc w:val="center"/>
              <w:rPr>
                <w:rFonts w:ascii="宋体"/>
                <w:b/>
                <w:color w:val="0C0C0C" w:themeColor="text1" w:themeTint="F2"/>
                <w:sz w:val="21"/>
              </w:rPr>
            </w:pPr>
            <w:r>
              <w:rPr>
                <w:rFonts w:hint="eastAsia" w:ascii="宋体" w:hAnsi="宋体"/>
                <w:b/>
                <w:color w:val="0C0C0C" w:themeColor="text1" w:themeTint="F2"/>
                <w:sz w:val="21"/>
              </w:rPr>
              <w:t>组织人数及</w:t>
            </w:r>
          </w:p>
          <w:p>
            <w:pPr>
              <w:spacing w:line="200" w:lineRule="exact"/>
              <w:jc w:val="center"/>
              <w:rPr>
                <w:b/>
                <w:color w:val="0C0C0C" w:themeColor="text1" w:themeTint="F2"/>
                <w:spacing w:val="-20"/>
              </w:rPr>
            </w:pPr>
            <w:r>
              <w:rPr>
                <w:rFonts w:hint="eastAsia" w:ascii="宋体" w:hAnsi="宋体"/>
                <w:b/>
                <w:color w:val="0C0C0C" w:themeColor="text1" w:themeTint="F2"/>
                <w:sz w:val="21"/>
              </w:rPr>
              <w:t>变动情况核实</w:t>
            </w:r>
          </w:p>
        </w:tc>
        <w:tc>
          <w:tcPr>
            <w:tcW w:w="1751" w:type="dxa"/>
            <w:vAlign w:val="center"/>
          </w:tcPr>
          <w:p>
            <w:pPr>
              <w:spacing w:line="260" w:lineRule="exact"/>
              <w:jc w:val="center"/>
              <w:rPr>
                <w:rFonts w:hint="default" w:ascii="宋体" w:eastAsia="宋体"/>
                <w:b/>
                <w:color w:val="0C0C0C" w:themeColor="text1" w:themeTint="F2"/>
                <w:sz w:val="21"/>
                <w:lang w:val="en-US" w:eastAsia="zh-CN"/>
              </w:rPr>
            </w:pPr>
            <w:r>
              <w:rPr>
                <w:rFonts w:hint="eastAsia" w:ascii="宋体"/>
                <w:b/>
                <w:color w:val="0C0C0C" w:themeColor="text1" w:themeTint="F2"/>
                <w:sz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57" w:type="dxa"/>
            <w:gridSpan w:val="3"/>
          </w:tcPr>
          <w:p>
            <w:pPr>
              <w:rPr>
                <w:rFonts w:ascii="宋体"/>
                <w:b/>
                <w:sz w:val="21"/>
              </w:rPr>
            </w:pPr>
            <w:bookmarkStart w:id="12" w:name="注册地址"/>
            <w:r>
              <w:rPr>
                <w:rFonts w:ascii="宋体"/>
                <w:b/>
                <w:sz w:val="21"/>
              </w:rPr>
              <w:t>陕西省宝鸡市高新开发区钓渭镇红星村</w:t>
            </w:r>
            <w:bookmarkEnd w:id="12"/>
          </w:p>
        </w:tc>
        <w:tc>
          <w:tcPr>
            <w:tcW w:w="1580" w:type="dxa"/>
            <w:vMerge w:val="restart"/>
            <w:vAlign w:val="center"/>
          </w:tcPr>
          <w:p>
            <w:pPr>
              <w:jc w:val="center"/>
              <w:rPr>
                <w:rFonts w:ascii="宋体"/>
                <w:b/>
                <w:sz w:val="21"/>
              </w:rPr>
            </w:pPr>
            <w:r>
              <w:rPr>
                <w:rFonts w:hint="eastAsia" w:ascii="宋体" w:hAnsi="宋体"/>
                <w:b/>
                <w:sz w:val="21"/>
              </w:rPr>
              <w:t>邮编</w:t>
            </w:r>
          </w:p>
        </w:tc>
        <w:tc>
          <w:tcPr>
            <w:tcW w:w="1751" w:type="dxa"/>
          </w:tcPr>
          <w:p>
            <w:pPr>
              <w:rPr>
                <w:rFonts w:ascii="宋体"/>
                <w:b/>
                <w:sz w:val="21"/>
              </w:rPr>
            </w:pPr>
            <w:bookmarkStart w:id="13" w:name="注册邮编"/>
            <w:r>
              <w:rPr>
                <w:rFonts w:ascii="宋体"/>
                <w:b/>
                <w:sz w:val="21"/>
              </w:rPr>
              <w:t>710000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57" w:type="dxa"/>
            <w:gridSpan w:val="3"/>
          </w:tcPr>
          <w:p>
            <w:pPr>
              <w:rPr>
                <w:rFonts w:ascii="宋体"/>
                <w:b/>
                <w:sz w:val="21"/>
              </w:rPr>
            </w:pPr>
            <w:bookmarkStart w:id="14" w:name="办公地址"/>
            <w:r>
              <w:rPr>
                <w:rFonts w:ascii="宋体"/>
                <w:b/>
                <w:sz w:val="21"/>
              </w:rPr>
              <w:t>陕西省宝鸡市高新开发区钓渭镇红星村</w:t>
            </w:r>
            <w:bookmarkEnd w:id="14"/>
          </w:p>
        </w:tc>
        <w:tc>
          <w:tcPr>
            <w:tcW w:w="1580" w:type="dxa"/>
            <w:vMerge w:val="continue"/>
            <w:vAlign w:val="center"/>
          </w:tcPr>
          <w:p>
            <w:pPr>
              <w:jc w:val="center"/>
              <w:rPr>
                <w:rFonts w:ascii="宋体"/>
                <w:b/>
                <w:sz w:val="21"/>
              </w:rPr>
            </w:pPr>
          </w:p>
        </w:tc>
        <w:tc>
          <w:tcPr>
            <w:tcW w:w="1751" w:type="dxa"/>
          </w:tcPr>
          <w:p>
            <w:pPr>
              <w:rPr>
                <w:rFonts w:ascii="宋体"/>
                <w:b/>
                <w:sz w:val="21"/>
              </w:rPr>
            </w:pPr>
            <w:bookmarkStart w:id="15" w:name="办公邮编"/>
            <w:r>
              <w:rPr>
                <w:rFonts w:ascii="宋体"/>
                <w:b/>
                <w:sz w:val="21"/>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57" w:type="dxa"/>
            <w:gridSpan w:val="3"/>
          </w:tcPr>
          <w:p>
            <w:pPr>
              <w:rPr>
                <w:rFonts w:ascii="宋体"/>
                <w:b/>
                <w:sz w:val="21"/>
              </w:rPr>
            </w:pPr>
            <w:bookmarkStart w:id="16" w:name="生产地址Add"/>
            <w:r>
              <w:rPr>
                <w:rFonts w:ascii="宋体"/>
                <w:b/>
                <w:sz w:val="21"/>
              </w:rPr>
              <w:t>陕西省宝鸡市高新开发区钓渭镇红星村</w:t>
            </w:r>
            <w:bookmarkEnd w:id="16"/>
          </w:p>
        </w:tc>
        <w:tc>
          <w:tcPr>
            <w:tcW w:w="1580" w:type="dxa"/>
            <w:vMerge w:val="continue"/>
            <w:vAlign w:val="center"/>
          </w:tcPr>
          <w:p>
            <w:pPr>
              <w:jc w:val="center"/>
              <w:rPr>
                <w:rFonts w:ascii="宋体"/>
                <w:b/>
                <w:sz w:val="21"/>
              </w:rPr>
            </w:pPr>
          </w:p>
        </w:tc>
        <w:tc>
          <w:tcPr>
            <w:tcW w:w="1751" w:type="dxa"/>
          </w:tcPr>
          <w:p>
            <w:pPr>
              <w:rPr>
                <w:rFonts w:ascii="宋体"/>
                <w:b/>
                <w:sz w:val="21"/>
              </w:rPr>
            </w:pPr>
            <w:bookmarkStart w:id="17" w:name="生产邮编"/>
            <w:r>
              <w:rPr>
                <w:rFonts w:ascii="宋体"/>
                <w:b/>
                <w:sz w:val="21"/>
              </w:rPr>
              <w:t>710000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hint="default" w:ascii="宋体" w:eastAsia="宋体"/>
                <w:b/>
                <w:sz w:val="21"/>
                <w:lang w:val="en-US" w:eastAsia="zh-CN"/>
              </w:rPr>
            </w:pPr>
            <w:bookmarkStart w:id="18" w:name="联系人"/>
            <w:r>
              <w:rPr>
                <w:rFonts w:ascii="宋体"/>
                <w:b/>
                <w:sz w:val="21"/>
              </w:rPr>
              <w:t>杨</w:t>
            </w:r>
            <w:bookmarkEnd w:id="18"/>
            <w:r>
              <w:rPr>
                <w:rFonts w:hint="eastAsia" w:ascii="宋体"/>
                <w:b/>
                <w:sz w:val="21"/>
                <w:lang w:val="en-US" w:eastAsia="zh-CN"/>
              </w:rPr>
              <w:t>洛侠</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59" w:type="dxa"/>
            <w:vAlign w:val="center"/>
          </w:tcPr>
          <w:p>
            <w:pPr>
              <w:jc w:val="center"/>
              <w:rPr>
                <w:rFonts w:ascii="宋体"/>
                <w:b/>
                <w:sz w:val="21"/>
              </w:rPr>
            </w:pPr>
            <w:bookmarkStart w:id="19" w:name="联系人电话Add"/>
            <w:r>
              <w:rPr>
                <w:rFonts w:ascii="宋体"/>
                <w:b/>
                <w:sz w:val="21"/>
              </w:rPr>
              <w:t>13309173931</w:t>
            </w:r>
            <w:bookmarkEnd w:id="19"/>
          </w:p>
        </w:tc>
        <w:tc>
          <w:tcPr>
            <w:tcW w:w="1580" w:type="dxa"/>
            <w:vAlign w:val="center"/>
          </w:tcPr>
          <w:p>
            <w:pPr>
              <w:jc w:val="center"/>
              <w:rPr>
                <w:rFonts w:ascii="宋体"/>
                <w:b/>
                <w:sz w:val="21"/>
              </w:rPr>
            </w:pPr>
            <w:r>
              <w:rPr>
                <w:rFonts w:hint="eastAsia" w:ascii="宋体" w:hAnsi="宋体"/>
                <w:b/>
                <w:sz w:val="21"/>
              </w:rPr>
              <w:t>传真</w:t>
            </w:r>
          </w:p>
        </w:tc>
        <w:tc>
          <w:tcPr>
            <w:tcW w:w="1751" w:type="dxa"/>
            <w:vAlign w:val="center"/>
          </w:tcPr>
          <w:p>
            <w:pPr>
              <w:jc w:val="cente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1" w:name="法人"/>
            <w:r>
              <w:rPr>
                <w:rFonts w:ascii="宋体" w:hAnsi="宋体"/>
                <w:b/>
                <w:sz w:val="21"/>
                <w:szCs w:val="21"/>
              </w:rPr>
              <w:t>郭瑞波</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59" w:type="dxa"/>
            <w:vAlign w:val="center"/>
          </w:tcPr>
          <w:p>
            <w:pPr>
              <w:jc w:val="center"/>
              <w:rPr>
                <w:rFonts w:ascii="宋体" w:hAnsi="宋体"/>
                <w:b/>
                <w:sz w:val="21"/>
                <w:szCs w:val="21"/>
              </w:rPr>
            </w:pPr>
          </w:p>
        </w:tc>
        <w:tc>
          <w:tcPr>
            <w:tcW w:w="1580" w:type="dxa"/>
            <w:vAlign w:val="center"/>
          </w:tcPr>
          <w:p>
            <w:pPr>
              <w:jc w:val="center"/>
              <w:rPr>
                <w:rFonts w:ascii="宋体" w:hAnsi="宋体"/>
                <w:b/>
                <w:sz w:val="21"/>
                <w:szCs w:val="21"/>
              </w:rPr>
            </w:pPr>
            <w:r>
              <w:rPr>
                <w:rFonts w:hint="eastAsia" w:ascii="宋体" w:hAnsi="宋体"/>
                <w:b/>
                <w:sz w:val="21"/>
                <w:szCs w:val="21"/>
              </w:rPr>
              <w:t>管理者代表</w:t>
            </w:r>
          </w:p>
        </w:tc>
        <w:tc>
          <w:tcPr>
            <w:tcW w:w="1751" w:type="dxa"/>
            <w:vAlign w:val="center"/>
          </w:tcPr>
          <w:p>
            <w:pPr>
              <w:jc w:val="center"/>
              <w:rPr>
                <w:rFonts w:ascii="宋体"/>
                <w:b/>
                <w:sz w:val="21"/>
              </w:rPr>
            </w:pPr>
            <w:r>
              <w:rPr>
                <w:rFonts w:ascii="宋体"/>
                <w:b/>
                <w:sz w:val="21"/>
              </w:rPr>
              <w:t>杨</w:t>
            </w:r>
            <w:r>
              <w:rPr>
                <w:rFonts w:hint="eastAsia" w:ascii="宋体"/>
                <w:b/>
                <w:sz w:val="21"/>
                <w:lang w:val="en-US" w:eastAsia="zh-CN"/>
              </w:rPr>
              <w:t>洛侠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2020年12月14日 上午至2020年12月15日 上午</w:t>
            </w:r>
            <w:bookmarkEnd w:id="22"/>
          </w:p>
        </w:tc>
        <w:tc>
          <w:tcPr>
            <w:tcW w:w="1459" w:type="dxa"/>
            <w:vAlign w:val="center"/>
          </w:tcPr>
          <w:p>
            <w:pPr>
              <w:rPr>
                <w:rFonts w:ascii="宋体" w:hAnsi="宋体"/>
                <w:b/>
                <w:sz w:val="21"/>
                <w:szCs w:val="21"/>
              </w:rPr>
            </w:pPr>
            <w:r>
              <w:rPr>
                <w:rFonts w:hint="eastAsia" w:ascii="宋体" w:hAnsi="宋体"/>
                <w:b/>
                <w:sz w:val="21"/>
                <w:szCs w:val="21"/>
              </w:rPr>
              <w:t>一体化审核</w:t>
            </w:r>
          </w:p>
        </w:tc>
        <w:tc>
          <w:tcPr>
            <w:tcW w:w="333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rFonts w:ascii="宋体" w:hAnsi="宋体"/>
                <w:b/>
                <w:color w:val="000000" w:themeColor="text1"/>
                <w:sz w:val="20"/>
                <w:szCs w:val="20"/>
              </w:rPr>
              <w:t>J80、J90系列汽车变速器齿轮的生产</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8" w:name="专业代码"/>
            <w:r>
              <w:rPr>
                <w:rFonts w:ascii="宋体" w:hAnsi="宋体"/>
                <w:b/>
                <w:sz w:val="21"/>
                <w:szCs w:val="21"/>
              </w:rPr>
              <w:t>18.01.05</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59" w:type="dxa"/>
            <w:vAlign w:val="center"/>
          </w:tcPr>
          <w:p>
            <w:pPr>
              <w:spacing w:line="260" w:lineRule="exact"/>
              <w:jc w:val="center"/>
              <w:rPr>
                <w:rFonts w:ascii="宋体" w:hAnsi="宋体"/>
                <w:b/>
                <w:sz w:val="21"/>
                <w:szCs w:val="21"/>
              </w:rPr>
            </w:pPr>
          </w:p>
        </w:tc>
        <w:tc>
          <w:tcPr>
            <w:tcW w:w="158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51" w:type="dxa"/>
            <w:vAlign w:val="center"/>
          </w:tcPr>
          <w:p>
            <w:pPr>
              <w:spacing w:line="260" w:lineRule="exact"/>
              <w:jc w:val="center"/>
              <w:rPr>
                <w:rFonts w:hint="eastAsia" w:ascii="宋体" w:eastAsia="宋体"/>
                <w:b/>
                <w:sz w:val="21"/>
                <w:lang w:eastAsia="zh-CN"/>
              </w:rPr>
            </w:pPr>
            <w:r>
              <w:rPr>
                <w:rFonts w:hint="eastAsia" w:ascii="宋体"/>
                <w:b/>
                <w:sz w:val="21"/>
              </w:rPr>
              <w:t>2019</w:t>
            </w:r>
            <w:r>
              <w:rPr>
                <w:rFonts w:hint="eastAsia" w:ascii="宋体"/>
                <w:b/>
                <w:sz w:val="21"/>
                <w:lang w:eastAsia="zh-CN"/>
              </w:rPr>
              <w:t>.</w:t>
            </w:r>
            <w:r>
              <w:rPr>
                <w:rFonts w:hint="eastAsia" w:ascii="宋体"/>
                <w:b/>
                <w:sz w:val="21"/>
              </w:rPr>
              <w:t>12</w:t>
            </w:r>
            <w:r>
              <w:rPr>
                <w:rFonts w:hint="eastAsia" w:ascii="宋体"/>
                <w:b/>
                <w:sz w:val="21"/>
                <w:lang w:eastAsia="zh-CN"/>
              </w:rPr>
              <w:t>.</w:t>
            </w:r>
            <w:r>
              <w:rPr>
                <w:rFonts w:hint="eastAsia" w:ascii="宋体"/>
                <w:b/>
                <w:sz w:val="21"/>
              </w:rPr>
              <w:t>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公司成立于20014年5月，座落在陕西省宝鸡市高新开发区钓渭镇红星村，是一家专业从事J80、J90系列汽车变速器齿轮的生产的民营企业，企业类型为有限责任公司，法定代表人郭瑞波。</w:t>
            </w:r>
          </w:p>
          <w:p>
            <w:pPr>
              <w:spacing w:line="360" w:lineRule="auto"/>
              <w:rPr>
                <w:rFonts w:hint="eastAsia" w:ascii="宋体" w:hAnsi="宋体"/>
                <w:b w:val="0"/>
                <w:bCs/>
                <w:sz w:val="21"/>
                <w:szCs w:val="21"/>
              </w:rPr>
            </w:pPr>
            <w:r>
              <w:rPr>
                <w:rFonts w:hint="eastAsia" w:ascii="宋体" w:hAnsi="宋体"/>
                <w:b w:val="0"/>
                <w:bCs/>
                <w:sz w:val="21"/>
                <w:szCs w:val="21"/>
              </w:rPr>
              <w:t>公司现有员工96人，下设办公室、销售部、技术质量部、生产部，拥有完整的生产、检测、营销、售后网络。</w:t>
            </w:r>
          </w:p>
          <w:p>
            <w:pPr>
              <w:spacing w:line="360" w:lineRule="auto"/>
              <w:rPr>
                <w:rFonts w:hint="eastAsia" w:ascii="宋体" w:hAnsi="宋体"/>
                <w:b w:val="0"/>
                <w:bCs/>
                <w:sz w:val="21"/>
                <w:szCs w:val="21"/>
              </w:rPr>
            </w:pPr>
            <w:r>
              <w:rPr>
                <w:rFonts w:hint="eastAsia" w:ascii="宋体" w:hAnsi="宋体"/>
                <w:b w:val="0"/>
                <w:bCs/>
                <w:sz w:val="21"/>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rFonts w:ascii="宋体" w:hAnsi="宋体"/>
                <w:b/>
                <w:sz w:val="21"/>
                <w:szCs w:val="21"/>
              </w:rPr>
            </w:pPr>
            <w:r>
              <w:rPr>
                <w:rFonts w:hint="eastAsia" w:ascii="宋体" w:hAnsi="宋体"/>
                <w:b w:val="0"/>
                <w:bCs/>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在公司运营过程中充分考虑相关方方面的期望或要求，已识别公司的相关方涉及到顾客、最终用户、业主、股东、银行、外部供应商、员工、法律法规监管机构等。</w:t>
            </w:r>
          </w:p>
          <w:p>
            <w:pPr>
              <w:spacing w:line="360" w:lineRule="auto"/>
              <w:rPr>
                <w:rFonts w:hint="eastAsia" w:ascii="宋体" w:hAnsi="宋体"/>
                <w:b w:val="0"/>
                <w:bCs/>
                <w:sz w:val="21"/>
                <w:szCs w:val="21"/>
              </w:rPr>
            </w:pPr>
            <w:r>
              <w:rPr>
                <w:rFonts w:hint="eastAsia" w:ascii="宋体" w:hAnsi="宋体"/>
                <w:b w:val="0"/>
                <w:bCs/>
                <w:sz w:val="21"/>
                <w:szCs w:val="21"/>
              </w:rPr>
              <w:t>采购、销售和相关职能部门通过日常例会、市场活动、现场拜访、产品展销会、客户调查等多种渠道和方式方法随时了解相关方的需求和期望。做为公司经营风险分析和发展机遇的可利用资源。</w:t>
            </w:r>
          </w:p>
          <w:p>
            <w:pPr>
              <w:spacing w:line="360" w:lineRule="auto"/>
              <w:rPr>
                <w:rFonts w:hint="eastAsia" w:ascii="宋体" w:hAnsi="宋体"/>
                <w:b w:val="0"/>
                <w:bCs/>
                <w:sz w:val="21"/>
                <w:szCs w:val="21"/>
              </w:rPr>
            </w:pPr>
            <w:r>
              <w:rPr>
                <w:rFonts w:hint="eastAsia" w:ascii="宋体" w:hAnsi="宋体"/>
                <w:b w:val="0"/>
                <w:bCs/>
                <w:sz w:val="21"/>
                <w:szCs w:val="21"/>
              </w:rPr>
              <w:t>与公司高管交流，内外部相关方需求分析到位。口头交流。</w:t>
            </w:r>
          </w:p>
          <w:p>
            <w:pPr>
              <w:spacing w:line="360" w:lineRule="auto"/>
              <w:rPr>
                <w:rFonts w:ascii="宋体" w:hAnsi="宋体"/>
                <w:b/>
                <w:sz w:val="21"/>
                <w:szCs w:val="21"/>
              </w:rPr>
            </w:pPr>
            <w:r>
              <w:rPr>
                <w:rFonts w:hint="eastAsia" w:ascii="宋体" w:hAnsi="宋体"/>
                <w:b w:val="0"/>
                <w:bCs/>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公司的环境方针是：</w:t>
            </w:r>
          </w:p>
          <w:p>
            <w:pPr>
              <w:spacing w:line="360" w:lineRule="auto"/>
              <w:rPr>
                <w:rFonts w:hint="eastAsia" w:ascii="宋体" w:hAnsi="宋体"/>
                <w:b w:val="0"/>
                <w:bCs/>
                <w:sz w:val="21"/>
                <w:szCs w:val="21"/>
              </w:rPr>
            </w:pPr>
            <w:r>
              <w:rPr>
                <w:rFonts w:hint="eastAsia" w:ascii="宋体" w:hAnsi="宋体"/>
                <w:b w:val="0"/>
                <w:bCs/>
                <w:sz w:val="21"/>
                <w:szCs w:val="21"/>
              </w:rPr>
              <w:t>清洁生产  节能减排  保护环境  持续改进</w:t>
            </w:r>
          </w:p>
          <w:p>
            <w:pPr>
              <w:spacing w:line="360" w:lineRule="auto"/>
              <w:rPr>
                <w:rFonts w:ascii="宋体" w:hAnsi="宋体"/>
                <w:b/>
                <w:sz w:val="21"/>
                <w:szCs w:val="21"/>
              </w:rPr>
            </w:pPr>
            <w:r>
              <w:rPr>
                <w:rFonts w:hint="eastAsia" w:ascii="宋体" w:hAnsi="宋体"/>
                <w:b w:val="0"/>
                <w:bCs/>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jc w:val="left"/>
              <w:rPr>
                <w:rFonts w:hint="eastAsia" w:ascii="宋体" w:hAnsi="宋体"/>
                <w:b/>
                <w:sz w:val="21"/>
                <w:szCs w:val="21"/>
              </w:rPr>
            </w:pPr>
            <w:r>
              <w:rPr>
                <w:rFonts w:hint="eastAsia" w:ascii="宋体" w:hAnsi="宋体"/>
                <w:b/>
                <w:sz w:val="21"/>
                <w:szCs w:val="21"/>
              </w:rPr>
              <w:t>风险识别与控制策划</w:t>
            </w:r>
          </w:p>
          <w:p>
            <w:pPr>
              <w:spacing w:line="360" w:lineRule="auto"/>
              <w:jc w:val="left"/>
              <w:rPr>
                <w:rFonts w:hint="eastAsia" w:ascii="宋体" w:hAnsi="宋体"/>
                <w:b w:val="0"/>
                <w:bCs/>
                <w:sz w:val="21"/>
                <w:szCs w:val="21"/>
              </w:rPr>
            </w:pPr>
            <w:r>
              <w:rPr>
                <w:rFonts w:hint="eastAsia" w:ascii="宋体" w:hAnsi="宋体"/>
                <w:b w:val="0"/>
                <w:bCs/>
                <w:sz w:val="21"/>
                <w:szCs w:val="21"/>
              </w:rPr>
              <w:t>提供“风险与机遇评价与应对策划表”，按照生产、销售服务、采购、支持过程/部门对风险和机遇进行了评价识别，并制定应对措施。</w:t>
            </w:r>
          </w:p>
          <w:p>
            <w:pPr>
              <w:spacing w:line="360" w:lineRule="auto"/>
              <w:jc w:val="left"/>
              <w:rPr>
                <w:rFonts w:ascii="宋体" w:hAnsi="宋体"/>
                <w:b/>
                <w:sz w:val="21"/>
                <w:szCs w:val="21"/>
              </w:rPr>
            </w:pPr>
            <w:r>
              <w:rPr>
                <w:rFonts w:hint="eastAsia" w:ascii="宋体" w:hAnsi="宋体"/>
                <w:b w:val="0"/>
                <w:bCs/>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识别了办公、生产、采购、销售、质检等过程的环境因素，动态更新，评价出的重要环境因素包括：固体废弃物排放、废气排放、资源消耗、电能消耗。</w:t>
            </w:r>
          </w:p>
          <w:p>
            <w:pPr>
              <w:spacing w:line="360" w:lineRule="auto"/>
              <w:rPr>
                <w:rFonts w:hint="eastAsia" w:ascii="宋体" w:hAnsi="宋体"/>
                <w:b w:val="0"/>
                <w:bCs/>
                <w:sz w:val="21"/>
                <w:szCs w:val="21"/>
              </w:rPr>
            </w:pPr>
            <w:r>
              <w:rPr>
                <w:rFonts w:hint="eastAsia" w:ascii="宋体" w:hAnsi="宋体"/>
                <w:b w:val="0"/>
                <w:bCs/>
                <w:sz w:val="21"/>
                <w:szCs w:val="21"/>
              </w:rPr>
              <w:t>在采购、销售、生产、质检、仓储、运输、交付、日常办公等过程能使用生命周期观点和方法识别环境因素并加以管理。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8"/>
              <w:numPr>
                <w:ilvl w:val="0"/>
                <w:numId w:val="3"/>
              </w:numPr>
              <w:tabs>
                <w:tab w:val="left" w:pos="540"/>
              </w:tabs>
              <w:spacing w:line="360" w:lineRule="auto"/>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pStyle w:val="18"/>
              <w:numPr>
                <w:ilvl w:val="0"/>
                <w:numId w:val="0"/>
              </w:numPr>
              <w:tabs>
                <w:tab w:val="left" w:pos="540"/>
              </w:tabs>
              <w:spacing w:line="360" w:lineRule="auto"/>
              <w:rPr>
                <w:rFonts w:ascii="宋体"/>
                <w:b/>
                <w:color w:val="000000"/>
                <w:szCs w:val="21"/>
              </w:rPr>
            </w:pPr>
            <w:r>
              <w:rPr>
                <w:rFonts w:hint="eastAsia" w:ascii="宋体" w:hAnsi="宋体"/>
                <w:b/>
                <w:color w:val="000000"/>
                <w:szCs w:val="21"/>
                <w:lang w:eastAsia="zh-CN"/>
              </w:rPr>
              <w:t>（</w:t>
            </w:r>
            <w:r>
              <w:rPr>
                <w:rFonts w:hint="eastAsia" w:ascii="宋体" w:hAnsi="宋体"/>
                <w:b/>
                <w:color w:val="000000"/>
                <w:szCs w:val="21"/>
                <w:lang w:val="en-US" w:eastAsia="zh-CN"/>
              </w:rPr>
              <w:t>2</w:t>
            </w:r>
            <w:r>
              <w:rPr>
                <w:rFonts w:hint="eastAsia" w:ascii="宋体" w:hAnsi="宋体"/>
                <w:b/>
                <w:color w:val="000000"/>
                <w:szCs w:val="21"/>
                <w:lang w:eastAsia="zh-CN"/>
              </w:rPr>
              <w:t>）</w:t>
            </w: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360" w:lineRule="auto"/>
              <w:rPr>
                <w:rFonts w:hint="eastAsia"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法律法规的宣传方式：</w:t>
            </w:r>
            <w:r>
              <w:rPr>
                <w:rFonts w:hint="eastAsia" w:ascii="宋体" w:hAnsi="宋体" w:cs="宋体"/>
                <w:sz w:val="21"/>
                <w:szCs w:val="21"/>
              </w:rPr>
              <w:t>通过培训、开会、发文件等形式将法律法规要求传达给了员工和相关方。</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Times New Roman"/>
                <w:b/>
                <w:color w:val="000000"/>
                <w:kern w:val="2"/>
                <w:sz w:val="21"/>
                <w:szCs w:val="21"/>
                <w:lang w:val="en-US" w:eastAsia="zh-CN" w:bidi="ar-SA"/>
              </w:rPr>
              <w:t>法律法规要求及时更新了：是</w:t>
            </w:r>
          </w:p>
          <w:p>
            <w:pPr>
              <w:spacing w:line="360" w:lineRule="auto"/>
              <w:rPr>
                <w:rFonts w:hint="default" w:ascii="宋体" w:hAnsi="宋体"/>
                <w:b/>
                <w:sz w:val="21"/>
                <w:szCs w:val="21"/>
                <w:lang w:val="en-US"/>
              </w:rPr>
            </w:pPr>
            <w:r>
              <w:rPr>
                <w:rFonts w:hint="eastAsia" w:ascii="宋体" w:hAnsi="宋体" w:eastAsia="宋体" w:cs="Times New Roman"/>
                <w:b w:val="0"/>
                <w:bCs/>
                <w:color w:val="000000"/>
                <w:kern w:val="2"/>
                <w:sz w:val="21"/>
                <w:szCs w:val="21"/>
                <w:lang w:val="en-US" w:eastAsia="zh-CN" w:bidi="ar-SA"/>
              </w:rPr>
              <w:t>查办公室提供的《环境法律法规标准要求清单》中收录的“中华人民共和国固体废物污染环境防治法”为过期失效版本</w:t>
            </w:r>
            <w:r>
              <w:rPr>
                <w:rFonts w:hint="eastAsia" w:ascii="宋体" w:hAnsi="宋体" w:cs="Times New Roman"/>
                <w:b w:val="0"/>
                <w:bCs/>
                <w:color w:val="000000"/>
                <w:kern w:val="2"/>
                <w:sz w:val="21"/>
                <w:szCs w:val="21"/>
                <w:lang w:val="en-US" w:eastAsia="zh-CN" w:bidi="ar-SA"/>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hint="eastAsia" w:ascii="宋体" w:hAnsi="宋体"/>
                <w:b w:val="0"/>
                <w:bCs/>
                <w:sz w:val="21"/>
                <w:szCs w:val="21"/>
              </w:rPr>
            </w:pPr>
            <w:r>
              <w:rPr>
                <w:rFonts w:hint="eastAsia" w:ascii="宋体" w:hAnsi="宋体"/>
                <w:b w:val="0"/>
                <w:bCs/>
                <w:sz w:val="21"/>
                <w:szCs w:val="21"/>
              </w:rPr>
              <w:t>总经理负责组织制定公司的管理目标，并在公司各部门进行分解，制定时考虑了公司的过程及其风险和机遇。</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环境目标：</w:t>
            </w:r>
            <w:r>
              <w:rPr>
                <w:rFonts w:hint="eastAsia" w:ascii="宋体" w:hAnsi="宋体"/>
                <w:b w:val="0"/>
                <w:bCs/>
                <w:sz w:val="21"/>
                <w:szCs w:val="21"/>
              </w:rPr>
              <w:t>重大环境污染事故为零；</w:t>
            </w:r>
          </w:p>
          <w:p>
            <w:pPr>
              <w:spacing w:line="360" w:lineRule="auto"/>
              <w:ind w:firstLine="1050" w:firstLineChars="500"/>
              <w:rPr>
                <w:rFonts w:hint="eastAsia" w:ascii="宋体" w:hAnsi="宋体"/>
                <w:b w:val="0"/>
                <w:bCs/>
                <w:sz w:val="21"/>
                <w:szCs w:val="21"/>
              </w:rPr>
            </w:pPr>
            <w:r>
              <w:rPr>
                <w:rFonts w:hint="eastAsia" w:ascii="宋体" w:hAnsi="宋体"/>
                <w:b w:val="0"/>
                <w:bCs/>
                <w:sz w:val="21"/>
                <w:szCs w:val="21"/>
              </w:rPr>
              <w:t>火灾事故为零；</w:t>
            </w:r>
          </w:p>
          <w:p>
            <w:pPr>
              <w:spacing w:line="360" w:lineRule="auto"/>
              <w:ind w:firstLine="1050" w:firstLineChars="500"/>
              <w:rPr>
                <w:rFonts w:hint="eastAsia" w:ascii="宋体" w:hAnsi="宋体"/>
                <w:b w:val="0"/>
                <w:bCs/>
                <w:sz w:val="21"/>
                <w:szCs w:val="21"/>
              </w:rPr>
            </w:pPr>
            <w:r>
              <w:rPr>
                <w:rFonts w:hint="eastAsia" w:ascii="宋体" w:hAnsi="宋体"/>
                <w:b w:val="0"/>
                <w:bCs/>
                <w:sz w:val="21"/>
                <w:szCs w:val="21"/>
              </w:rPr>
              <w:t>环境影响投诉次数为零0；</w:t>
            </w:r>
          </w:p>
          <w:p>
            <w:pPr>
              <w:spacing w:line="360" w:lineRule="auto"/>
              <w:ind w:firstLine="1050" w:firstLineChars="500"/>
              <w:rPr>
                <w:rFonts w:hint="eastAsia" w:ascii="宋体" w:hAnsi="宋体"/>
                <w:b w:val="0"/>
                <w:bCs/>
                <w:sz w:val="21"/>
                <w:szCs w:val="21"/>
              </w:rPr>
            </w:pPr>
            <w:r>
              <w:rPr>
                <w:rFonts w:hint="eastAsia" w:ascii="宋体" w:hAnsi="宋体"/>
                <w:b w:val="0"/>
                <w:bCs/>
                <w:sz w:val="21"/>
                <w:szCs w:val="21"/>
              </w:rPr>
              <w:t>固体废弃物分类处理率为100%；</w:t>
            </w:r>
          </w:p>
          <w:p>
            <w:pPr>
              <w:spacing w:line="360" w:lineRule="auto"/>
              <w:rPr>
                <w:rFonts w:ascii="宋体" w:hAnsi="宋体"/>
                <w:b/>
                <w:sz w:val="21"/>
                <w:szCs w:val="21"/>
              </w:rPr>
            </w:pPr>
            <w:r>
              <w:rPr>
                <w:rFonts w:hint="eastAsia" w:ascii="宋体" w:hAnsi="宋体"/>
                <w:b w:val="0"/>
                <w:bCs/>
                <w:sz w:val="21"/>
                <w:szCs w:val="21"/>
              </w:rPr>
              <w:t>提供《目标指标和管理方案》《目标指标和管理方案考核表》以上目标指标均已完成，管理方案规定了措施方法、完成时间表、责任人、资金等情况。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受审核方建立的管理体系文件包括：</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 xml:space="preserve">1.管理手册ES/HXKR-2019 A /0版，发布时间：2019.5.1     实施时间：2019.5.1  </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2.程序文件，含19个文件，包括标准要求的形成文件的信息。</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3.管理制度汇编</w:t>
            </w:r>
            <w:r>
              <w:rPr>
                <w:rFonts w:hint="eastAsia" w:ascii="宋体" w:hAnsi="宋体"/>
                <w:b w:val="0"/>
                <w:bCs/>
                <w:sz w:val="21"/>
                <w:szCs w:val="21"/>
                <w:lang w:eastAsia="zh-CN"/>
              </w:rPr>
              <w:t>：</w:t>
            </w:r>
            <w:r>
              <w:rPr>
                <w:rFonts w:hint="eastAsia" w:ascii="宋体" w:hAnsi="宋体"/>
                <w:b w:val="0"/>
                <w:bCs/>
                <w:sz w:val="21"/>
                <w:szCs w:val="21"/>
              </w:rPr>
              <w:t>包括管理制度、合同管理制定、作业指导书等。</w:t>
            </w:r>
          </w:p>
          <w:p>
            <w:pPr>
              <w:tabs>
                <w:tab w:val="left" w:pos="540"/>
              </w:tabs>
              <w:spacing w:line="360" w:lineRule="auto"/>
              <w:rPr>
                <w:rFonts w:hint="eastAsia" w:ascii="宋体" w:hAnsi="宋体"/>
                <w:b w:val="0"/>
                <w:bCs/>
                <w:sz w:val="21"/>
                <w:szCs w:val="21"/>
              </w:rPr>
            </w:pPr>
            <w:r>
              <w:rPr>
                <w:rFonts w:hint="eastAsia" w:ascii="宋体" w:hAnsi="宋体"/>
                <w:b w:val="0"/>
                <w:bCs/>
                <w:sz w:val="21"/>
                <w:szCs w:val="21"/>
              </w:rPr>
              <w:t>4.体系运行所需要的文件和记录</w:t>
            </w:r>
          </w:p>
          <w:p>
            <w:pPr>
              <w:tabs>
                <w:tab w:val="left" w:pos="540"/>
              </w:tabs>
              <w:spacing w:line="360" w:lineRule="auto"/>
              <w:rPr>
                <w:rFonts w:hint="default" w:ascii="宋体" w:hAnsi="宋体" w:eastAsia="宋体"/>
                <w:b/>
                <w:sz w:val="21"/>
                <w:szCs w:val="21"/>
                <w:lang w:val="en-US" w:eastAsia="zh-CN"/>
              </w:rPr>
            </w:pPr>
            <w:r>
              <w:rPr>
                <w:rFonts w:hint="eastAsia" w:ascii="宋体" w:hAnsi="宋体" w:cs="Times New Roman"/>
                <w:b w:val="0"/>
                <w:bCs/>
                <w:sz w:val="21"/>
                <w:szCs w:val="21"/>
                <w:lang w:val="en-US" w:eastAsia="zh-CN"/>
              </w:rPr>
              <w:t>体系运行一年多体系文件未修改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生产、技术、检验、销售服务人员上岗前经过岗前培训，人员均经过专业培训。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hint="eastAsia" w:ascii="宋体" w:hAnsi="宋体" w:eastAsia="宋体"/>
                <w:b/>
                <w:sz w:val="21"/>
                <w:szCs w:val="21"/>
                <w:lang w:eastAsia="zh-CN"/>
              </w:rPr>
            </w:pPr>
            <w:r>
              <w:rPr>
                <w:rFonts w:hint="eastAsia" w:ascii="宋体" w:hAnsi="宋体"/>
                <w:b w:val="0"/>
                <w:bCs/>
                <w:sz w:val="21"/>
                <w:szCs w:val="21"/>
              </w:rPr>
              <w:t>圆盘锯、中频炉、螺旋压力机、冲床、正火炉、抛丸机、粗车数控机床、数控圆车、叉车等</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w:t>
            </w:r>
            <w:r>
              <w:rPr>
                <w:rFonts w:hint="eastAsia" w:eastAsia="宋体" w:cs="宋体"/>
                <w:color w:val="auto"/>
                <w:kern w:val="2"/>
                <w:sz w:val="21"/>
                <w:szCs w:val="21"/>
                <w:lang w:val="en-US" w:eastAsia="zh-CN"/>
              </w:rPr>
              <w:t>生产</w:t>
            </w:r>
            <w:r>
              <w:rPr>
                <w:rFonts w:hint="eastAsia" w:eastAsia="宋体" w:cs="宋体"/>
                <w:color w:val="auto"/>
                <w:kern w:val="2"/>
                <w:sz w:val="21"/>
                <w:szCs w:val="21"/>
              </w:rPr>
              <w:t>需要，无特殊环境要求。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Cs/>
                <w:sz w:val="20"/>
                <w:szCs w:val="20"/>
                <w:lang w:val="en-US" w:eastAsia="zh-CN"/>
              </w:rPr>
              <w:t>内径千分</w:t>
            </w:r>
            <w:r>
              <w:rPr>
                <w:rFonts w:hint="eastAsia" w:ascii="宋体" w:hAnsi="宋体"/>
                <w:bCs/>
                <w:sz w:val="20"/>
                <w:szCs w:val="20"/>
              </w:rPr>
              <w:t>尺</w:t>
            </w:r>
            <w:r>
              <w:rPr>
                <w:rFonts w:hint="eastAsia" w:ascii="宋体" w:hAnsi="宋体"/>
                <w:bCs/>
                <w:sz w:val="20"/>
                <w:szCs w:val="20"/>
                <w:lang w:val="en-US" w:eastAsia="zh-CN"/>
              </w:rPr>
              <w:t>、带表卡尺、深度尺、游标卡尺、数显高度尺、偏摆检查仪、热电偶等，均经</w:t>
            </w:r>
            <w:r>
              <w:rPr>
                <w:rFonts w:hint="eastAsia" w:ascii="宋体" w:hAnsi="宋体"/>
                <w:bCs/>
                <w:sz w:val="20"/>
                <w:szCs w:val="20"/>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环保设备配置: 布袋除尘器、活性碳吸附装置、危废存放间、化粪池、灭火器、消防器材、隔音、绿化等。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内部沟通的情况：内部沟通方式：</w:t>
            </w:r>
            <w:r>
              <w:rPr>
                <w:rFonts w:hint="eastAsia" w:ascii="宋体" w:hAnsi="宋体" w:eastAsia="宋体" w:cs="宋体"/>
                <w:sz w:val="21"/>
                <w:szCs w:val="21"/>
                <w:u w:val="single"/>
              </w:rPr>
              <w:t>培训、会议、宣传栏；</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内部沟通的效果：</w:t>
            </w:r>
            <w:r>
              <w:rPr>
                <w:rFonts w:hint="eastAsia" w:ascii="宋体" w:hAnsi="宋体" w:eastAsia="宋体" w:cs="宋体"/>
                <w:sz w:val="21"/>
                <w:szCs w:val="21"/>
                <w:u w:val="single"/>
              </w:rPr>
              <w:t>沟通畅通；</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组织对外联络，关注顾客的感受情况（QMS）：</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外部信息的接收、成文并答复的情况（E、S填写）：</w:t>
            </w:r>
            <w:r>
              <w:rPr>
                <w:rFonts w:hint="eastAsia" w:ascii="宋体" w:hAnsi="宋体" w:eastAsia="宋体" w:cs="宋体"/>
                <w:sz w:val="21"/>
                <w:szCs w:val="21"/>
                <w:u w:val="single"/>
              </w:rPr>
              <w:t>参加相关部门组织的会议，接收相关部门下达的通知并在公司内部沟通传达。</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重要环境因素信息对外交流情况（EMS填写）：</w:t>
            </w:r>
            <w:r>
              <w:rPr>
                <w:rFonts w:hint="eastAsia" w:ascii="宋体" w:hAnsi="宋体" w:eastAsia="宋体" w:cs="宋体"/>
                <w:sz w:val="21"/>
                <w:szCs w:val="21"/>
                <w:u w:val="single"/>
              </w:rPr>
              <w:t>对相关方进行环保告知。</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OHSMS事务代表协商和交流的情况（OHSMS填写）：</w:t>
            </w:r>
          </w:p>
          <w:p>
            <w:pPr>
              <w:spacing w:line="360" w:lineRule="auto"/>
              <w:rPr>
                <w:rFonts w:ascii="宋体" w:hAnsi="宋体"/>
                <w:b/>
                <w:sz w:val="21"/>
                <w:szCs w:val="21"/>
              </w:rPr>
            </w:pPr>
            <w:r>
              <w:rPr>
                <w:rFonts w:hint="eastAsia" w:ascii="宋体" w:hAnsi="宋体" w:eastAsia="宋体" w:cs="宋体"/>
                <w:b/>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rPr>
                <w:rFonts w:hint="eastAsia" w:ascii="宋体" w:hAnsi="宋体"/>
                <w:b w:val="0"/>
                <w:bCs/>
                <w:sz w:val="21"/>
                <w:szCs w:val="21"/>
              </w:rPr>
            </w:pPr>
            <w:r>
              <w:rPr>
                <w:rFonts w:hint="eastAsia" w:ascii="宋体" w:hAnsi="宋体"/>
                <w:b w:val="0"/>
                <w:bCs/>
                <w:sz w:val="21"/>
                <w:szCs w:val="21"/>
              </w:rPr>
              <w:t>1、废水管控：</w:t>
            </w:r>
          </w:p>
          <w:p>
            <w:pPr>
              <w:spacing w:line="360" w:lineRule="auto"/>
              <w:rPr>
                <w:rFonts w:hint="eastAsia" w:ascii="宋体" w:hAnsi="宋体"/>
                <w:b w:val="0"/>
                <w:bCs/>
                <w:sz w:val="21"/>
                <w:szCs w:val="21"/>
              </w:rPr>
            </w:pPr>
            <w:r>
              <w:rPr>
                <w:rFonts w:hint="eastAsia" w:ascii="宋体" w:hAnsi="宋体"/>
                <w:b w:val="0"/>
                <w:bCs/>
                <w:sz w:val="21"/>
                <w:szCs w:val="21"/>
              </w:rPr>
              <w:t>严格落实废水综合措施，生产过程无生产用水；生活污水经隔油池、化粪池处理后，定期拉运农田施肥。</w:t>
            </w:r>
          </w:p>
          <w:p>
            <w:pPr>
              <w:spacing w:line="360" w:lineRule="auto"/>
              <w:rPr>
                <w:rFonts w:hint="eastAsia" w:ascii="宋体" w:hAnsi="宋体"/>
                <w:b w:val="0"/>
                <w:bCs/>
                <w:sz w:val="21"/>
                <w:szCs w:val="21"/>
              </w:rPr>
            </w:pPr>
            <w:r>
              <w:rPr>
                <w:rFonts w:hint="eastAsia" w:ascii="宋体" w:hAnsi="宋体"/>
                <w:b w:val="0"/>
                <w:bCs/>
                <w:sz w:val="21"/>
                <w:szCs w:val="21"/>
              </w:rPr>
              <w:t>2、废气管控：</w:t>
            </w:r>
          </w:p>
          <w:p>
            <w:pPr>
              <w:spacing w:line="360" w:lineRule="auto"/>
              <w:rPr>
                <w:rFonts w:hint="eastAsia" w:ascii="宋体" w:hAnsi="宋体"/>
                <w:b w:val="0"/>
                <w:bCs/>
                <w:sz w:val="21"/>
                <w:szCs w:val="21"/>
              </w:rPr>
            </w:pPr>
            <w:r>
              <w:rPr>
                <w:rFonts w:hint="eastAsia" w:ascii="宋体" w:hAnsi="宋体"/>
                <w:b w:val="0"/>
                <w:bCs/>
                <w:sz w:val="21"/>
                <w:szCs w:val="21"/>
              </w:rPr>
              <w:t>加强大气污染治理。生产过程中熔炼、浇铸、热处理废气，经集气罩+活性炭吸附处理；抛丸、打磨粉尘经布袋式除尘收集处理后排放，满足《大气污染物综合排放标准》中二级标准。严格采取措施挖掘生产过程中的无组织排放现象。</w:t>
            </w:r>
          </w:p>
          <w:p>
            <w:pPr>
              <w:spacing w:line="360" w:lineRule="auto"/>
              <w:rPr>
                <w:rFonts w:hint="eastAsia" w:ascii="宋体" w:hAnsi="宋体"/>
                <w:b w:val="0"/>
                <w:bCs/>
                <w:sz w:val="21"/>
                <w:szCs w:val="21"/>
              </w:rPr>
            </w:pPr>
            <w:r>
              <w:rPr>
                <w:rFonts w:hint="eastAsia" w:ascii="宋体" w:hAnsi="宋体"/>
                <w:b w:val="0"/>
                <w:bCs/>
                <w:sz w:val="21"/>
                <w:szCs w:val="21"/>
              </w:rPr>
              <w:t>3、噪声管控：</w:t>
            </w:r>
          </w:p>
          <w:p>
            <w:pPr>
              <w:spacing w:line="360" w:lineRule="auto"/>
              <w:rPr>
                <w:rFonts w:hint="eastAsia" w:ascii="宋体" w:hAnsi="宋体"/>
                <w:b w:val="0"/>
                <w:bCs/>
                <w:sz w:val="21"/>
                <w:szCs w:val="21"/>
              </w:rPr>
            </w:pPr>
            <w:r>
              <w:rPr>
                <w:rFonts w:hint="eastAsia" w:ascii="宋体" w:hAnsi="宋体"/>
                <w:b w:val="0"/>
                <w:bCs/>
                <w:sz w:val="21"/>
                <w:szCs w:val="21"/>
              </w:rPr>
              <w:t>加强噪声防治。合理设置厂房、设备布局、选择高性能低噪音设备，设置基础减震措施，厂房设置隔声窗和隔音门，厂界噪声满足《工业企业厂界环境噪声排放标准》中3类标准。</w:t>
            </w:r>
          </w:p>
          <w:p>
            <w:pPr>
              <w:spacing w:line="360" w:lineRule="auto"/>
              <w:rPr>
                <w:rFonts w:hint="eastAsia" w:ascii="宋体" w:hAnsi="宋体"/>
                <w:b w:val="0"/>
                <w:bCs/>
                <w:sz w:val="21"/>
                <w:szCs w:val="21"/>
              </w:rPr>
            </w:pPr>
            <w:r>
              <w:rPr>
                <w:rFonts w:hint="eastAsia" w:ascii="宋体" w:hAnsi="宋体"/>
                <w:b w:val="0"/>
                <w:bCs/>
                <w:sz w:val="21"/>
                <w:szCs w:val="21"/>
              </w:rPr>
              <w:t>4、粉尘、废砂等固体废物严格按照相关规定处置，执行《一般工业固体废物贮存、处置场污染控制标准》，统一收集后外售；废润滑油等危险废物严格按照《危险废物贮存污染控制标准》等相关管理规范进行贮存处置；生活垃圾收集后由环卫部门统一收集处理。</w:t>
            </w:r>
          </w:p>
          <w:p>
            <w:pPr>
              <w:spacing w:line="360" w:lineRule="auto"/>
              <w:rPr>
                <w:rFonts w:hint="eastAsia" w:ascii="宋体" w:hAnsi="宋体"/>
                <w:b w:val="0"/>
                <w:bCs/>
                <w:sz w:val="21"/>
                <w:szCs w:val="21"/>
              </w:rPr>
            </w:pPr>
            <w:r>
              <w:rPr>
                <w:rFonts w:hint="eastAsia" w:ascii="宋体" w:hAnsi="宋体"/>
                <w:b w:val="0"/>
                <w:bCs/>
                <w:sz w:val="21"/>
                <w:szCs w:val="21"/>
              </w:rPr>
              <w:t>5、能源资源管控：</w:t>
            </w:r>
          </w:p>
          <w:p>
            <w:pPr>
              <w:spacing w:line="360" w:lineRule="auto"/>
              <w:rPr>
                <w:rFonts w:hint="eastAsia" w:ascii="宋体" w:hAnsi="宋体"/>
                <w:b w:val="0"/>
                <w:bCs/>
                <w:sz w:val="21"/>
                <w:szCs w:val="21"/>
              </w:rPr>
            </w:pPr>
            <w:r>
              <w:rPr>
                <w:rFonts w:hint="eastAsia" w:ascii="宋体" w:hAnsi="宋体"/>
                <w:b w:val="0"/>
                <w:bCs/>
                <w:sz w:val="21"/>
                <w:szCs w:val="21"/>
              </w:rPr>
              <w:t>注意节水、节电、节约塑料颗粒的试验，人走关闭设备和照明开关，现场未发现有漏水和浪费电能的现象。</w:t>
            </w:r>
          </w:p>
          <w:p>
            <w:pPr>
              <w:spacing w:line="360" w:lineRule="auto"/>
              <w:rPr>
                <w:rFonts w:hint="eastAsia" w:ascii="宋体" w:hAnsi="宋体"/>
                <w:b w:val="0"/>
                <w:bCs/>
                <w:sz w:val="21"/>
                <w:szCs w:val="21"/>
              </w:rPr>
            </w:pPr>
            <w:r>
              <w:rPr>
                <w:rFonts w:hint="eastAsia" w:ascii="宋体" w:hAnsi="宋体"/>
                <w:b w:val="0"/>
                <w:bCs/>
                <w:sz w:val="21"/>
                <w:szCs w:val="21"/>
              </w:rPr>
              <w:t>6、产品生命周期的环境管控：</w:t>
            </w:r>
          </w:p>
          <w:p>
            <w:pPr>
              <w:spacing w:line="360" w:lineRule="auto"/>
              <w:rPr>
                <w:rFonts w:hint="eastAsia" w:ascii="宋体" w:hAnsi="宋体"/>
                <w:b w:val="0"/>
                <w:bCs/>
                <w:sz w:val="21"/>
                <w:szCs w:val="21"/>
              </w:rPr>
            </w:pPr>
            <w:r>
              <w:rPr>
                <w:rFonts w:hint="eastAsia" w:ascii="宋体" w:hAnsi="宋体"/>
                <w:b w:val="0"/>
                <w:bCs/>
                <w:sz w:val="21"/>
                <w:szCs w:val="21"/>
              </w:rPr>
              <w:t>公司采购产品时已考虑了产品的环保性，严格按照环保等管理制度实施，控制好辅助材料的用量，避免浪费，生命周期终了时废旧塑料还可以回收再利用。</w:t>
            </w:r>
          </w:p>
          <w:p>
            <w:pPr>
              <w:spacing w:line="360" w:lineRule="auto"/>
              <w:rPr>
                <w:rFonts w:ascii="宋体" w:hAnsi="宋体"/>
                <w:b/>
                <w:sz w:val="21"/>
                <w:szCs w:val="21"/>
              </w:rPr>
            </w:pPr>
            <w:r>
              <w:rPr>
                <w:rFonts w:hint="eastAsia" w:ascii="宋体" w:hAnsi="宋体"/>
                <w:b w:val="0"/>
                <w:bCs/>
                <w:sz w:val="21"/>
                <w:szCs w:val="21"/>
              </w:rPr>
              <w:t>7、生产部铸造车间未能提供主要环保设备布袋除尘器、活性炭吸附装置运行记录。开具了不符合。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提供</w:t>
            </w:r>
            <w:r>
              <w:rPr>
                <w:rFonts w:hint="eastAsia" w:ascii="宋体" w:hAnsi="宋体"/>
                <w:b w:val="0"/>
                <w:bCs/>
                <w:sz w:val="21"/>
                <w:szCs w:val="21"/>
              </w:rPr>
              <w:t>火灾专项应急预案和重污染天气应急操作方案，包含有事件级别及不同级别事件的处理程序、事件处理组织机构及职责分工、通用及特殊处理程序、各岗位要求等。具有可操作性。</w:t>
            </w:r>
          </w:p>
          <w:p>
            <w:pPr>
              <w:spacing w:line="360" w:lineRule="auto"/>
              <w:rPr>
                <w:rFonts w:ascii="宋体" w:hAnsi="宋体"/>
                <w:b/>
                <w:sz w:val="21"/>
                <w:szCs w:val="21"/>
              </w:rPr>
            </w:pPr>
            <w:r>
              <w:rPr>
                <w:rFonts w:hint="eastAsia" w:ascii="宋体" w:hAnsi="宋体"/>
                <w:b w:val="0"/>
                <w:bCs/>
                <w:sz w:val="21"/>
                <w:szCs w:val="21"/>
              </w:rPr>
              <w:t>定期记录应急预案的演练，应急演练后对应急预案进行了评审，应急预案不重要修订。基本符合。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0" w:firstLineChars="50"/>
              <w:jc w:val="left"/>
              <w:rPr>
                <w:rFonts w:ascii="宋体" w:hAnsi="宋体"/>
                <w:b/>
                <w:sz w:val="21"/>
                <w:szCs w:val="21"/>
              </w:rPr>
            </w:pPr>
            <w:r>
              <w:rPr>
                <w:rFonts w:hint="eastAsia"/>
                <w:color w:val="000000"/>
                <w:sz w:val="20"/>
                <w:szCs w:val="20"/>
                <w:u w:val="none"/>
              </w:rPr>
              <w:t>叉车年检合格。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ind w:firstLine="400" w:firstLineChars="200"/>
              <w:rPr>
                <w:rFonts w:ascii="宋体" w:hAnsi="宋体"/>
                <w:b/>
                <w:sz w:val="21"/>
                <w:szCs w:val="21"/>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sz w:val="21"/>
                <w:szCs w:val="21"/>
                <w:u w:val="none"/>
              </w:rPr>
              <w:t>20</w:t>
            </w:r>
            <w:r>
              <w:rPr>
                <w:rFonts w:hint="eastAsia" w:ascii="宋体" w:hAnsi="宋体"/>
                <w:sz w:val="21"/>
                <w:szCs w:val="21"/>
                <w:u w:val="none"/>
                <w:lang w:val="en-US" w:eastAsia="zh-CN"/>
              </w:rPr>
              <w:t>20</w:t>
            </w:r>
            <w:r>
              <w:rPr>
                <w:rFonts w:hint="eastAsia" w:ascii="宋体" w:hAnsi="宋体"/>
                <w:sz w:val="21"/>
                <w:szCs w:val="21"/>
                <w:u w:val="none"/>
              </w:rPr>
              <w:t>年</w:t>
            </w:r>
            <w:r>
              <w:rPr>
                <w:rFonts w:hint="eastAsia" w:ascii="宋体" w:hAnsi="宋体"/>
                <w:sz w:val="21"/>
                <w:szCs w:val="21"/>
                <w:u w:val="none"/>
                <w:lang w:val="en-US" w:eastAsia="zh-CN"/>
              </w:rPr>
              <w:t>7</w:t>
            </w:r>
            <w:r>
              <w:rPr>
                <w:rFonts w:hint="eastAsia" w:ascii="宋体" w:hAnsi="宋体"/>
                <w:sz w:val="21"/>
                <w:szCs w:val="21"/>
                <w:u w:val="none"/>
              </w:rPr>
              <w:t>月</w:t>
            </w:r>
            <w:r>
              <w:rPr>
                <w:rFonts w:hint="eastAsia" w:ascii="宋体" w:hAnsi="宋体"/>
                <w:sz w:val="21"/>
                <w:szCs w:val="21"/>
                <w:u w:val="none"/>
                <w:lang w:val="en-US" w:eastAsia="zh-CN"/>
              </w:rPr>
              <w:t>30</w:t>
            </w:r>
            <w:r>
              <w:rPr>
                <w:rFonts w:hint="eastAsia" w:ascii="宋体" w:hAnsi="宋体"/>
                <w:sz w:val="21"/>
                <w:szCs w:val="21"/>
                <w:u w:val="none"/>
              </w:rPr>
              <w:t>日对环境目标指标进行了检查，能达标。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360" w:lineRule="auto"/>
              <w:ind w:left="105" w:hanging="105" w:hangingChars="50"/>
              <w:rPr>
                <w:rFonts w:hint="eastAsia" w:ascii="宋体" w:hAnsi="宋体"/>
                <w:b/>
                <w:sz w:val="21"/>
                <w:szCs w:val="21"/>
              </w:rPr>
            </w:pPr>
            <w:r>
              <w:rPr>
                <w:rFonts w:hint="eastAsia" w:ascii="宋体" w:hAnsi="宋体"/>
                <w:b/>
                <w:sz w:val="21"/>
                <w:szCs w:val="21"/>
              </w:rPr>
              <w:t>顾客满意公司</w:t>
            </w:r>
          </w:p>
          <w:p>
            <w:pPr>
              <w:numPr>
                <w:ilvl w:val="0"/>
                <w:numId w:val="0"/>
              </w:numPr>
              <w:spacing w:line="360" w:lineRule="auto"/>
              <w:ind w:leftChars="-50" w:firstLine="420" w:firstLineChars="200"/>
              <w:rPr>
                <w:rFonts w:hint="eastAsia" w:ascii="宋体" w:hAnsi="宋体"/>
                <w:b w:val="0"/>
                <w:bCs/>
                <w:sz w:val="21"/>
                <w:szCs w:val="21"/>
              </w:rPr>
            </w:pPr>
            <w:r>
              <w:rPr>
                <w:rFonts w:hint="eastAsia" w:ascii="宋体" w:hAnsi="宋体"/>
                <w:b w:val="0"/>
                <w:bCs/>
                <w:sz w:val="21"/>
                <w:szCs w:val="21"/>
              </w:rPr>
              <w:t>通过电话，走访等形式，接受顾客反馈，了解顾客满意度信息，发放调查表对顾客满意度进行定量测量。</w:t>
            </w:r>
          </w:p>
          <w:p>
            <w:pPr>
              <w:spacing w:line="360" w:lineRule="auto"/>
              <w:ind w:left="209" w:leftChars="87" w:firstLine="105" w:firstLineChars="50"/>
              <w:rPr>
                <w:rFonts w:ascii="宋体" w:hAnsi="宋体"/>
                <w:b/>
                <w:sz w:val="21"/>
                <w:szCs w:val="21"/>
              </w:rPr>
            </w:pPr>
            <w:r>
              <w:rPr>
                <w:rFonts w:hint="eastAsia" w:ascii="宋体" w:hAnsi="宋体"/>
                <w:b w:val="0"/>
                <w:bCs/>
                <w:sz w:val="21"/>
                <w:szCs w:val="21"/>
              </w:rPr>
              <w:t xml:space="preserve">提供“顾客满意程度调查表”顾客较满意。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1"/>
                <w:szCs w:val="21"/>
              </w:rPr>
            </w:pPr>
            <w:r>
              <w:rPr>
                <w:rFonts w:hint="eastAsia" w:asciiTheme="minorEastAsia" w:hAnsiTheme="minorEastAsia" w:eastAsiaTheme="minorEastAsia"/>
                <w:sz w:val="21"/>
                <w:szCs w:val="21"/>
                <w:u w:val="single"/>
              </w:rPr>
              <w:t>每年一次，本次20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21</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22</w:t>
            </w:r>
            <w:r>
              <w:rPr>
                <w:rFonts w:hint="eastAsia" w:asciiTheme="minorEastAsia" w:hAnsiTheme="minorEastAsia" w:eastAsiaTheme="minorEastAsia"/>
                <w:sz w:val="21"/>
                <w:szCs w:val="21"/>
                <w:u w:val="single"/>
              </w:rPr>
              <w:t>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240" w:lineRule="exact"/>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sz w:val="21"/>
                <w:szCs w:val="21"/>
                <w:u w:val="single"/>
              </w:rPr>
              <w:t>每年一次，20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9</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10</w:t>
            </w:r>
            <w:r>
              <w:rPr>
                <w:rFonts w:hint="eastAsia" w:asciiTheme="minorEastAsia" w:hAnsiTheme="minorEastAsia" w:eastAsiaTheme="minorEastAsia"/>
                <w:sz w:val="21"/>
                <w:szCs w:val="21"/>
                <w:u w:val="single"/>
              </w:rPr>
              <w:t>日管理评审。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240" w:lineRule="exact"/>
              <w:rPr>
                <w:rFonts w:ascii="宋体" w:hAnsi="宋体"/>
                <w:b/>
                <w:sz w:val="21"/>
                <w:szCs w:val="21"/>
              </w:rPr>
            </w:pPr>
            <w:r>
              <w:rPr>
                <w:rFonts w:hint="eastAsia" w:ascii="宋体" w:hAnsi="宋体"/>
                <w:sz w:val="21"/>
                <w:szCs w:val="21"/>
                <w:u w:val="single"/>
              </w:rPr>
              <w:t>　公司的管理体系是适宜的、充分的和有效的。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60" w:lineRule="auto"/>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360" w:lineRule="auto"/>
              <w:ind w:leftChars="0" w:firstLine="420" w:firstLineChars="200"/>
              <w:rPr>
                <w:rFonts w:ascii="宋体" w:hAnsi="宋体"/>
                <w:b/>
                <w:sz w:val="21"/>
                <w:szCs w:val="21"/>
              </w:rPr>
            </w:pPr>
            <w:r>
              <w:rPr>
                <w:rFonts w:hint="eastAsia" w:ascii="宋体" w:hAnsi="宋体"/>
                <w:b w:val="0"/>
                <w:bCs/>
                <w:sz w:val="21"/>
                <w:szCs w:val="21"/>
              </w:rPr>
              <w:t>提供了20</w:t>
            </w:r>
            <w:r>
              <w:rPr>
                <w:rFonts w:hint="eastAsia" w:ascii="宋体" w:hAnsi="宋体"/>
                <w:b w:val="0"/>
                <w:bCs/>
                <w:sz w:val="21"/>
                <w:szCs w:val="21"/>
                <w:lang w:val="en-US" w:eastAsia="zh-CN"/>
              </w:rPr>
              <w:t>20</w:t>
            </w:r>
            <w:r>
              <w:rPr>
                <w:rFonts w:hint="eastAsia" w:ascii="宋体" w:hAnsi="宋体"/>
                <w:b w:val="0"/>
                <w:bCs/>
                <w:sz w:val="21"/>
                <w:szCs w:val="21"/>
              </w:rPr>
              <w:t>年</w:t>
            </w:r>
            <w:r>
              <w:rPr>
                <w:rFonts w:hint="eastAsia" w:ascii="宋体" w:hAnsi="宋体"/>
                <w:b w:val="0"/>
                <w:bCs/>
                <w:sz w:val="21"/>
                <w:szCs w:val="21"/>
                <w:lang w:val="en-US" w:eastAsia="zh-CN"/>
              </w:rPr>
              <w:t>1</w:t>
            </w:r>
            <w:r>
              <w:rPr>
                <w:rFonts w:hint="eastAsia" w:ascii="宋体" w:hAnsi="宋体"/>
                <w:b w:val="0"/>
                <w:bCs/>
                <w:sz w:val="21"/>
                <w:szCs w:val="21"/>
              </w:rPr>
              <w:t>月</w:t>
            </w:r>
            <w:r>
              <w:rPr>
                <w:rFonts w:hint="eastAsia" w:ascii="宋体" w:hAnsi="宋体"/>
                <w:b w:val="0"/>
                <w:bCs/>
                <w:sz w:val="21"/>
                <w:szCs w:val="21"/>
                <w:lang w:val="en-US" w:eastAsia="zh-CN"/>
              </w:rPr>
              <w:t>20</w:t>
            </w:r>
            <w:r>
              <w:rPr>
                <w:rFonts w:hint="eastAsia" w:ascii="宋体" w:hAnsi="宋体"/>
                <w:b w:val="0"/>
                <w:bCs/>
                <w:sz w:val="21"/>
                <w:szCs w:val="21"/>
              </w:rPr>
              <w:t>日陕西锦润环保检测有限公司 锦润监（气）字（</w:t>
            </w:r>
            <w:r>
              <w:rPr>
                <w:rFonts w:hint="eastAsia" w:ascii="宋体" w:hAnsi="宋体"/>
                <w:b w:val="0"/>
                <w:bCs/>
                <w:sz w:val="21"/>
                <w:szCs w:val="21"/>
                <w:lang w:val="en-US" w:eastAsia="zh-CN"/>
              </w:rPr>
              <w:t>2020</w:t>
            </w:r>
            <w:r>
              <w:rPr>
                <w:rFonts w:hint="eastAsia" w:ascii="宋体" w:hAnsi="宋体"/>
                <w:b w:val="0"/>
                <w:bCs/>
                <w:sz w:val="21"/>
                <w:szCs w:val="21"/>
              </w:rPr>
              <w:t>）第</w:t>
            </w:r>
            <w:r>
              <w:rPr>
                <w:rFonts w:hint="eastAsia" w:ascii="宋体" w:hAnsi="宋体"/>
                <w:b w:val="0"/>
                <w:bCs/>
                <w:sz w:val="21"/>
                <w:szCs w:val="21"/>
                <w:lang w:val="en-US" w:eastAsia="zh-CN"/>
              </w:rPr>
              <w:t>047</w:t>
            </w:r>
            <w:r>
              <w:rPr>
                <w:rFonts w:hint="eastAsia" w:ascii="宋体" w:hAnsi="宋体"/>
                <w:b w:val="0"/>
                <w:bCs/>
                <w:sz w:val="21"/>
                <w:szCs w:val="21"/>
              </w:rPr>
              <w:t>号监测报告，</w:t>
            </w:r>
            <w:r>
              <w:rPr>
                <w:rFonts w:hint="eastAsia" w:ascii="宋体" w:hAnsi="宋体"/>
                <w:b w:val="0"/>
                <w:bCs/>
                <w:sz w:val="21"/>
                <w:szCs w:val="21"/>
                <w:lang w:val="en-US" w:eastAsia="zh-CN"/>
              </w:rPr>
              <w:t>环境空气检测报告</w:t>
            </w:r>
            <w:r>
              <w:rPr>
                <w:rFonts w:hint="eastAsia" w:ascii="宋体" w:hAnsi="宋体"/>
                <w:b w:val="0"/>
                <w:bCs/>
                <w:sz w:val="21"/>
                <w:szCs w:val="21"/>
              </w:rPr>
              <w:t>，监测项目：</w:t>
            </w:r>
            <w:r>
              <w:rPr>
                <w:rFonts w:hint="eastAsia" w:ascii="宋体" w:hAnsi="宋体"/>
                <w:b w:val="0"/>
                <w:bCs/>
                <w:sz w:val="21"/>
                <w:szCs w:val="21"/>
                <w:lang w:val="en-US" w:eastAsia="zh-CN"/>
              </w:rPr>
              <w:t>颗粒物，检测点：抛丸打磨排气筒出口、树脂砂处理排气筒出口、熔浇注排气筒出口，结论：由监测结果可知,此次监测期间抛丸打磨排气筒出口、树脂砂处理排气筒出口颗粒物的最大排放浓度和排放速率均满足《大气污染物综合排放标准》 GB 16297-1996表2二级标准限值的要求。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r>
              <w:rPr>
                <w:rFonts w:hint="eastAsia" w:ascii="宋体" w:hAnsi="宋体"/>
                <w:b w:val="0"/>
                <w:bCs/>
                <w:sz w:val="21"/>
                <w:szCs w:val="21"/>
              </w:rPr>
              <w:t>提供2017年2月公司齿轮制造项目环境影响报告表；宝鸡市环境保护局高新分局 高新环函（2017）135号“关于宝鸡市红星凯瑞工贸有限责任公司齿轮制造项目环境影响报告表的批复”；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0"/>
              </w:numPr>
              <w:spacing w:line="360" w:lineRule="auto"/>
              <w:rPr>
                <w:rFonts w:hint="eastAsia"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hint="eastAsia" w:ascii="宋体" w:hAnsi="宋体"/>
                <w:b w:val="0"/>
                <w:bCs/>
                <w:sz w:val="21"/>
                <w:szCs w:val="21"/>
              </w:rPr>
            </w:pPr>
            <w:r>
              <w:rPr>
                <w:rFonts w:hint="eastAsia" w:ascii="宋体" w:hAnsi="宋体"/>
                <w:b w:val="0"/>
                <w:bCs/>
                <w:sz w:val="21"/>
                <w:szCs w:val="21"/>
              </w:rPr>
              <w:t>企业自体系建立以来，通过内审的改进、管理评审；纠正措施的实施、顾客满意度调查等措施，采取了具体的改进措施。基本符合要求。</w:t>
            </w:r>
          </w:p>
          <w:p>
            <w:pPr>
              <w:spacing w:line="360" w:lineRule="auto"/>
              <w:rPr>
                <w:rFonts w:ascii="宋体" w:hAnsi="宋体"/>
                <w:b/>
                <w:sz w:val="21"/>
                <w:szCs w:val="21"/>
              </w:rPr>
            </w:pPr>
            <w:r>
              <w:rPr>
                <w:rFonts w:hint="eastAsia" w:ascii="宋体" w:hAnsi="宋体"/>
                <w:b w:val="0"/>
                <w:bCs/>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60" w:lineRule="auto"/>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rPr>
                <w:rFonts w:ascii="宋体" w:hAnsi="宋体"/>
                <w:b/>
                <w:sz w:val="21"/>
                <w:szCs w:val="21"/>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b/>
                <w:bCs/>
                <w:sz w:val="21"/>
                <w:szCs w:val="21"/>
              </w:rPr>
            </w:pPr>
            <w:r>
              <w:rPr>
                <w:rFonts w:hint="eastAsia"/>
                <w:b/>
                <w:bCs/>
                <w:sz w:val="21"/>
                <w:szCs w:val="21"/>
              </w:rPr>
              <w:t>上次不符合的整改情况</w:t>
            </w:r>
          </w:p>
          <w:p>
            <w:pPr>
              <w:pStyle w:val="2"/>
              <w:numPr>
                <w:ilvl w:val="0"/>
                <w:numId w:val="0"/>
              </w:numPr>
              <w:spacing w:line="360" w:lineRule="auto"/>
              <w:ind w:leftChars="-50"/>
              <w:rPr>
                <w:rFonts w:hint="default" w:eastAsia="宋体"/>
                <w:lang w:val="en-US" w:eastAsia="zh-CN"/>
              </w:rPr>
            </w:pPr>
            <w:r>
              <w:rPr>
                <w:rFonts w:hint="eastAsia"/>
                <w:b w:val="0"/>
                <w:bCs w:val="0"/>
                <w:sz w:val="21"/>
                <w:szCs w:val="21"/>
                <w:lang w:val="en-US" w:eastAsia="zh-CN"/>
              </w:rPr>
              <w:t>初审时的不符合已经整改，措施有效。</w:t>
            </w:r>
          </w:p>
        </w:tc>
      </w:tr>
    </w:tbl>
    <w:p>
      <w:pPr>
        <w:tabs>
          <w:tab w:val="left" w:pos="645"/>
        </w:tabs>
        <w:spacing w:after="163" w:afterLines="50" w:line="360" w:lineRule="exact"/>
        <w:rPr>
          <w:b/>
          <w:sz w:val="26"/>
          <w:szCs w:val="26"/>
        </w:rPr>
      </w:pPr>
    </w:p>
    <w:p>
      <w:pPr>
        <w:pStyle w:val="2"/>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420" w:firstLineChars="200"/>
              <w:rPr>
                <w:rFonts w:ascii="宋体" w:hAnsi="宋体"/>
                <w:b w:val="0"/>
                <w:bCs/>
                <w:szCs w:val="21"/>
              </w:rPr>
            </w:pPr>
            <w:r>
              <w:rPr>
                <w:rFonts w:hint="eastAsia" w:ascii="宋体" w:hAnsi="宋体"/>
                <w:b w:val="0"/>
                <w:bCs/>
                <w:sz w:val="21"/>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r>
              <w:rPr>
                <w:rFonts w:hint="eastAsia" w:ascii="宋体" w:hAnsi="宋体"/>
                <w:b w:val="0"/>
                <w:bCs/>
                <w:szCs w:val="21"/>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1921510</wp:posOffset>
            </wp:positionH>
            <wp:positionV relativeFrom="paragraph">
              <wp:posOffset>7620</wp:posOffset>
            </wp:positionV>
            <wp:extent cx="353060" cy="27940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3060" cy="27940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line="480" w:lineRule="auto"/>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line="480" w:lineRule="auto"/>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line="480" w:lineRule="auto"/>
        <w:ind w:firstLine="823" w:firstLineChars="343"/>
        <w:rPr>
          <w:rFonts w:hint="default" w:eastAsia="宋体"/>
          <w:b/>
          <w:sz w:val="21"/>
          <w:szCs w:val="21"/>
          <w:u w:val="single"/>
          <w:lang w:val="en-US" w:eastAsia="zh-CN"/>
        </w:rPr>
      </w:pPr>
      <w:r>
        <w:drawing>
          <wp:anchor distT="0" distB="0" distL="114300" distR="114300" simplePos="0" relativeHeight="251665408" behindDoc="0" locked="0" layoutInCell="1" allowOverlap="1">
            <wp:simplePos x="0" y="0"/>
            <wp:positionH relativeFrom="column">
              <wp:posOffset>1235710</wp:posOffset>
            </wp:positionH>
            <wp:positionV relativeFrom="paragraph">
              <wp:posOffset>26035</wp:posOffset>
            </wp:positionV>
            <wp:extent cx="353060" cy="279400"/>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3060" cy="27940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bookmarkStart w:id="29" w:name="_GoBack"/>
      <w:bookmarkEnd w:id="29"/>
      <w:r>
        <w:rPr>
          <w:rFonts w:hint="eastAsia"/>
          <w:b/>
          <w:sz w:val="21"/>
          <w:szCs w:val="21"/>
          <w:lang w:val="en-US" w:eastAsia="zh-CN"/>
        </w:rPr>
        <w:t xml:space="preserve"> 2020.12.17</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48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48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48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48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9"/>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9"/>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A2876"/>
    <w:multiLevelType w:val="singleLevel"/>
    <w:tmpl w:val="99CA2876"/>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0F9C3C4"/>
    <w:multiLevelType w:val="singleLevel"/>
    <w:tmpl w:val="00F9C3C4"/>
    <w:lvl w:ilvl="0" w:tentative="0">
      <w:start w:val="2"/>
      <w:numFmt w:val="decimal"/>
      <w:suff w:val="nothing"/>
      <w:lvlText w:val="%1、"/>
      <w:lvlJc w:val="left"/>
    </w:lvl>
  </w:abstractNum>
  <w:abstractNum w:abstractNumId="3">
    <w:nsid w:val="1E9EDE59"/>
    <w:multiLevelType w:val="singleLevel"/>
    <w:tmpl w:val="1E9EDE59"/>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F610B2"/>
    <w:rsid w:val="30170F0F"/>
    <w:rsid w:val="322A58C2"/>
    <w:rsid w:val="3833240D"/>
    <w:rsid w:val="529A0EF3"/>
    <w:rsid w:val="538F7D43"/>
    <w:rsid w:val="6436238F"/>
    <w:rsid w:val="75BE0942"/>
    <w:rsid w:val="78A6046F"/>
    <w:rsid w:val="7FA77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ody Text Indent"/>
    <w:basedOn w:val="1"/>
    <w:qFormat/>
    <w:uiPriority w:val="99"/>
    <w:pPr>
      <w:spacing w:after="120"/>
      <w:ind w:left="420" w:leftChars="200"/>
    </w:pPr>
    <w:rPr>
      <w:kern w:val="0"/>
      <w:sz w:val="24"/>
    </w:rPr>
  </w:style>
  <w:style w:type="paragraph" w:styleId="6">
    <w:name w:val="Balloon Text"/>
    <w:basedOn w:val="1"/>
    <w:link w:val="14"/>
    <w:semiHidden/>
    <w:qFormat/>
    <w:uiPriority w:val="99"/>
    <w:rPr>
      <w:sz w:val="18"/>
      <w:szCs w:val="18"/>
    </w:rPr>
  </w:style>
  <w:style w:type="paragraph" w:styleId="7">
    <w:name w:val="footer"/>
    <w:basedOn w:val="1"/>
    <w:link w:val="15"/>
    <w:semiHidden/>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First Indent 2"/>
    <w:basedOn w:val="5"/>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semiHidden/>
    <w:qFormat/>
    <w:locked/>
    <w:uiPriority w:val="99"/>
    <w:rPr>
      <w:rFonts w:ascii="Times New Roman" w:hAnsi="Times New Roman" w:eastAsia="宋体" w:cs="Times New Roman"/>
      <w:sz w:val="18"/>
      <w:szCs w:val="18"/>
    </w:rPr>
  </w:style>
  <w:style w:type="character" w:customStyle="1" w:styleId="16">
    <w:name w:val="页眉 Char"/>
    <w:link w:val="8"/>
    <w:qFormat/>
    <w:locked/>
    <w:uiPriority w:val="0"/>
    <w:rPr>
      <w:sz w:val="18"/>
    </w:rPr>
  </w:style>
  <w:style w:type="character" w:customStyle="1" w:styleId="17">
    <w:name w:val="页眉 Char1"/>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rPr>
      <w:sz w:val="21"/>
      <w:szCs w:val="24"/>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35</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2020-12-16T16:01:45Z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