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庞水堂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马涛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现场审核过程了解到部门主要负责：市场调研与开发，招投标、商务谈判及合同评审、供方选择及能力评价与调查，顾客档案建立，售后服务及顾客满意度评价与分析，本部门环境因素识别控制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目标制定与实施，与相关方做好沟通，对供方环境因素等进行控制或施加影响等。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评审</w:t>
            </w:r>
            <w:r>
              <w:rPr>
                <w:rFonts w:hint="eastAsia" w:ascii="宋体" w:hAnsi="宋体"/>
                <w:color w:val="000000"/>
                <w:szCs w:val="21"/>
              </w:rPr>
              <w:t>率达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供应商、外包方考核评价率100</w:t>
            </w:r>
            <w:r>
              <w:rPr>
                <w:rFonts w:ascii="宋体" w:hAnsi="宋体" w:cs="Arial"/>
                <w:szCs w:val="21"/>
              </w:rPr>
              <w:t>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相关方施加影响</w:t>
            </w:r>
            <w:r>
              <w:rPr>
                <w:rFonts w:hint="eastAsia" w:ascii="宋体" w:hAnsi="宋体" w:cs="Arial"/>
                <w:szCs w:val="21"/>
              </w:rPr>
              <w:t>率</w:t>
            </w:r>
            <w:r>
              <w:rPr>
                <w:rFonts w:ascii="宋体" w:hAnsi="宋体" w:cs="Arial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20.7.30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2.公司目前销售的主要产品有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bookmarkStart w:id="0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J80、J90系列汽车变速器齿轮</w:t>
            </w:r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公司目前采购的主要原材料有：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各种钢材、钢砂、柴油、润滑油、液压油、铸造粘结剂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产品全部由厂家提供，均有合格证和使用说明以及检验报告。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.办公室和仓库内主要是电的使用，电器有漏电保护器，经常对电路、电源进行检查，没有露电现象发生，查见有消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月---20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.对外招投标和业务洽谈时明确承诺公司产品环保、无毒无害。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现场巡视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原材料和</w:t>
            </w:r>
            <w:r>
              <w:rPr>
                <w:rFonts w:hint="eastAsia" w:ascii="宋体" w:hAnsi="宋体" w:cs="楷体"/>
                <w:szCs w:val="21"/>
              </w:rPr>
              <w:t>产品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仓库，均</w:t>
            </w:r>
            <w:r>
              <w:rPr>
                <w:rFonts w:hint="eastAsia" w:ascii="宋体" w:hAnsi="宋体" w:cs="楷体"/>
                <w:szCs w:val="21"/>
              </w:rPr>
              <w:t>按规格堆放，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并贴有标识，符合要求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"/>
                <w:szCs w:val="21"/>
              </w:rPr>
              <w:t>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楷体"/>
                <w:szCs w:val="21"/>
              </w:rPr>
              <w:t>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月份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-</w:t>
            </w:r>
            <w:r>
              <w:rPr>
                <w:rFonts w:ascii="宋体" w:hAnsi="宋体" w:cs="楷体"/>
                <w:szCs w:val="21"/>
              </w:rPr>
              <w:t>2019.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楷体"/>
                <w:szCs w:val="21"/>
              </w:rPr>
              <w:t>月份消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cs="楷体"/>
                <w:szCs w:val="21"/>
              </w:rPr>
              <w:t>安全检查记录，未发现异常，检查人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马涛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3D7109C"/>
    <w:rsid w:val="108219C2"/>
    <w:rsid w:val="22A45B1C"/>
    <w:rsid w:val="2BD472C9"/>
    <w:rsid w:val="39F52ADD"/>
    <w:rsid w:val="4DC5634E"/>
    <w:rsid w:val="4EC17F0A"/>
    <w:rsid w:val="50F574B7"/>
    <w:rsid w:val="573033D2"/>
    <w:rsid w:val="5EA12B9A"/>
    <w:rsid w:val="6101086A"/>
    <w:rsid w:val="6A920F4D"/>
    <w:rsid w:val="7AC36EB8"/>
    <w:rsid w:val="7B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15</TotalTime>
  <ScaleCrop>false</ScaleCrop>
  <LinksUpToDate>false</LinksUpToDate>
  <CharactersWithSpaces>3628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2020-12-14T22:18:32Z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