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rPr>
      </w:pPr>
      <w:r>
        <w:rPr>
          <w:rFonts w:hint="default" w:ascii="Times New Roman" w:hAnsi="Times New Roman" w:eastAsia="楷体" w:cs="Times New Roman"/>
          <w:color w:val="000000"/>
          <w:sz w:val="24"/>
          <w:szCs w:val="24"/>
        </w:rPr>
        <w:t>合同编号：</w:t>
      </w:r>
      <w:bookmarkStart w:id="0" w:name="合同编号"/>
      <w:r>
        <w:rPr>
          <w:rFonts w:hint="default" w:ascii="Times New Roman" w:hAnsi="Times New Roman" w:eastAsia="楷体" w:cs="Times New Roman"/>
          <w:color w:val="000000"/>
          <w:sz w:val="24"/>
          <w:szCs w:val="24"/>
        </w:rPr>
        <w:t>0</w:t>
      </w:r>
      <w:r>
        <w:rPr>
          <w:rFonts w:hint="eastAsia" w:ascii="Times New Roman" w:hAnsi="Times New Roman" w:eastAsia="楷体" w:cs="Times New Roman"/>
          <w:color w:val="000000"/>
          <w:sz w:val="24"/>
          <w:szCs w:val="24"/>
          <w:lang w:val="en-US" w:eastAsia="zh-CN"/>
        </w:rPr>
        <w:t>713</w:t>
      </w:r>
      <w:r>
        <w:rPr>
          <w:rFonts w:hint="default" w:ascii="Times New Roman" w:hAnsi="Times New Roman" w:eastAsia="楷体" w:cs="Times New Roman"/>
          <w:color w:val="000000"/>
          <w:sz w:val="24"/>
          <w:szCs w:val="24"/>
        </w:rPr>
        <w:t>-2020-QJEO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承德国佑鸿路绿色建筑科技有限公司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32"/>
        <w:gridCol w:w="26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40"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7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b/>
                <w:color w:val="000000"/>
                <w:sz w:val="20"/>
                <w:szCs w:val="20"/>
              </w:rPr>
              <w:t>010-53516258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sz w:val="20"/>
                <w:szCs w:val="20"/>
              </w:rPr>
              <w:t>010-53516258</w:t>
            </w:r>
          </w:p>
        </w:tc>
        <w:tc>
          <w:tcPr>
            <w:tcW w:w="732" w:type="dxa"/>
            <w:vAlign w:val="center"/>
          </w:tcPr>
          <w:p>
            <w:pPr>
              <w:rPr>
                <w:b/>
                <w:color w:val="000000"/>
                <w:sz w:val="20"/>
                <w:szCs w:val="20"/>
              </w:rPr>
            </w:pPr>
            <w:r>
              <w:rPr>
                <w:rFonts w:hint="eastAsia"/>
                <w:b/>
                <w:color w:val="000000"/>
                <w:sz w:val="20"/>
                <w:szCs w:val="20"/>
              </w:rPr>
              <w:t>邮箱</w:t>
            </w:r>
          </w:p>
        </w:tc>
        <w:tc>
          <w:tcPr>
            <w:tcW w:w="2441"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sz w:val="21"/>
                <w:szCs w:val="21"/>
              </w:rPr>
            </w:pPr>
            <w:r>
              <w:rPr>
                <w:sz w:val="21"/>
                <w:szCs w:val="21"/>
              </w:rPr>
              <w:t>吉洁</w:t>
            </w:r>
          </w:p>
        </w:tc>
        <w:tc>
          <w:tcPr>
            <w:tcW w:w="851" w:type="dxa"/>
            <w:gridSpan w:val="2"/>
            <w:vAlign w:val="center"/>
          </w:tcPr>
          <w:p>
            <w:pPr>
              <w:jc w:val="center"/>
              <w:rPr>
                <w:rFonts w:hint="eastAsia"/>
                <w:sz w:val="21"/>
                <w:szCs w:val="21"/>
                <w:lang w:val="en-US" w:eastAsia="zh-CN"/>
              </w:rPr>
            </w:pPr>
            <w:r>
              <w:rPr>
                <w:rFonts w:hint="default"/>
                <w:sz w:val="21"/>
                <w:szCs w:val="21"/>
              </w:rPr>
              <w:t>组长</w:t>
            </w:r>
            <w:r>
              <w:rPr>
                <w:rFonts w:hint="eastAsia"/>
                <w:sz w:val="21"/>
                <w:szCs w:val="21"/>
                <w:lang w:val="en-US" w:eastAsia="zh-CN"/>
              </w:rPr>
              <w:t>EO</w:t>
            </w:r>
          </w:p>
        </w:tc>
        <w:tc>
          <w:tcPr>
            <w:tcW w:w="1417" w:type="dxa"/>
            <w:gridSpan w:val="2"/>
            <w:vAlign w:val="center"/>
          </w:tcPr>
          <w:p>
            <w:pPr>
              <w:jc w:val="center"/>
              <w:rPr>
                <w:sz w:val="21"/>
                <w:szCs w:val="21"/>
              </w:rPr>
            </w:pPr>
            <w:r>
              <w:rPr>
                <w:sz w:val="21"/>
                <w:szCs w:val="21"/>
              </w:rPr>
              <w:t>女</w:t>
            </w:r>
          </w:p>
        </w:tc>
        <w:tc>
          <w:tcPr>
            <w:tcW w:w="3402" w:type="dxa"/>
            <w:gridSpan w:val="4"/>
            <w:vAlign w:val="center"/>
          </w:tcPr>
          <w:p>
            <w:pPr>
              <w:jc w:val="center"/>
              <w:rPr>
                <w:sz w:val="21"/>
                <w:szCs w:val="21"/>
              </w:rPr>
            </w:pPr>
            <w:r>
              <w:rPr>
                <w:rFonts w:hint="eastAsia"/>
                <w:sz w:val="21"/>
                <w:szCs w:val="21"/>
                <w:lang w:eastAsia="zh-CN"/>
              </w:rPr>
              <w:t>Q</w:t>
            </w:r>
            <w:r>
              <w:rPr>
                <w:sz w:val="21"/>
                <w:szCs w:val="21"/>
              </w:rPr>
              <w:t>:审核员</w:t>
            </w:r>
          </w:p>
          <w:p>
            <w:pPr>
              <w:jc w:val="center"/>
              <w:rPr>
                <w:sz w:val="21"/>
                <w:szCs w:val="21"/>
              </w:rPr>
            </w:pPr>
            <w:r>
              <w:rPr>
                <w:sz w:val="21"/>
                <w:szCs w:val="21"/>
              </w:rPr>
              <w:t>E:审核员</w:t>
            </w:r>
          </w:p>
          <w:p>
            <w:pPr>
              <w:jc w:val="center"/>
              <w:rPr>
                <w:sz w:val="21"/>
                <w:szCs w:val="21"/>
              </w:rPr>
            </w:pPr>
            <w:r>
              <w:rPr>
                <w:sz w:val="21"/>
                <w:szCs w:val="21"/>
              </w:rPr>
              <w:t>O:审核员</w:t>
            </w:r>
          </w:p>
        </w:tc>
        <w:tc>
          <w:tcPr>
            <w:tcW w:w="2179"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sz w:val="21"/>
                <w:szCs w:val="21"/>
              </w:rPr>
            </w:pPr>
            <w:r>
              <w:rPr>
                <w:sz w:val="21"/>
                <w:szCs w:val="21"/>
              </w:rPr>
              <w:t>周文廷</w:t>
            </w:r>
          </w:p>
        </w:tc>
        <w:tc>
          <w:tcPr>
            <w:tcW w:w="851" w:type="dxa"/>
            <w:gridSpan w:val="2"/>
            <w:vAlign w:val="center"/>
          </w:tcPr>
          <w:p>
            <w:pPr>
              <w:jc w:val="center"/>
              <w:rPr>
                <w:rFonts w:hint="default"/>
                <w:sz w:val="21"/>
                <w:szCs w:val="21"/>
                <w:lang w:val="en-US" w:eastAsia="zh-CN"/>
              </w:rPr>
            </w:pPr>
            <w:r>
              <w:rPr>
                <w:rFonts w:hint="default"/>
                <w:sz w:val="21"/>
                <w:szCs w:val="21"/>
              </w:rPr>
              <w:t>组</w:t>
            </w:r>
            <w:r>
              <w:rPr>
                <w:rFonts w:hint="eastAsia"/>
                <w:sz w:val="21"/>
                <w:szCs w:val="21"/>
                <w:lang w:val="en-US" w:eastAsia="zh-CN"/>
              </w:rPr>
              <w:t>长EC</w:t>
            </w:r>
          </w:p>
        </w:tc>
        <w:tc>
          <w:tcPr>
            <w:tcW w:w="1417" w:type="dxa"/>
            <w:gridSpan w:val="2"/>
            <w:vAlign w:val="center"/>
          </w:tcPr>
          <w:p>
            <w:pPr>
              <w:jc w:val="center"/>
              <w:rPr>
                <w:sz w:val="21"/>
                <w:szCs w:val="21"/>
              </w:rPr>
            </w:pPr>
            <w:r>
              <w:rPr>
                <w:sz w:val="21"/>
                <w:szCs w:val="21"/>
              </w:rPr>
              <w:t>男</w:t>
            </w:r>
          </w:p>
        </w:tc>
        <w:tc>
          <w:tcPr>
            <w:tcW w:w="3402" w:type="dxa"/>
            <w:gridSpan w:val="4"/>
            <w:vAlign w:val="center"/>
          </w:tcPr>
          <w:p>
            <w:pPr>
              <w:jc w:val="center"/>
              <w:rPr>
                <w:sz w:val="21"/>
                <w:szCs w:val="21"/>
              </w:rPr>
            </w:pPr>
            <w:r>
              <w:rPr>
                <w:rFonts w:hint="eastAsia"/>
                <w:sz w:val="21"/>
                <w:szCs w:val="21"/>
                <w:lang w:eastAsia="zh-CN"/>
              </w:rPr>
              <w:t>EC</w:t>
            </w:r>
            <w:r>
              <w:rPr>
                <w:sz w:val="21"/>
                <w:szCs w:val="21"/>
              </w:rPr>
              <w:t>:审核员</w:t>
            </w:r>
          </w:p>
          <w:p>
            <w:pPr>
              <w:jc w:val="center"/>
              <w:rPr>
                <w:sz w:val="21"/>
                <w:szCs w:val="21"/>
              </w:rPr>
            </w:pPr>
            <w:r>
              <w:rPr>
                <w:sz w:val="21"/>
                <w:szCs w:val="21"/>
              </w:rPr>
              <w:t>E:专家</w:t>
            </w:r>
          </w:p>
          <w:p>
            <w:pPr>
              <w:jc w:val="center"/>
              <w:rPr>
                <w:sz w:val="21"/>
                <w:szCs w:val="21"/>
              </w:rPr>
            </w:pPr>
            <w:r>
              <w:rPr>
                <w:sz w:val="21"/>
                <w:szCs w:val="21"/>
              </w:rPr>
              <w:t>O:专家</w:t>
            </w:r>
          </w:p>
        </w:tc>
        <w:tc>
          <w:tcPr>
            <w:tcW w:w="2179" w:type="dxa"/>
            <w:gridSpan w:val="2"/>
            <w:vAlign w:val="center"/>
          </w:tcPr>
          <w:p>
            <w:pPr>
              <w:jc w:val="center"/>
              <w:rPr>
                <w:rFonts w:hint="eastAsia"/>
                <w:sz w:val="21"/>
                <w:szCs w:val="21"/>
                <w:lang w:eastAsia="zh-CN"/>
              </w:rPr>
            </w:pPr>
            <w:r>
              <w:rPr>
                <w:rFonts w:hint="eastAsia"/>
                <w:sz w:val="21"/>
                <w:szCs w:val="21"/>
                <w:lang w:eastAsia="zh-CN"/>
              </w:rPr>
              <w:t>EC</w:t>
            </w:r>
            <w:r>
              <w:rPr>
                <w:sz w:val="21"/>
                <w:szCs w:val="21"/>
              </w:rPr>
              <w:t>:</w:t>
            </w:r>
            <w:r>
              <w:rPr>
                <w:rFonts w:hint="eastAsia"/>
                <w:sz w:val="21"/>
                <w:szCs w:val="21"/>
                <w:lang w:eastAsia="zh-CN"/>
              </w:rPr>
              <w:t>28.09.02</w:t>
            </w:r>
          </w:p>
          <w:p>
            <w:pPr>
              <w:jc w:val="center"/>
              <w:rPr>
                <w:rFonts w:hint="eastAsia"/>
                <w:sz w:val="21"/>
                <w:szCs w:val="21"/>
                <w:lang w:eastAsia="zh-CN"/>
              </w:rPr>
            </w:pPr>
            <w:r>
              <w:rPr>
                <w:sz w:val="21"/>
                <w:szCs w:val="21"/>
              </w:rPr>
              <w:t>E:</w:t>
            </w:r>
            <w:r>
              <w:rPr>
                <w:rFonts w:hint="eastAsia"/>
                <w:sz w:val="21"/>
                <w:szCs w:val="21"/>
                <w:lang w:eastAsia="zh-CN"/>
              </w:rPr>
              <w:t>28.09.02</w:t>
            </w:r>
          </w:p>
          <w:p>
            <w:pPr>
              <w:jc w:val="center"/>
              <w:rPr>
                <w:rFonts w:hint="eastAsia"/>
                <w:sz w:val="21"/>
                <w:szCs w:val="21"/>
                <w:lang w:eastAsia="zh-CN"/>
              </w:rPr>
            </w:pPr>
            <w:r>
              <w:rPr>
                <w:sz w:val="21"/>
                <w:szCs w:val="21"/>
              </w:rPr>
              <w:t>O:</w:t>
            </w:r>
            <w:r>
              <w:rPr>
                <w:rFonts w:hint="eastAsia"/>
                <w:sz w:val="21"/>
                <w:szCs w:val="21"/>
                <w:lang w:eastAsia="zh-CN"/>
              </w:rP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杨杰</w:t>
            </w:r>
          </w:p>
        </w:tc>
        <w:tc>
          <w:tcPr>
            <w:tcW w:w="851" w:type="dxa"/>
            <w:gridSpan w:val="2"/>
            <w:vAlign w:val="center"/>
          </w:tcPr>
          <w:p>
            <w:pPr>
              <w:jc w:val="center"/>
              <w:rPr>
                <w:rFonts w:hint="default" w:ascii="Times New Roman" w:hAnsi="Times New Roman" w:eastAsia="宋体" w:cs="Times New Roman"/>
                <w:kern w:val="2"/>
                <w:sz w:val="21"/>
                <w:szCs w:val="21"/>
                <w:lang w:val="en-US" w:eastAsia="zh-CN" w:bidi="ar-SA"/>
              </w:rPr>
            </w:pPr>
            <w:r>
              <w:rPr>
                <w:sz w:val="21"/>
                <w:szCs w:val="21"/>
              </w:rPr>
              <w:t>组员</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rFonts w:hint="eastAsia"/>
                <w:sz w:val="21"/>
                <w:szCs w:val="21"/>
                <w:lang w:val="en-US" w:eastAsia="zh-CN"/>
              </w:rPr>
              <w:t>Q</w:t>
            </w:r>
            <w:r>
              <w:rPr>
                <w:sz w:val="21"/>
                <w:szCs w:val="21"/>
              </w:rPr>
              <w:t>:审核员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hint="default" w:ascii="Times New Roman" w:hAnsi="Times New Roman" w:cs="Times New Roman"/>
          <w:b/>
          <w:sz w:val="21"/>
          <w:szCs w:val="21"/>
        </w:rPr>
        <w:t>GB/T50430-2017</w:t>
      </w:r>
      <w:r>
        <w:rPr>
          <w:rFonts w:ascii="宋体" w:hAnsi="宋体"/>
          <w:b/>
          <w:color w:val="000000"/>
          <w:sz w:val="20"/>
          <w:szCs w:val="20"/>
          <w:lang w:val="de-DE"/>
        </w:rPr>
        <w:t xml:space="preserve">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bookmarkStart w:id="5"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5"/>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39"/>
        <w:gridCol w:w="72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承德国佑鸿路绿色建筑科技有限公司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35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6" w:name="注册地址"/>
            <w:r>
              <w:rPr>
                <w:rFonts w:hint="eastAsia" w:ascii="宋体"/>
                <w:b/>
                <w:color w:val="000000"/>
                <w:sz w:val="20"/>
                <w:szCs w:val="20"/>
                <w:lang w:eastAsia="zh-CN"/>
              </w:rPr>
              <w:t>河北省承德市平泉市平泉镇瀑河沿村（平泉经济开发区机场路99号）</w:t>
            </w:r>
            <w:bookmarkEnd w:id="6"/>
          </w:p>
        </w:tc>
        <w:tc>
          <w:tcPr>
            <w:tcW w:w="72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7" w:name="注册邮编"/>
            <w:r>
              <w:rPr>
                <w:rFonts w:ascii="宋体"/>
                <w:b/>
                <w:color w:val="000000"/>
                <w:sz w:val="20"/>
                <w:szCs w:val="20"/>
              </w:rPr>
              <w:t>0</w:t>
            </w:r>
            <w:bookmarkEnd w:id="7"/>
            <w:r>
              <w:rPr>
                <w:rFonts w:hint="eastAsia" w:ascii="宋体"/>
                <w:b/>
                <w:color w:val="000000"/>
                <w:sz w:val="20"/>
                <w:szCs w:val="20"/>
                <w:lang w:val="en-US" w:eastAsia="zh-CN"/>
              </w:rPr>
              <w:t>68100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35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经营地址"/>
            <w:bookmarkEnd w:id="8"/>
            <w:r>
              <w:rPr>
                <w:rFonts w:hint="eastAsia" w:ascii="宋体"/>
                <w:b/>
                <w:color w:val="000000"/>
                <w:sz w:val="20"/>
                <w:szCs w:val="20"/>
                <w:lang w:eastAsia="zh-CN"/>
              </w:rPr>
              <w:t>河北省承德市平泉市平泉镇瀑河沿村（平泉经济开发区机场路99号）</w:t>
            </w:r>
          </w:p>
        </w:tc>
        <w:tc>
          <w:tcPr>
            <w:tcW w:w="72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9" w:name="经营邮编"/>
            <w:bookmarkEnd w:id="9"/>
            <w:bookmarkStart w:id="10" w:name="生产邮编Add1"/>
            <w:r>
              <w:rPr>
                <w:rFonts w:ascii="宋体"/>
                <w:b/>
                <w:color w:val="000000"/>
                <w:sz w:val="20"/>
                <w:szCs w:val="20"/>
              </w:rPr>
              <w:t>0</w:t>
            </w:r>
            <w:bookmarkEnd w:id="10"/>
            <w:r>
              <w:rPr>
                <w:rFonts w:hint="eastAsia" w:ascii="宋体"/>
                <w:b/>
                <w:color w:val="000000"/>
                <w:sz w:val="20"/>
                <w:szCs w:val="20"/>
                <w:lang w:val="en-US" w:eastAsia="zh-CN"/>
              </w:rPr>
              <w:t>68100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1" w:name="联系人电话"/>
            <w:r>
              <w:rPr>
                <w:sz w:val="21"/>
                <w:szCs w:val="21"/>
              </w:rPr>
              <w:t>李洋</w:t>
            </w:r>
            <w:bookmarkEnd w:id="11"/>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电话</w:t>
            </w:r>
          </w:p>
        </w:tc>
        <w:tc>
          <w:tcPr>
            <w:tcW w:w="183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2" w:name="联系人"/>
            <w:r>
              <w:rPr>
                <w:sz w:val="21"/>
                <w:szCs w:val="21"/>
              </w:rPr>
              <w:t>17631103666</w:t>
            </w:r>
            <w:bookmarkEnd w:id="12"/>
          </w:p>
        </w:tc>
        <w:tc>
          <w:tcPr>
            <w:tcW w:w="728"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传真</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3" w:name="联系人传真Add1"/>
            <w:bookmarkEnd w:id="13"/>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楷体" w:hAnsi="楷体" w:eastAsia="楷体" w:cs="宋体"/>
              </w:rPr>
              <w:t>项江涛</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管理者代表</w:t>
            </w:r>
          </w:p>
        </w:tc>
        <w:tc>
          <w:tcPr>
            <w:tcW w:w="183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楷体" w:hAnsi="楷体" w:eastAsia="楷体"/>
              </w:rPr>
              <w:t>高文博</w:t>
            </w:r>
          </w:p>
        </w:tc>
        <w:tc>
          <w:tcPr>
            <w:tcW w:w="728"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b/>
                <w:color w:val="000000"/>
                <w:sz w:val="20"/>
                <w:szCs w:val="20"/>
              </w:rPr>
              <w:t>邮箱</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4" w:name="联系人邮箱Add1"/>
            <w:bookmarkEnd w:id="14"/>
            <w:bookmarkStart w:id="15" w:name="联系人邮箱"/>
            <w:r>
              <w:rPr>
                <w:sz w:val="21"/>
                <w:szCs w:val="21"/>
              </w:rPr>
              <w:t>769487764@qq.com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u w:val="single"/>
                <w:lang w:eastAsia="zh-CN"/>
              </w:rPr>
            </w:pPr>
            <w:bookmarkStart w:id="16" w:name="审核范围"/>
            <w:r>
              <w:rPr>
                <w:rFonts w:hint="eastAsia" w:ascii="宋体" w:hAnsi="宋体"/>
                <w:b/>
                <w:color w:val="000000"/>
                <w:sz w:val="20"/>
                <w:szCs w:val="20"/>
                <w:lang w:eastAsia="zh-CN"/>
              </w:rPr>
              <w:t>EC</w:t>
            </w:r>
            <w:r>
              <w:rPr>
                <w:rFonts w:ascii="宋体" w:hAnsi="宋体"/>
                <w:b/>
                <w:color w:val="000000"/>
                <w:sz w:val="20"/>
                <w:szCs w:val="20"/>
              </w:rPr>
              <w:t>：</w:t>
            </w:r>
            <w:r>
              <w:rPr>
                <w:rFonts w:hint="eastAsia" w:ascii="宋体" w:hAnsi="宋体"/>
                <w:b/>
                <w:color w:val="000000"/>
                <w:sz w:val="20"/>
                <w:szCs w:val="20"/>
                <w:lang w:eastAsia="zh-CN"/>
              </w:rPr>
              <w:t>资质范围内钢结构工程的专业承包</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资质范围内钢结构工程的专业承包</w:t>
            </w:r>
            <w:r>
              <w:rPr>
                <w:rFonts w:ascii="宋体" w:hAnsi="宋体"/>
                <w:b/>
                <w:color w:val="000000"/>
                <w:sz w:val="20"/>
                <w:szCs w:val="20"/>
              </w:rPr>
              <w:t>所涉及的相关环境管理活动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资质范围内钢结构工程的专业承包</w:t>
            </w:r>
            <w:r>
              <w:rPr>
                <w:rFonts w:ascii="宋体" w:hAnsi="宋体"/>
                <w:b/>
                <w:color w:val="000000"/>
                <w:sz w:val="20"/>
                <w:szCs w:val="20"/>
              </w:rPr>
              <w:t>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7" w:name="专业代码"/>
            <w:r>
              <w:rPr>
                <w:rFonts w:hint="eastAsia" w:ascii="宋体"/>
                <w:b/>
                <w:color w:val="000000"/>
                <w:sz w:val="20"/>
                <w:szCs w:val="20"/>
                <w:lang w:eastAsia="zh-CN"/>
              </w:rPr>
              <w:t>28.09.02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见项目清单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w:t>
      </w:r>
      <w:r>
        <w:rPr>
          <w:rFonts w:hint="eastAsia" w:ascii="宋体" w:hAnsi="宋体"/>
          <w:b/>
          <w:color w:val="000000"/>
          <w:sz w:val="20"/>
          <w:szCs w:val="20"/>
          <w:lang w:val="en-US" w:eastAsia="zh-CN"/>
        </w:rPr>
        <w:t>报</w:t>
      </w:r>
      <w:r>
        <w:rPr>
          <w:rFonts w:hint="eastAsia" w:ascii="宋体" w:hAnsi="宋体"/>
          <w:b/>
          <w:color w:val="000000"/>
          <w:sz w:val="20"/>
          <w:szCs w:val="20"/>
        </w:rPr>
        <w:t>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管理层、办公室、工程技术部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2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eastAsia" w:ascii="宋体" w:eastAsia="宋体"/>
                <w:b/>
                <w:color w:val="000000"/>
                <w:sz w:val="20"/>
                <w:szCs w:val="20"/>
                <w:lang w:val="en-US" w:eastAsia="zh-CN"/>
              </w:rPr>
            </w:pPr>
            <w:r>
              <w:rPr>
                <w:rFonts w:hint="eastAsia"/>
                <w:sz w:val="21"/>
                <w:szCs w:val="21"/>
                <w:lang w:eastAsia="zh-CN"/>
              </w:rPr>
              <w:t>资质范围内钢结构工程的专业承包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2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管理层、办公室、工程技术部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2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2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工程技术部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2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2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2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河北省承德市平泉市平泉镇瀑河沿村（平泉经济开发区机场路99号）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default"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河北省承德市平泉市平泉镇瀑河沿村（平泉经济开发区机场路99号）</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2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有种产品，规格型号种有条生产线，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建筑业企业资质证书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w:t>
            </w:r>
            <w:r>
              <w:rPr>
                <w:rFonts w:hint="eastAsia" w:ascii="宋体"/>
                <w:color w:val="000000"/>
                <w:sz w:val="20"/>
                <w:szCs w:val="20"/>
              </w:rPr>
              <w:t>技术标准号：《高层民用建筑钢结构技术规程(JGJ99-98)》</w:t>
            </w:r>
            <w:r>
              <w:rPr>
                <w:rFonts w:hint="eastAsia" w:ascii="宋体"/>
                <w:color w:val="000000"/>
                <w:sz w:val="20"/>
                <w:szCs w:val="20"/>
                <w:lang w:eastAsia="zh-CN"/>
              </w:rPr>
              <w:t>、</w:t>
            </w:r>
            <w:r>
              <w:rPr>
                <w:rFonts w:hint="eastAsia" w:ascii="宋体"/>
                <w:color w:val="000000"/>
                <w:sz w:val="20"/>
                <w:szCs w:val="20"/>
              </w:rPr>
              <w:t>《门式刚架轻型房屋钢结构技术规程》(CECS102：2002)□合同：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eastAsia="zh-CN"/>
              </w:rPr>
            </w:pPr>
            <w:r>
              <w:rPr>
                <w:rFonts w:hint="eastAsia" w:ascii="宋体"/>
                <w:color w:val="000000"/>
                <w:sz w:val="20"/>
                <w:szCs w:val="20"/>
              </w:rPr>
              <w:t>环境执行标准：</w:t>
            </w:r>
            <w:r>
              <w:rPr>
                <w:rFonts w:hint="default" w:ascii="Times New Roman" w:hAnsi="Times New Roman" w:cs="Times New Roman"/>
                <w:color w:val="000000"/>
                <w:sz w:val="20"/>
                <w:szCs w:val="20"/>
              </w:rPr>
              <w:t>GB3095-2012《环境空气质量标准》</w:t>
            </w:r>
            <w:r>
              <w:rPr>
                <w:rFonts w:hint="default" w:ascii="Times New Roman" w:hAnsi="Times New Roman" w:cs="Times New Roman"/>
                <w:color w:val="000000"/>
                <w:sz w:val="20"/>
                <w:szCs w:val="20"/>
                <w:lang w:eastAsia="zh-CN"/>
              </w:rPr>
              <w:t>、 GB12523-2011</w:t>
            </w:r>
            <w:r>
              <w:rPr>
                <w:rFonts w:hint="eastAsia" w:cs="Times New Roman"/>
                <w:color w:val="000000"/>
                <w:sz w:val="20"/>
                <w:szCs w:val="20"/>
                <w:lang w:eastAsia="zh-CN"/>
              </w:rPr>
              <w:t>《</w:t>
            </w:r>
            <w:r>
              <w:rPr>
                <w:rFonts w:hint="default" w:ascii="Times New Roman" w:hAnsi="Times New Roman" w:cs="Times New Roman"/>
                <w:color w:val="000000"/>
                <w:sz w:val="20"/>
                <w:szCs w:val="20"/>
                <w:lang w:eastAsia="zh-CN"/>
              </w:rPr>
              <w:t>建筑施工场界环境噪声排放标准</w:t>
            </w:r>
            <w:r>
              <w:rPr>
                <w:rFonts w:hint="eastAsia"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1"/>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测量（标高、轴线）→场地三通一平→就位准备→柱吊装→校正后临时固定→柱最后固定→梁吊装→就位临时固定→柱间支撑吊装→屋架吊装→支撑吊装→拼装就位临时加固→屋面系统安装→零星构件安装→收尾、验收资料准备→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color w:val="000000"/>
                <w:sz w:val="20"/>
                <w:szCs w:val="20"/>
                <w:lang w:val="en-US" w:eastAsia="zh-CN"/>
              </w:rPr>
            </w:pPr>
            <w:r>
              <w:rPr>
                <w:rFonts w:hint="eastAsia" w:ascii="宋体"/>
                <w:color w:val="000000"/>
                <w:sz w:val="20"/>
                <w:szCs w:val="20"/>
              </w:rPr>
              <w:t>关键过程有：柱固定、支撑安装、屋架安装、墙板安装、屋顶安装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lang w:eastAsia="zh-CN"/>
              </w:rPr>
            </w:pPr>
            <w:r>
              <w:rPr>
                <w:rFonts w:hint="eastAsia" w:ascii="宋体"/>
                <w:color w:val="000000"/>
                <w:sz w:val="20"/>
                <w:szCs w:val="20"/>
              </w:rPr>
              <w:t>针对关键过程建立的控制文件有：施工机具管理制度、安全生产管理制度、工程技术管理制度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color w:val="000000"/>
                <w:sz w:val="20"/>
                <w:szCs w:val="20"/>
                <w:lang w:val="en-US" w:eastAsia="zh-CN"/>
              </w:rPr>
            </w:pPr>
            <w:r>
              <w:rPr>
                <w:rFonts w:hint="eastAsia" w:ascii="宋体"/>
                <w:color w:val="000000"/>
                <w:sz w:val="20"/>
                <w:szCs w:val="20"/>
              </w:rPr>
              <w:t>需要确认过程：</w:t>
            </w:r>
            <w:r>
              <w:rPr>
                <w:rFonts w:hint="eastAsia" w:ascii="宋体"/>
                <w:color w:val="000000"/>
                <w:sz w:val="20"/>
                <w:szCs w:val="20"/>
                <w:lang w:val="zh-CN"/>
              </w:rPr>
              <w:t>焊接、涂装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rPr>
              <w:t>否明确了过程的确认准则</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外包过程有：机械设备的租赁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lang w:val="en-US" w:eastAsia="zh-CN"/>
              </w:rPr>
            </w:pPr>
            <w:r>
              <w:rPr>
                <w:rFonts w:hint="eastAsia" w:ascii="宋体"/>
                <w:color w:val="000000"/>
                <w:sz w:val="20"/>
                <w:szCs w:val="20"/>
              </w:rPr>
              <w:t>是否明确了外包过程的控制方法：</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主要设备：电焊机、电焊条烘箱、焊条筒、缆风绳、主绳、吊点绳、千斤顶、油刷、汽车吊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lang w:val="en-US" w:eastAsia="zh-CN"/>
              </w:rPr>
            </w:pPr>
            <w:r>
              <w:rPr>
                <w:rFonts w:hint="eastAsia" w:ascii="宋体"/>
                <w:color w:val="000000"/>
                <w:sz w:val="20"/>
                <w:szCs w:val="20"/>
              </w:rPr>
              <w:t>特种设备：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监视和测量设备（请简述主要监视和测量设备）：钢卷尺、水准仪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olor w:val="000000"/>
                <w:sz w:val="20"/>
                <w:szCs w:val="20"/>
              </w:rPr>
            </w:pPr>
            <w:r>
              <w:rPr>
                <w:rFonts w:hint="eastAsia" w:ascii="宋体"/>
                <w:color w:val="000000"/>
                <w:sz w:val="20"/>
                <w:szCs w:val="20"/>
              </w:rPr>
              <w:t>现场查看办公面积</w:t>
            </w:r>
            <w:r>
              <w:rPr>
                <w:rFonts w:hint="eastAsia" w:ascii="宋体"/>
                <w:color w:val="000000"/>
                <w:sz w:val="20"/>
                <w:szCs w:val="20"/>
                <w:lang w:val="en-US" w:eastAsia="zh-CN"/>
              </w:rPr>
              <w:t>300平米</w:t>
            </w:r>
            <w:r>
              <w:rPr>
                <w:rFonts w:hint="eastAsia" w:ascii="宋体"/>
                <w:color w:val="000000"/>
                <w:sz w:val="20"/>
                <w:szCs w:val="20"/>
              </w:rPr>
              <w:t>适宜，光线充足、温度适宜，配有绿植、暖气、引水机等，办公环境满足要求。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查看施工现场</w:t>
            </w:r>
            <w:r>
              <w:rPr>
                <w:rFonts w:hint="eastAsia" w:ascii="宋体"/>
                <w:color w:val="000000"/>
                <w:sz w:val="20"/>
                <w:szCs w:val="20"/>
              </w:rPr>
              <w:t>安全适用，卫生健康，整洁舒适；对施工场地机具设备、各类原材料及半成品堆放布置要求井然有序；推行现场文明施工</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固废排放、噪声排放、火灾事故的发生、废气排放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针对重要环境因素建立了运行控制程序：废弃物排放及噪声控制程序、消防控制程序、应急准备和响应控制程序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火灾事故的发生、触电、噪声伤害、意外伤害、物体打击、高空坠落、机械/车辆伤害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针对不可接受风险建立运行控制程序：劳动防护用品控制程序、消防控制程序、应急准备和响应控制程序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p>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62</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8</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办公室、工程技术部、商务部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办公室、工程技术部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办公室、工程技术部</w:t>
            </w:r>
          </w:p>
        </w:tc>
      </w:tr>
    </w:tbl>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rFonts w:hint="eastAsia" w:ascii="Times New Roman" w:hAnsi="Times New Roman" w:eastAsia="宋体" w:cs="Times New Roman"/>
          <w:sz w:val="21"/>
          <w:szCs w:val="21"/>
          <w:lang w:eastAsia="zh-CN"/>
        </w:rPr>
      </w:pPr>
      <w:r>
        <w:rPr>
          <w:rFonts w:hint="eastAsia" w:cs="Times New Roman"/>
          <w:sz w:val="21"/>
          <w:szCs w:val="21"/>
          <w:lang w:eastAsia="zh-CN"/>
        </w:rPr>
        <w:t>EC</w:t>
      </w:r>
      <w:r>
        <w:rPr>
          <w:rFonts w:hint="default" w:ascii="Times New Roman" w:hAnsi="Times New Roman" w:cs="Times New Roman"/>
          <w:sz w:val="21"/>
          <w:szCs w:val="21"/>
        </w:rPr>
        <w:t>：</w:t>
      </w:r>
      <w:r>
        <w:rPr>
          <w:rFonts w:hint="eastAsia" w:cs="Times New Roman"/>
          <w:sz w:val="21"/>
          <w:szCs w:val="21"/>
          <w:lang w:eastAsia="zh-CN"/>
        </w:rPr>
        <w:t>资质范围内钢结构工程的专业承包</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E：</w:t>
      </w:r>
      <w:r>
        <w:rPr>
          <w:rFonts w:hint="eastAsia" w:cs="Times New Roman"/>
          <w:sz w:val="21"/>
          <w:szCs w:val="21"/>
          <w:lang w:eastAsia="zh-CN"/>
        </w:rPr>
        <w:t>资质范围内钢结构工程的专业承包</w:t>
      </w:r>
      <w:r>
        <w:rPr>
          <w:rFonts w:hint="default" w:ascii="Times New Roman" w:hAnsi="Times New Roman" w:cs="Times New Roman"/>
          <w:sz w:val="21"/>
          <w:szCs w:val="21"/>
        </w:rPr>
        <w:t>所涉及的相关环境管理活动</w:t>
      </w:r>
    </w:p>
    <w:p>
      <w:pPr>
        <w:spacing w:line="300" w:lineRule="auto"/>
        <w:ind w:firstLine="210" w:firstLineChars="100"/>
        <w:rPr>
          <w:rFonts w:hint="eastAsia" w:ascii="宋体" w:hAnsi="宋体"/>
          <w:b/>
          <w:color w:val="000000"/>
          <w:sz w:val="20"/>
          <w:szCs w:val="20"/>
        </w:rPr>
      </w:pPr>
      <w:r>
        <w:rPr>
          <w:rFonts w:hint="default" w:ascii="Times New Roman" w:hAnsi="Times New Roman" w:cs="Times New Roman"/>
          <w:sz w:val="21"/>
          <w:szCs w:val="21"/>
        </w:rPr>
        <w:t>O：</w:t>
      </w:r>
      <w:r>
        <w:rPr>
          <w:rFonts w:hint="eastAsia" w:cs="Times New Roman"/>
          <w:sz w:val="21"/>
          <w:szCs w:val="21"/>
          <w:lang w:eastAsia="zh-CN"/>
        </w:rPr>
        <w:t>资质范围内钢结构工程的专业承包</w:t>
      </w:r>
      <w:r>
        <w:rPr>
          <w:rFonts w:hint="default" w:ascii="Times New Roman" w:hAnsi="Times New Roman" w:cs="Times New Roman"/>
          <w:sz w:val="21"/>
          <w:szCs w:val="21"/>
        </w:rPr>
        <w:t>所涉及的相关职业健康安全管理活动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0288" behindDoc="0" locked="0" layoutInCell="1" allowOverlap="1">
            <wp:simplePos x="0" y="0"/>
            <wp:positionH relativeFrom="column">
              <wp:posOffset>1784350</wp:posOffset>
            </wp:positionH>
            <wp:positionV relativeFrom="paragraph">
              <wp:posOffset>206375</wp:posOffset>
            </wp:positionV>
            <wp:extent cx="1494155" cy="507365"/>
            <wp:effectExtent l="0" t="0" r="4445" b="63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494155" cy="50736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bookmarkStart w:id="18" w:name="_GoBack"/>
      <w:r>
        <w:drawing>
          <wp:anchor distT="0" distB="0" distL="114300" distR="114300" simplePos="0" relativeHeight="251671552" behindDoc="0" locked="0" layoutInCell="1" allowOverlap="1">
            <wp:simplePos x="0" y="0"/>
            <wp:positionH relativeFrom="column">
              <wp:posOffset>1757045</wp:posOffset>
            </wp:positionH>
            <wp:positionV relativeFrom="paragraph">
              <wp:posOffset>172085</wp:posOffset>
            </wp:positionV>
            <wp:extent cx="887095" cy="416560"/>
            <wp:effectExtent l="0" t="0" r="1905"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87095" cy="416560"/>
                    </a:xfrm>
                    <a:prstGeom prst="rect">
                      <a:avLst/>
                    </a:prstGeom>
                    <a:noFill/>
                    <a:ln>
                      <a:noFill/>
                    </a:ln>
                  </pic:spPr>
                </pic:pic>
              </a:graphicData>
            </a:graphic>
          </wp:anchor>
        </w:drawing>
      </w:r>
      <w:bookmarkEnd w:id="18"/>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2020.12.31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sz w:val="24"/>
              </w:rPr>
              <w:pict>
                <v:line id="_x0000_s1026" o:spid="_x0000_s1026" o:spt="20" style="position:absolute;left:0pt;flip:y;margin-left:21.65pt;margin-top:5.9pt;height:281.8pt;width:446.35pt;z-index:251661312;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二阶段审核前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0B6E5"/>
    <w:multiLevelType w:val="singleLevel"/>
    <w:tmpl w:val="BDC0B6E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6542D9"/>
    <w:rsid w:val="2A291E41"/>
    <w:rsid w:val="2B5D49CF"/>
    <w:rsid w:val="34FF7EB2"/>
    <w:rsid w:val="38D82BCA"/>
    <w:rsid w:val="3C913501"/>
    <w:rsid w:val="418764B6"/>
    <w:rsid w:val="53BF1F17"/>
    <w:rsid w:val="59A65F66"/>
    <w:rsid w:val="77B778D5"/>
    <w:rsid w:val="786F3A3E"/>
    <w:rsid w:val="7C0906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2021-01-15T06:40:11Z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