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7"/>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897" w:type="dxa"/>
            <w:vAlign w:val="center"/>
          </w:tcPr>
          <w:p>
            <w:pPr>
              <w:rPr>
                <w:szCs w:val="21"/>
              </w:rPr>
            </w:pPr>
            <w:r>
              <w:rPr>
                <w:rFonts w:hint="eastAsia"/>
                <w:szCs w:val="21"/>
              </w:rPr>
              <w:t xml:space="preserve">受审核部门：管理层     主管领导：李洋 </w:t>
            </w:r>
            <w:r>
              <w:rPr>
                <w:szCs w:val="21"/>
              </w:rPr>
              <w:t xml:space="preserve">            </w:t>
            </w:r>
            <w:r>
              <w:rPr>
                <w:rFonts w:hint="eastAsia"/>
                <w:szCs w:val="21"/>
              </w:rPr>
              <w:t>管理者代表：</w:t>
            </w:r>
            <w:r>
              <w:rPr>
                <w:rFonts w:hint="eastAsia" w:cs="宋体"/>
                <w:szCs w:val="21"/>
              </w:rPr>
              <w:t>高文博</w:t>
            </w:r>
          </w:p>
        </w:tc>
        <w:tc>
          <w:tcPr>
            <w:tcW w:w="692"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897" w:type="dxa"/>
            <w:vAlign w:val="center"/>
          </w:tcPr>
          <w:p>
            <w:pPr>
              <w:spacing w:before="120"/>
              <w:rPr>
                <w:szCs w:val="21"/>
              </w:rPr>
            </w:pPr>
            <w:r>
              <w:rPr>
                <w:rFonts w:hint="eastAsia"/>
                <w:szCs w:val="21"/>
              </w:rPr>
              <w:t>审核员：吉洁</w:t>
            </w:r>
            <w:r>
              <w:rPr>
                <w:rFonts w:hint="eastAsia"/>
                <w:szCs w:val="21"/>
                <w:lang w:val="en-US" w:eastAsia="zh-CN"/>
              </w:rPr>
              <w:t>B</w:t>
            </w:r>
            <w:r>
              <w:rPr>
                <w:rFonts w:hint="eastAsia"/>
                <w:szCs w:val="21"/>
              </w:rPr>
              <w:t xml:space="preserve"> </w:t>
            </w:r>
            <w:r>
              <w:rPr>
                <w:szCs w:val="21"/>
              </w:rPr>
              <w:t xml:space="preserve">  </w:t>
            </w:r>
            <w:r>
              <w:rPr>
                <w:rFonts w:hint="eastAsia"/>
                <w:szCs w:val="21"/>
              </w:rPr>
              <w:t>杨杰</w:t>
            </w:r>
            <w:r>
              <w:rPr>
                <w:rFonts w:hint="eastAsia"/>
                <w:szCs w:val="21"/>
                <w:lang w:val="en-US" w:eastAsia="zh-CN"/>
              </w:rPr>
              <w:t>C</w:t>
            </w:r>
            <w:r>
              <w:rPr>
                <w:rFonts w:hint="eastAsia"/>
                <w:szCs w:val="21"/>
              </w:rPr>
              <w:t xml:space="preserve">          审核时间：2020.12.30</w:t>
            </w:r>
          </w:p>
        </w:tc>
        <w:tc>
          <w:tcPr>
            <w:tcW w:w="692"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60" w:type="dxa"/>
            <w:vMerge w:val="continue"/>
            <w:vAlign w:val="center"/>
          </w:tcPr>
          <w:p>
            <w:pPr>
              <w:rPr>
                <w:szCs w:val="21"/>
              </w:rPr>
            </w:pPr>
          </w:p>
        </w:tc>
        <w:tc>
          <w:tcPr>
            <w:tcW w:w="960" w:type="dxa"/>
            <w:vMerge w:val="continue"/>
            <w:vAlign w:val="center"/>
          </w:tcPr>
          <w:p>
            <w:pPr>
              <w:rPr>
                <w:szCs w:val="21"/>
              </w:rPr>
            </w:pPr>
          </w:p>
        </w:tc>
        <w:tc>
          <w:tcPr>
            <w:tcW w:w="1089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szCs w:val="21"/>
              </w:rPr>
            </w:pPr>
            <w:r>
              <w:rPr>
                <w:rFonts w:hint="eastAsia"/>
                <w:szCs w:val="21"/>
              </w:rPr>
              <w:t>审核条款：</w:t>
            </w:r>
            <w:r>
              <w:rPr>
                <w:rFonts w:hint="eastAsia" w:ascii="Times New Roman" w:hAnsi="Times New Roman" w:cs="Times New Roman"/>
                <w:sz w:val="21"/>
                <w:szCs w:val="21"/>
                <w:lang w:val="en-US" w:eastAsia="zh-CN"/>
              </w:rPr>
              <w:t>B</w:t>
            </w:r>
            <w:r>
              <w:rPr>
                <w:rFonts w:hint="default" w:ascii="Times New Roman" w:hAnsi="Times New Roman" w:cs="Times New Roman"/>
                <w:sz w:val="21"/>
                <w:szCs w:val="21"/>
                <w:lang w:val="en-US" w:eastAsia="zh-CN"/>
              </w:rPr>
              <w:t xml:space="preserve">审核EO </w:t>
            </w:r>
            <w:r>
              <w:rPr>
                <w:rFonts w:hint="default" w:ascii="Times New Roman" w:hAnsi="Times New Roman" w:cs="Times New Roman"/>
                <w:sz w:val="21"/>
                <w:szCs w:val="21"/>
              </w:rPr>
              <w:t>4.1/4.3/4.4/7.1</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C审核EO</w:t>
            </w:r>
            <w:r>
              <w:rPr>
                <w:rFonts w:hint="default" w:ascii="Times New Roman" w:hAnsi="Times New Roman" w:cs="Times New Roman"/>
                <w:sz w:val="21"/>
                <w:szCs w:val="21"/>
              </w:rPr>
              <w:t>5.2/6.2/9.2/9.3/</w:t>
            </w:r>
          </w:p>
        </w:tc>
        <w:tc>
          <w:tcPr>
            <w:tcW w:w="692"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60" w:type="dxa"/>
            <w:vAlign w:val="top"/>
          </w:tcPr>
          <w:p>
            <w:r>
              <w:rPr>
                <w:rFonts w:hint="eastAsia"/>
              </w:rPr>
              <w:t>公司概况</w:t>
            </w:r>
            <w:r>
              <w:rPr>
                <w:rFonts w:hint="eastAsia"/>
                <w:lang w:eastAsia="zh-CN"/>
              </w:rPr>
              <w:t>、</w:t>
            </w:r>
            <w:r>
              <w:rPr>
                <w:rFonts w:hint="eastAsia"/>
              </w:rPr>
              <w:t>组织机构、体系策划实施情况</w:t>
            </w:r>
          </w:p>
          <w:p>
            <w:pPr>
              <w:rPr>
                <w:rFonts w:hint="eastAsia"/>
              </w:rPr>
            </w:pPr>
            <w:r>
              <w:rPr>
                <w:rFonts w:hint="eastAsia"/>
              </w:rPr>
              <w:t>认证范围确认</w:t>
            </w:r>
          </w:p>
          <w:p>
            <w:r>
              <w:rPr>
                <w:rFonts w:hint="eastAsia"/>
                <w:lang w:eastAsia="zh-CN"/>
              </w:rPr>
              <w:t>适用条款</w:t>
            </w:r>
            <w:r>
              <w:rPr>
                <w:rFonts w:hint="eastAsia"/>
              </w:rPr>
              <w:t>确认</w:t>
            </w:r>
          </w:p>
          <w:p>
            <w:pPr>
              <w:rPr>
                <w:rFonts w:ascii="Times New Roman" w:hAnsi="Times New Roman" w:eastAsia="宋体" w:cs="Times New Roman"/>
                <w:kern w:val="2"/>
                <w:sz w:val="21"/>
                <w:lang w:val="en-US" w:eastAsia="zh-CN" w:bidi="ar-SA"/>
              </w:rPr>
            </w:pPr>
            <w:r>
              <w:rPr>
                <w:rFonts w:hint="eastAsia"/>
              </w:rPr>
              <w:t>外包过程</w:t>
            </w:r>
          </w:p>
        </w:tc>
        <w:tc>
          <w:tcPr>
            <w:tcW w:w="960" w:type="dxa"/>
            <w:vAlign w:val="top"/>
          </w:tcPr>
          <w:p>
            <w:pPr>
              <w:rPr>
                <w:rFonts w:hint="eastAsia"/>
                <w:lang w:val="en-US" w:eastAsia="zh-CN"/>
              </w:rPr>
            </w:pPr>
            <w:r>
              <w:rPr>
                <w:rFonts w:hint="eastAsia"/>
                <w:lang w:val="en-US" w:eastAsia="zh-CN"/>
              </w:rPr>
              <w:t>EO</w:t>
            </w:r>
          </w:p>
          <w:p>
            <w:pPr>
              <w:rPr>
                <w:rFonts w:hint="eastAsia"/>
                <w:lang w:val="en-US" w:eastAsia="zh-CN"/>
              </w:rPr>
            </w:pPr>
            <w:r>
              <w:rPr>
                <w:rFonts w:hint="eastAsia"/>
                <w:lang w:val="en-US" w:eastAsia="zh-CN"/>
              </w:rPr>
              <w:t>4.1</w:t>
            </w:r>
          </w:p>
          <w:p>
            <w:pPr>
              <w:rPr>
                <w:rFonts w:hint="eastAsia"/>
                <w:lang w:val="en-US" w:eastAsia="zh-CN"/>
              </w:rPr>
            </w:pPr>
            <w:r>
              <w:rPr>
                <w:rFonts w:hint="eastAsia"/>
                <w:lang w:val="en-US" w:eastAsia="zh-CN"/>
              </w:rPr>
              <w:t>4.3</w:t>
            </w:r>
          </w:p>
          <w:p>
            <w:r>
              <w:rPr>
                <w:rFonts w:hint="eastAsia"/>
              </w:rPr>
              <w:t>4.</w:t>
            </w:r>
            <w:r>
              <w:rPr>
                <w:rFonts w:hint="eastAsia"/>
                <w:lang w:val="en-US" w:eastAsia="zh-CN"/>
              </w:rPr>
              <w:t>4</w:t>
            </w:r>
          </w:p>
          <w:p>
            <w:pPr>
              <w:rPr>
                <w:rFonts w:ascii="Times New Roman" w:hAnsi="Times New Roman" w:eastAsia="宋体" w:cs="Times New Roman"/>
                <w:kern w:val="2"/>
                <w:sz w:val="21"/>
                <w:lang w:val="en-US" w:eastAsia="zh-CN" w:bidi="ar-SA"/>
              </w:rPr>
            </w:pPr>
            <w:r>
              <w:rPr>
                <w:rFonts w:hint="eastAsia"/>
                <w:lang w:val="en-US" w:eastAsia="zh-CN"/>
              </w:rPr>
              <w:t>7</w:t>
            </w:r>
            <w:r>
              <w:rPr>
                <w:rFonts w:hint="eastAsia"/>
              </w:rPr>
              <w:t>.1</w:t>
            </w:r>
          </w:p>
        </w:tc>
        <w:tc>
          <w:tcPr>
            <w:tcW w:w="10897" w:type="dxa"/>
            <w:vAlign w:val="top"/>
          </w:tcPr>
          <w:p>
            <w:pPr>
              <w:rPr>
                <w:rFonts w:hint="default" w:ascii="Times New Roman" w:hAnsi="Times New Roman" w:cs="Times New Roman"/>
                <w:sz w:val="21"/>
                <w:szCs w:val="21"/>
                <w:lang w:eastAsia="zh-CN"/>
              </w:rPr>
            </w:pPr>
            <w:r>
              <w:rPr>
                <w:rFonts w:hint="default" w:ascii="Times New Roman" w:hAnsi="Times New Roman" w:cs="Times New Roman"/>
              </w:rPr>
              <w:t>■承德国佑鸿路绿色建筑科技有限公司成立于2017年6月14日，注册资金10000万元</w:t>
            </w:r>
            <w:r>
              <w:rPr>
                <w:rFonts w:hint="eastAsia" w:ascii="Times New Roman" w:hAnsi="Times New Roman" w:cs="Times New Roman"/>
                <w:lang w:eastAsia="zh-CN"/>
              </w:rPr>
              <w:t>，</w:t>
            </w:r>
            <w:r>
              <w:rPr>
                <w:rFonts w:hint="default" w:ascii="Times New Roman" w:hAnsi="Times New Roman" w:cs="Times New Roman"/>
              </w:rPr>
              <w:t>法人：项江涛，位于河北省承德市平泉市平泉镇瀑河沿村（平泉经济开发区机场路99号）</w:t>
            </w:r>
            <w:r>
              <w:rPr>
                <w:rFonts w:hint="eastAsia" w:ascii="Times New Roman" w:hAnsi="Times New Roman" w:cs="Times New Roman"/>
                <w:lang w:eastAsia="zh-CN"/>
              </w:rPr>
              <w:t>，</w:t>
            </w:r>
            <w:r>
              <w:rPr>
                <w:rFonts w:hint="default" w:ascii="Times New Roman" w:hAnsi="Times New Roman" w:cs="Times New Roman"/>
              </w:rPr>
              <w:t>主要从事钢结构、彩板制作及新型建材的生产及钢结构工程，2019年9月30日取得钢结构专业承包三级资质，2019年12月18日取得安全生产许可证</w:t>
            </w:r>
            <w:r>
              <w:rPr>
                <w:rFonts w:hint="default" w:ascii="Times New Roman" w:hAnsi="Times New Roman" w:cs="Times New Roman"/>
                <w:sz w:val="21"/>
                <w:szCs w:val="21"/>
                <w:lang w:eastAsia="zh-CN"/>
              </w:rPr>
              <w:t>。</w:t>
            </w:r>
          </w:p>
          <w:p>
            <w:pPr>
              <w:rPr>
                <w:rFonts w:hint="eastAsia"/>
                <w:color w:val="auto"/>
                <w:lang w:val="en-GB"/>
              </w:rPr>
            </w:pPr>
            <w:r>
              <w:rPr>
                <w:rFonts w:hint="default" w:ascii="Times New Roman" w:hAnsi="Times New Roman" w:cs="Times New Roman"/>
              </w:rPr>
              <w:t>■根据企业发展及经营管理的需求，公司</w:t>
            </w:r>
            <w:r>
              <w:rPr>
                <w:rFonts w:hint="eastAsia"/>
              </w:rPr>
              <w:t>组织了对管理体系标准的学习，依据标准的要求结合实际情况对管理体系进行了策划。策划基本体现了</w:t>
            </w:r>
            <w:r>
              <w:rPr>
                <w:rFonts w:hint="eastAsia"/>
                <w:lang w:val="en-US" w:eastAsia="zh-CN"/>
              </w:rPr>
              <w:t>PDCA</w:t>
            </w:r>
            <w:r>
              <w:rPr>
                <w:rFonts w:hint="eastAsia"/>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hint="eastAsia" w:ascii="Times New Roman" w:hAnsi="Times New Roman" w:cs="Times New Roman"/>
                <w:szCs w:val="22"/>
              </w:rPr>
            </w:pPr>
            <w:r>
              <w:t>■</w:t>
            </w:r>
            <w:r>
              <w:rPr>
                <w:rFonts w:hint="eastAsia" w:ascii="Times New Roman" w:hAnsi="Times New Roman" w:cs="Times New Roman"/>
                <w:szCs w:val="22"/>
              </w:rPr>
              <w:t>审核组与受审核方确认的</w:t>
            </w:r>
            <w:r>
              <w:rPr>
                <w:rFonts w:hint="eastAsia" w:ascii="Times New Roman" w:hAnsi="Times New Roman" w:cs="Times New Roman"/>
                <w:szCs w:val="22"/>
                <w:lang w:eastAsia="zh-CN"/>
              </w:rPr>
              <w:t>审核</w:t>
            </w:r>
            <w:r>
              <w:rPr>
                <w:rFonts w:hint="eastAsia" w:ascii="Times New Roman" w:hAnsi="Times New Roman" w:cs="Times New Roman"/>
                <w:szCs w:val="22"/>
              </w:rPr>
              <w:t>范围：</w:t>
            </w:r>
          </w:p>
          <w:p>
            <w:pPr>
              <w:rPr>
                <w:sz w:val="21"/>
                <w:szCs w:val="21"/>
              </w:rPr>
            </w:pPr>
            <w:r>
              <w:rPr>
                <w:sz w:val="21"/>
                <w:szCs w:val="21"/>
              </w:rPr>
              <w:t>E：资质范围内钢结构工程的专业承包所涉及场所的相关环境管理活动</w:t>
            </w:r>
          </w:p>
          <w:p>
            <w:pPr>
              <w:rPr>
                <w:sz w:val="21"/>
                <w:szCs w:val="21"/>
              </w:rPr>
            </w:pPr>
            <w:r>
              <w:rPr>
                <w:sz w:val="21"/>
                <w:szCs w:val="21"/>
              </w:rPr>
              <w:t>O：资质范围内钢结构工程的专业承包所涉及场所的相关职业健康安全管理活动</w:t>
            </w:r>
          </w:p>
          <w:p>
            <w:pPr>
              <w:rPr>
                <w:rFonts w:hint="default" w:eastAsia="宋体"/>
                <w:lang w:val="en-US" w:eastAsia="zh-CN"/>
              </w:rPr>
            </w:pPr>
            <w:r>
              <w:t>■</w:t>
            </w:r>
            <w:r>
              <w:rPr>
                <w:rFonts w:hint="eastAsia"/>
                <w:u w:val="none"/>
              </w:rPr>
              <w:t>外包过程：</w:t>
            </w:r>
            <w:r>
              <w:rPr>
                <w:rFonts w:hint="eastAsia"/>
                <w:szCs w:val="22"/>
                <w:u w:val="none"/>
              </w:rPr>
              <w:t>设备租赁</w:t>
            </w:r>
            <w:r>
              <w:rPr>
                <w:rFonts w:hint="eastAsia"/>
                <w:szCs w:val="22"/>
                <w:u w:val="none"/>
                <w:lang w:val="en-US" w:eastAsia="zh-CN"/>
              </w:rPr>
              <w:t>。</w:t>
            </w:r>
          </w:p>
          <w:p>
            <w:pPr>
              <w:rPr>
                <w:rFonts w:hint="eastAsia" w:ascii="Times New Roman" w:hAnsi="Times New Roman" w:eastAsia="宋体" w:cs="Times New Roman"/>
                <w:kern w:val="2"/>
                <w:sz w:val="21"/>
                <w:lang w:val="en-US" w:eastAsia="zh-CN" w:bidi="ar-SA"/>
              </w:rPr>
            </w:pPr>
            <w:r>
              <w:t>■</w:t>
            </w:r>
            <w:r>
              <w:rPr>
                <w:rFonts w:hint="eastAsia"/>
              </w:rPr>
              <w:t>管理体系覆盖人数</w:t>
            </w:r>
            <w:r>
              <w:rPr>
                <w:rFonts w:hint="eastAsia"/>
                <w:lang w:val="en-US" w:eastAsia="zh-CN"/>
              </w:rPr>
              <w:t>62</w:t>
            </w:r>
            <w:r>
              <w:rPr>
                <w:rFonts w:hint="eastAsia"/>
              </w:rPr>
              <w:t>人，无倒班情况</w:t>
            </w:r>
          </w:p>
        </w:tc>
        <w:tc>
          <w:tcPr>
            <w:tcW w:w="692"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2160" w:type="dxa"/>
          </w:tcPr>
          <w:p>
            <w:pPr>
              <w:rPr>
                <w:szCs w:val="21"/>
              </w:rPr>
            </w:pPr>
            <w:r>
              <w:rPr>
                <w:rFonts w:hint="eastAsia"/>
                <w:szCs w:val="21"/>
              </w:rPr>
              <w:t>管理方针和目标的适宜性</w:t>
            </w:r>
          </w:p>
        </w:tc>
        <w:tc>
          <w:tcPr>
            <w:tcW w:w="960" w:type="dxa"/>
          </w:tcPr>
          <w:p>
            <w:pPr>
              <w:rPr>
                <w:szCs w:val="21"/>
              </w:rPr>
            </w:pPr>
            <w:r>
              <w:rPr>
                <w:rFonts w:hint="eastAsia"/>
                <w:szCs w:val="21"/>
              </w:rPr>
              <w:t>EO</w:t>
            </w:r>
          </w:p>
          <w:p>
            <w:pPr>
              <w:rPr>
                <w:szCs w:val="21"/>
              </w:rPr>
            </w:pPr>
            <w:r>
              <w:rPr>
                <w:rFonts w:hint="eastAsia"/>
                <w:szCs w:val="21"/>
              </w:rPr>
              <w:t>5.2</w:t>
            </w:r>
          </w:p>
          <w:p>
            <w:pPr>
              <w:rPr>
                <w:szCs w:val="21"/>
              </w:rPr>
            </w:pPr>
            <w:r>
              <w:rPr>
                <w:rFonts w:hint="eastAsia"/>
                <w:szCs w:val="21"/>
              </w:rPr>
              <w:t>6.2</w:t>
            </w:r>
          </w:p>
        </w:tc>
        <w:tc>
          <w:tcPr>
            <w:tcW w:w="10897" w:type="dxa"/>
          </w:tcPr>
          <w:p>
            <w:pPr>
              <w:rPr>
                <w:szCs w:val="21"/>
              </w:rPr>
            </w:pPr>
            <w:r>
              <w:rPr>
                <w:rFonts w:hint="eastAsia"/>
                <w:szCs w:val="21"/>
              </w:rPr>
              <w:t>管理手册明确了公司的方针：</w:t>
            </w:r>
          </w:p>
          <w:p>
            <w:pPr>
              <w:rPr>
                <w:rFonts w:hint="eastAsia"/>
                <w:szCs w:val="21"/>
              </w:rPr>
            </w:pPr>
            <w:r>
              <w:rPr>
                <w:rFonts w:hint="eastAsia"/>
                <w:szCs w:val="21"/>
              </w:rPr>
              <w:t>质量方针：科学管理，确保质量和技术领优；精益求精，满足并超越顾客需求。</w:t>
            </w:r>
          </w:p>
          <w:p>
            <w:pPr>
              <w:rPr>
                <w:rFonts w:hint="eastAsia"/>
                <w:szCs w:val="21"/>
              </w:rPr>
            </w:pPr>
            <w:r>
              <w:rPr>
                <w:rFonts w:hint="eastAsia"/>
                <w:szCs w:val="21"/>
              </w:rPr>
              <w:t>环境方针：遵纪守法，清洁生产，节能减排，持续改进。</w:t>
            </w:r>
          </w:p>
          <w:p>
            <w:pPr>
              <w:rPr>
                <w:rFonts w:hint="eastAsia"/>
                <w:szCs w:val="21"/>
              </w:rPr>
            </w:pPr>
            <w:r>
              <w:rPr>
                <w:rFonts w:hint="eastAsia"/>
                <w:szCs w:val="21"/>
              </w:rPr>
              <w:t>职业健康安全方针：遵纪守法，全员参与，提供健康和安全的工作场所，持续改进。</w:t>
            </w:r>
          </w:p>
          <w:p>
            <w:pPr>
              <w:rPr>
                <w:szCs w:val="21"/>
              </w:rPr>
            </w:pPr>
            <w:r>
              <w:rPr>
                <w:rFonts w:hint="eastAsia"/>
                <w:szCs w:val="21"/>
              </w:rPr>
              <w:t>总经理证实，与企业的宗旨一直，随管理手册的发布宣传贯彻。</w:t>
            </w:r>
          </w:p>
          <w:p>
            <w:pPr>
              <w:rPr>
                <w:rFonts w:hint="eastAsia"/>
                <w:szCs w:val="21"/>
              </w:rPr>
            </w:pPr>
            <w:r>
              <w:rPr>
                <w:rFonts w:hint="eastAsia"/>
                <w:szCs w:val="21"/>
              </w:rPr>
              <w:t>公司环境目标：</w:t>
            </w:r>
          </w:p>
          <w:p>
            <w:pPr>
              <w:rPr>
                <w:rFonts w:hint="eastAsia"/>
                <w:szCs w:val="21"/>
              </w:rPr>
            </w:pPr>
            <w:r>
              <w:rPr>
                <w:rFonts w:hint="eastAsia"/>
                <w:szCs w:val="21"/>
              </w:rPr>
              <w:t>固体废弃物分类处置100%；火灾事故0；噪音伤害事故为0；</w:t>
            </w:r>
          </w:p>
          <w:p>
            <w:pPr>
              <w:rPr>
                <w:rFonts w:hint="eastAsia"/>
                <w:szCs w:val="21"/>
              </w:rPr>
            </w:pPr>
            <w:r>
              <w:rPr>
                <w:rFonts w:hint="eastAsia"/>
                <w:szCs w:val="21"/>
              </w:rPr>
              <w:t>公司职业健康安全目标：</w:t>
            </w:r>
          </w:p>
          <w:p>
            <w:pPr>
              <w:rPr>
                <w:rFonts w:hint="eastAsia"/>
                <w:szCs w:val="21"/>
              </w:rPr>
            </w:pPr>
            <w:r>
              <w:rPr>
                <w:rFonts w:hint="eastAsia"/>
                <w:szCs w:val="21"/>
              </w:rPr>
              <w:t>火灾事故0；机械伤害0；噪音伤害事故为0；物体打击事故为0；触电事故0；高空坠落事故0；</w:t>
            </w:r>
          </w:p>
          <w:p>
            <w:pPr>
              <w:rPr>
                <w:szCs w:val="22"/>
              </w:rPr>
            </w:pPr>
            <w:r>
              <w:rPr>
                <w:rFonts w:hint="eastAsia"/>
                <w:szCs w:val="21"/>
              </w:rPr>
              <w:t>基本符合标准要求。在方针框架下展开，并分解到各职能部门。</w:t>
            </w:r>
          </w:p>
        </w:tc>
        <w:tc>
          <w:tcPr>
            <w:tcW w:w="692"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2160" w:type="dxa"/>
          </w:tcPr>
          <w:p>
            <w:pPr>
              <w:rPr>
                <w:szCs w:val="21"/>
              </w:rPr>
            </w:pPr>
            <w:r>
              <w:rPr>
                <w:rFonts w:hint="eastAsia"/>
                <w:szCs w:val="21"/>
              </w:rPr>
              <w:t>内审、管理评审策划和实施的符合性及可信性</w:t>
            </w:r>
          </w:p>
        </w:tc>
        <w:tc>
          <w:tcPr>
            <w:tcW w:w="960" w:type="dxa"/>
          </w:tcPr>
          <w:p>
            <w:pPr>
              <w:rPr>
                <w:szCs w:val="21"/>
              </w:rPr>
            </w:pPr>
            <w:r>
              <w:rPr>
                <w:rFonts w:hint="eastAsia"/>
                <w:szCs w:val="21"/>
              </w:rPr>
              <w:t>EO</w:t>
            </w:r>
          </w:p>
          <w:p>
            <w:pPr>
              <w:rPr>
                <w:szCs w:val="21"/>
              </w:rPr>
            </w:pPr>
            <w:r>
              <w:rPr>
                <w:rFonts w:hint="eastAsia"/>
                <w:szCs w:val="21"/>
              </w:rPr>
              <w:t>9.2</w:t>
            </w:r>
          </w:p>
          <w:p>
            <w:pPr>
              <w:rPr>
                <w:szCs w:val="21"/>
              </w:rPr>
            </w:pPr>
            <w:r>
              <w:rPr>
                <w:rFonts w:hint="eastAsia"/>
                <w:szCs w:val="21"/>
              </w:rPr>
              <w:t>9.3</w:t>
            </w:r>
          </w:p>
        </w:tc>
        <w:tc>
          <w:tcPr>
            <w:tcW w:w="10897" w:type="dxa"/>
          </w:tcPr>
          <w:p>
            <w:pPr>
              <w:rPr>
                <w:szCs w:val="21"/>
              </w:rPr>
            </w:pPr>
            <w:r>
              <w:rPr>
                <w:rFonts w:hint="eastAsia" w:ascii="宋体" w:hAnsi="宋体"/>
                <w:szCs w:val="21"/>
              </w:rPr>
              <w:t>2020年</w:t>
            </w:r>
            <w:r>
              <w:rPr>
                <w:rFonts w:ascii="宋体" w:hAnsi="宋体"/>
                <w:szCs w:val="21"/>
              </w:rPr>
              <w:t>12</w:t>
            </w:r>
            <w:r>
              <w:rPr>
                <w:rFonts w:hint="eastAsia" w:ascii="宋体" w:hAnsi="宋体"/>
                <w:szCs w:val="21"/>
              </w:rPr>
              <w:t>月1日-2日</w:t>
            </w:r>
            <w:r>
              <w:rPr>
                <w:rFonts w:hint="eastAsia"/>
                <w:szCs w:val="21"/>
              </w:rPr>
              <w:t>进行内部审核，提供内部审核计划、内审检查表、不合格报告、内部质量管理体系审核报告等，基本符合要求。</w:t>
            </w:r>
          </w:p>
          <w:p>
            <w:pPr>
              <w:rPr>
                <w:szCs w:val="21"/>
              </w:rPr>
            </w:pPr>
            <w:r>
              <w:rPr>
                <w:rFonts w:hint="eastAsia"/>
                <w:szCs w:val="22"/>
              </w:rPr>
              <w:t>2020年12月10</w:t>
            </w:r>
            <w:r>
              <w:rPr>
                <w:rFonts w:hint="eastAsia"/>
                <w:szCs w:val="21"/>
              </w:rPr>
              <w:t>日进行管理评审，由总经理主持会议，有管理评审计划、管理评审输入资料</w:t>
            </w:r>
            <w:r>
              <w:rPr>
                <w:szCs w:val="21"/>
              </w:rPr>
              <w:t>—</w:t>
            </w:r>
            <w:r>
              <w:rPr>
                <w:rFonts w:hint="eastAsia"/>
                <w:szCs w:val="21"/>
              </w:rPr>
              <w:t>各部门工作总结、管理评审报告等，内容基本可信，有效。</w:t>
            </w:r>
          </w:p>
        </w:tc>
        <w:tc>
          <w:tcPr>
            <w:tcW w:w="692"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szCs w:val="21"/>
              </w:rPr>
            </w:pPr>
            <w:r>
              <w:rPr>
                <w:rFonts w:hint="eastAsia"/>
                <w:szCs w:val="21"/>
              </w:rPr>
              <w:t>遵守法律法规的情况</w:t>
            </w:r>
          </w:p>
          <w:p>
            <w:pPr>
              <w:rPr>
                <w:szCs w:val="21"/>
              </w:rPr>
            </w:pPr>
            <w:r>
              <w:rPr>
                <w:rFonts w:hint="eastAsia"/>
                <w:szCs w:val="21"/>
              </w:rPr>
              <w:t>事故及投诉情况</w:t>
            </w:r>
          </w:p>
          <w:p>
            <w:pPr>
              <w:rPr>
                <w:szCs w:val="21"/>
              </w:rPr>
            </w:pPr>
          </w:p>
          <w:p>
            <w:pPr>
              <w:rPr>
                <w:szCs w:val="21"/>
              </w:rPr>
            </w:pPr>
          </w:p>
          <w:p>
            <w:pPr>
              <w:rPr>
                <w:szCs w:val="21"/>
              </w:rPr>
            </w:pPr>
            <w:r>
              <w:rPr>
                <w:rFonts w:hint="eastAsia"/>
                <w:szCs w:val="21"/>
              </w:rPr>
              <w:t>申请资料信息的核实确认</w:t>
            </w:r>
          </w:p>
          <w:p>
            <w:pPr>
              <w:rPr>
                <w:szCs w:val="21"/>
              </w:rPr>
            </w:pPr>
          </w:p>
          <w:p>
            <w:pPr>
              <w:rPr>
                <w:szCs w:val="21"/>
              </w:rPr>
            </w:pPr>
            <w:r>
              <w:rPr>
                <w:rFonts w:hint="eastAsia"/>
                <w:szCs w:val="21"/>
              </w:rPr>
              <w:t>确定第二阶段</w:t>
            </w:r>
          </w:p>
        </w:tc>
        <w:tc>
          <w:tcPr>
            <w:tcW w:w="960" w:type="dxa"/>
          </w:tcPr>
          <w:p>
            <w:pPr>
              <w:rPr>
                <w:szCs w:val="21"/>
              </w:rPr>
            </w:pPr>
          </w:p>
        </w:tc>
        <w:tc>
          <w:tcPr>
            <w:tcW w:w="10897" w:type="dxa"/>
          </w:tcPr>
          <w:p>
            <w:pPr>
              <w:rPr>
                <w:szCs w:val="21"/>
              </w:rPr>
            </w:pPr>
            <w:r>
              <w:rPr>
                <w:rFonts w:hint="eastAsia"/>
                <w:szCs w:val="21"/>
              </w:rPr>
              <w:t>企业在</w:t>
            </w:r>
            <w:r>
              <w:rPr>
                <w:szCs w:val="21"/>
              </w:rPr>
              <w:t>钢结构工程的专业承包</w:t>
            </w:r>
            <w:r>
              <w:rPr>
                <w:rFonts w:hint="eastAsia"/>
                <w:szCs w:val="21"/>
              </w:rPr>
              <w:t>过程中能够遵守相关的法律法规和其它要求，提供合规性评价记录，</w:t>
            </w:r>
            <w:r>
              <w:rPr>
                <w:szCs w:val="21"/>
              </w:rPr>
              <w:t>评价时间：</w:t>
            </w:r>
            <w:r>
              <w:rPr>
                <w:rFonts w:hint="eastAsia" w:ascii="宋体" w:hAnsi="宋体" w:cs="宋体"/>
                <w:kern w:val="0"/>
                <w:szCs w:val="21"/>
              </w:rPr>
              <w:t>20</w:t>
            </w:r>
            <w:r>
              <w:rPr>
                <w:rFonts w:ascii="宋体" w:hAnsi="宋体" w:cs="宋体"/>
                <w:kern w:val="0"/>
                <w:szCs w:val="21"/>
              </w:rPr>
              <w:t>20</w:t>
            </w:r>
            <w:r>
              <w:rPr>
                <w:rFonts w:hint="eastAsia" w:ascii="宋体" w:hAnsi="宋体" w:cs="宋体"/>
                <w:kern w:val="0"/>
                <w:szCs w:val="21"/>
              </w:rPr>
              <w:t>年</w:t>
            </w:r>
            <w:r>
              <w:rPr>
                <w:rFonts w:ascii="宋体" w:hAnsi="宋体" w:cs="宋体"/>
                <w:kern w:val="0"/>
                <w:szCs w:val="21"/>
              </w:rPr>
              <w:t>6</w:t>
            </w:r>
            <w:r>
              <w:rPr>
                <w:rFonts w:hint="eastAsia" w:ascii="宋体" w:hAnsi="宋体" w:cs="宋体"/>
                <w:kern w:val="0"/>
                <w:szCs w:val="21"/>
              </w:rPr>
              <w:t>月</w:t>
            </w:r>
            <w:r>
              <w:rPr>
                <w:rFonts w:hint="eastAsia" w:ascii="宋体" w:hAnsi="宋体" w:cs="宋体"/>
                <w:kern w:val="0"/>
                <w:szCs w:val="21"/>
                <w:lang w:val="en-US" w:eastAsia="zh-CN"/>
              </w:rPr>
              <w:t>10</w:t>
            </w:r>
            <w:bookmarkStart w:id="1" w:name="_GoBack"/>
            <w:bookmarkEnd w:id="1"/>
            <w:r>
              <w:rPr>
                <w:rFonts w:hint="eastAsia" w:ascii="宋体" w:hAnsi="宋体" w:cs="宋体"/>
                <w:kern w:val="0"/>
                <w:szCs w:val="21"/>
              </w:rPr>
              <w:t>日</w:t>
            </w:r>
            <w:r>
              <w:rPr>
                <w:szCs w:val="21"/>
              </w:rPr>
              <w:t>，符合要求。</w:t>
            </w:r>
          </w:p>
          <w:p>
            <w:pPr>
              <w:rPr>
                <w:szCs w:val="21"/>
              </w:rPr>
            </w:pPr>
            <w:r>
              <w:rPr>
                <w:szCs w:val="21"/>
              </w:rPr>
              <w:t>体系运行以来，未发生</w:t>
            </w:r>
            <w:r>
              <w:rPr>
                <w:rFonts w:hint="eastAsia"/>
                <w:szCs w:val="21"/>
              </w:rPr>
              <w:t>环境</w:t>
            </w:r>
            <w:r>
              <w:rPr>
                <w:szCs w:val="21"/>
              </w:rPr>
              <w:t>事故，无重大投诉和行政处罚</w:t>
            </w:r>
            <w:r>
              <w:rPr>
                <w:rFonts w:hint="eastAsia"/>
                <w:szCs w:val="21"/>
              </w:rPr>
              <w:t>情况</w:t>
            </w:r>
          </w:p>
          <w:p>
            <w:pPr>
              <w:rPr>
                <w:szCs w:val="21"/>
              </w:rPr>
            </w:pPr>
          </w:p>
          <w:p>
            <w:pPr>
              <w:rPr>
                <w:szCs w:val="21"/>
              </w:rPr>
            </w:pPr>
            <w:r>
              <w:rPr>
                <w:rFonts w:hint="eastAsia"/>
                <w:szCs w:val="21"/>
              </w:rPr>
              <w:t>提供营业执照、安全生产许可证、钢结构工程专业承包资质、工程开工报审表、验收记录等，详见附件。</w:t>
            </w:r>
          </w:p>
          <w:p>
            <w:pPr>
              <w:rPr>
                <w:szCs w:val="21"/>
              </w:rPr>
            </w:pPr>
          </w:p>
          <w:p>
            <w:pPr>
              <w:rPr>
                <w:szCs w:val="21"/>
              </w:rPr>
            </w:pPr>
            <w:r>
              <w:rPr>
                <w:rFonts w:hint="eastAsia"/>
                <w:szCs w:val="21"/>
              </w:rPr>
              <w:t>第二阶段审核所需资源的配置较充分。</w:t>
            </w:r>
          </w:p>
          <w:p>
            <w:pPr>
              <w:rPr>
                <w:szCs w:val="21"/>
              </w:rPr>
            </w:pPr>
            <w:r>
              <w:rPr>
                <w:rFonts w:hint="eastAsia"/>
                <w:szCs w:val="21"/>
              </w:rPr>
              <w:t>商定第二阶段审核时间：2021年1月1-3日</w:t>
            </w:r>
          </w:p>
        </w:tc>
        <w:tc>
          <w:tcPr>
            <w:tcW w:w="692" w:type="dxa"/>
          </w:tcPr>
          <w:p>
            <w:pPr>
              <w:rPr>
                <w:szCs w:val="21"/>
              </w:rPr>
            </w:pPr>
          </w:p>
        </w:tc>
      </w:tr>
    </w:tbl>
    <w:p>
      <w:r>
        <w:ptab w:relativeTo="margin" w:alignment="center" w:leader="none"/>
      </w:r>
    </w:p>
    <w:p>
      <w:pPr>
        <w:pStyle w:val="2"/>
        <w:jc w:val="both"/>
      </w:pPr>
    </w:p>
    <w:p/>
    <w:p>
      <w:pPr>
        <w:pStyle w:val="2"/>
      </w:pPr>
    </w:p>
    <w:p/>
    <w:p/>
    <w:p>
      <w:pPr>
        <w:bidi w:val="0"/>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891" w:type="dxa"/>
            <w:vAlign w:val="center"/>
          </w:tcPr>
          <w:p>
            <w:pPr>
              <w:rPr>
                <w:szCs w:val="21"/>
              </w:rPr>
            </w:pPr>
            <w:r>
              <w:rPr>
                <w:rFonts w:hint="eastAsia"/>
                <w:szCs w:val="21"/>
              </w:rPr>
              <w:t xml:space="preserve">受审核部门：办公室       </w:t>
            </w:r>
            <w:r>
              <w:rPr>
                <w:szCs w:val="21"/>
              </w:rPr>
              <w:t xml:space="preserve">     </w:t>
            </w:r>
            <w:r>
              <w:rPr>
                <w:rFonts w:hint="eastAsia" w:ascii="楷体" w:hAnsi="楷体" w:eastAsia="楷体"/>
              </w:rPr>
              <w:t xml:space="preserve"> 主管领导：耿雪姣</w:t>
            </w:r>
            <w:r>
              <w:rPr>
                <w:rFonts w:hint="eastAsia" w:ascii="楷体" w:hAnsi="楷体" w:eastAsia="楷体" w:cs="宋体"/>
              </w:rPr>
              <w:t xml:space="preserve">       陪同人员：高文博</w:t>
            </w:r>
          </w:p>
        </w:tc>
        <w:tc>
          <w:tcPr>
            <w:tcW w:w="698"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891" w:type="dxa"/>
            <w:vAlign w:val="center"/>
          </w:tcPr>
          <w:p>
            <w:pPr>
              <w:spacing w:before="120"/>
              <w:rPr>
                <w:szCs w:val="21"/>
              </w:rPr>
            </w:pPr>
            <w:r>
              <w:rPr>
                <w:rFonts w:hint="eastAsia"/>
                <w:szCs w:val="21"/>
              </w:rPr>
              <w:t>审核员：</w:t>
            </w:r>
            <w:r>
              <w:rPr>
                <w:rFonts w:hint="eastAsia"/>
                <w:szCs w:val="21"/>
                <w:lang w:val="en-US" w:eastAsia="zh-CN"/>
              </w:rPr>
              <w:t xml:space="preserve">周文廷A  </w:t>
            </w:r>
            <w:r>
              <w:rPr>
                <w:rFonts w:hint="eastAsia"/>
                <w:szCs w:val="21"/>
              </w:rPr>
              <w:t>吉洁</w:t>
            </w:r>
            <w:r>
              <w:rPr>
                <w:rFonts w:hint="eastAsia"/>
                <w:szCs w:val="21"/>
                <w:lang w:val="en-US" w:eastAsia="zh-CN"/>
              </w:rPr>
              <w:t>B</w:t>
            </w:r>
            <w:r>
              <w:rPr>
                <w:rFonts w:hint="eastAsia"/>
                <w:szCs w:val="21"/>
              </w:rPr>
              <w:t xml:space="preserve"> </w:t>
            </w:r>
            <w:r>
              <w:rPr>
                <w:szCs w:val="21"/>
              </w:rPr>
              <w:t xml:space="preserve">  </w:t>
            </w:r>
            <w:r>
              <w:rPr>
                <w:rFonts w:hint="eastAsia"/>
                <w:szCs w:val="21"/>
              </w:rPr>
              <w:t>杨杰</w:t>
            </w:r>
            <w:r>
              <w:rPr>
                <w:rFonts w:hint="eastAsia"/>
                <w:szCs w:val="21"/>
                <w:lang w:val="en-US" w:eastAsia="zh-CN"/>
              </w:rPr>
              <w:t>C</w:t>
            </w:r>
            <w:r>
              <w:rPr>
                <w:rFonts w:hint="eastAsia"/>
                <w:szCs w:val="21"/>
              </w:rPr>
              <w:t xml:space="preserve">           审核时间：2020.12.30</w:t>
            </w:r>
          </w:p>
        </w:tc>
        <w:tc>
          <w:tcPr>
            <w:tcW w:w="698"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891"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szCs w:val="21"/>
              </w:rPr>
            </w:pPr>
            <w:r>
              <w:rPr>
                <w:rFonts w:hint="eastAsia"/>
                <w:szCs w:val="21"/>
              </w:rPr>
              <w:t>审核条款：</w:t>
            </w:r>
            <w:r>
              <w:rPr>
                <w:rFonts w:hint="eastAsia" w:cs="Times New Roman"/>
                <w:sz w:val="21"/>
                <w:szCs w:val="21"/>
                <w:lang w:val="en-US" w:eastAsia="zh-CN"/>
              </w:rPr>
              <w:t>AB</w:t>
            </w:r>
            <w:r>
              <w:rPr>
                <w:rFonts w:hint="default" w:ascii="Times New Roman" w:hAnsi="Times New Roman" w:cs="Times New Roman"/>
                <w:sz w:val="21"/>
                <w:szCs w:val="21"/>
                <w:lang w:val="en-US" w:eastAsia="zh-CN"/>
              </w:rPr>
              <w:t>审核</w:t>
            </w:r>
            <w:r>
              <w:rPr>
                <w:rFonts w:hint="eastAsia"/>
                <w:sz w:val="21"/>
                <w:szCs w:val="21"/>
              </w:rPr>
              <w:t>E</w:t>
            </w:r>
            <w:r>
              <w:rPr>
                <w:rFonts w:hint="eastAsia"/>
                <w:sz w:val="21"/>
                <w:szCs w:val="21"/>
                <w:lang w:val="en-US" w:eastAsia="zh-CN"/>
              </w:rPr>
              <w:t>O 6.1.2/6.2.2/；AC审核EO6.1.3/7.5</w:t>
            </w:r>
            <w:r>
              <w:rPr>
                <w:rFonts w:hint="eastAsia"/>
                <w:sz w:val="21"/>
                <w:szCs w:val="21"/>
              </w:rPr>
              <w:t>/8.2</w:t>
            </w:r>
          </w:p>
        </w:tc>
        <w:tc>
          <w:tcPr>
            <w:tcW w:w="698"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rPr>
                <w:rFonts w:ascii="Times New Roman" w:hAnsi="Times New Roman" w:eastAsia="宋体" w:cs="Times New Roman"/>
                <w:kern w:val="2"/>
                <w:sz w:val="21"/>
                <w:lang w:val="en-US" w:eastAsia="zh-CN" w:bidi="ar-SA"/>
              </w:rPr>
            </w:pPr>
            <w:r>
              <w:rPr>
                <w:rFonts w:hint="eastAsia"/>
                <w:highlight w:val="none"/>
                <w:lang w:val="en-US" w:eastAsia="zh-CN"/>
              </w:rPr>
              <w:t>环境因素、</w:t>
            </w:r>
            <w:r>
              <w:rPr>
                <w:rFonts w:hint="eastAsia"/>
                <w:highlight w:val="none"/>
              </w:rPr>
              <w:t>危险源识别评价程序的充分性、适宜性</w:t>
            </w:r>
          </w:p>
        </w:tc>
        <w:tc>
          <w:tcPr>
            <w:tcW w:w="960"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O6.1.</w:t>
            </w:r>
            <w:r>
              <w:rPr>
                <w:rFonts w:hint="eastAsia" w:cs="Times New Roman"/>
                <w:kern w:val="2"/>
                <w:sz w:val="21"/>
                <w:lang w:val="en-US" w:eastAsia="zh-CN" w:bidi="ar-SA"/>
              </w:rPr>
              <w:t>2</w:t>
            </w:r>
          </w:p>
        </w:tc>
        <w:tc>
          <w:tcPr>
            <w:tcW w:w="10891" w:type="dxa"/>
            <w:vAlign w:val="top"/>
          </w:tcPr>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策划、编制了《环境因素识别控制程序</w:t>
            </w:r>
            <w:r>
              <w:rPr>
                <w:rFonts w:hint="eastAsia" w:ascii="Times New Roman" w:hAnsi="Times New Roman" w:cs="Times New Roman"/>
                <w:sz w:val="21"/>
                <w:szCs w:val="21"/>
                <w:highlight w:val="none"/>
                <w:lang w:eastAsia="zh-CN"/>
              </w:rPr>
              <w:t>》《危险源辨识及风险分析控制程序</w:t>
            </w:r>
            <w:r>
              <w:rPr>
                <w:rFonts w:hint="default" w:ascii="Times New Roman" w:hAnsi="Times New Roman" w:cs="Times New Roman"/>
                <w:sz w:val="21"/>
                <w:szCs w:val="21"/>
                <w:highlight w:val="none"/>
              </w:rPr>
              <w:t>》，经文审符合标准要求</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提供《环境因素识别</w:t>
            </w:r>
            <w:r>
              <w:rPr>
                <w:rFonts w:hint="eastAsia" w:cs="Times New Roman"/>
                <w:sz w:val="21"/>
                <w:szCs w:val="21"/>
                <w:highlight w:val="none"/>
                <w:lang w:eastAsia="zh-CN"/>
              </w:rPr>
              <w:t>一览</w:t>
            </w:r>
            <w:r>
              <w:rPr>
                <w:rFonts w:hint="default" w:ascii="Times New Roman" w:hAnsi="Times New Roman" w:cs="Times New Roman"/>
                <w:sz w:val="21"/>
                <w:szCs w:val="21"/>
                <w:highlight w:val="none"/>
              </w:rPr>
              <w:t>表》，其中包括办公区、</w:t>
            </w:r>
            <w:r>
              <w:rPr>
                <w:rFonts w:hint="eastAsia" w:cs="Times New Roman"/>
                <w:sz w:val="21"/>
                <w:szCs w:val="21"/>
                <w:highlight w:val="none"/>
                <w:lang w:val="en-US" w:eastAsia="zh-CN"/>
              </w:rPr>
              <w:t>施工现场</w:t>
            </w:r>
            <w:r>
              <w:rPr>
                <w:rFonts w:hint="default" w:ascii="Times New Roman" w:hAnsi="Times New Roman" w:cs="Times New Roman"/>
                <w:sz w:val="21"/>
                <w:szCs w:val="21"/>
                <w:highlight w:val="none"/>
              </w:rPr>
              <w:t>等，包括固废排放、火灾</w:t>
            </w:r>
            <w:r>
              <w:rPr>
                <w:rFonts w:hint="eastAsia" w:cs="Times New Roman"/>
                <w:sz w:val="21"/>
                <w:szCs w:val="21"/>
                <w:highlight w:val="none"/>
                <w:lang w:val="en-US" w:eastAsia="zh-CN"/>
              </w:rPr>
              <w:t>的发生</w:t>
            </w:r>
            <w:r>
              <w:rPr>
                <w:rFonts w:hint="default" w:ascii="Times New Roman" w:hAnsi="Times New Roman" w:cs="Times New Roman"/>
                <w:sz w:val="21"/>
                <w:szCs w:val="21"/>
                <w:highlight w:val="none"/>
              </w:rPr>
              <w:t>、原材料损耗、</w:t>
            </w:r>
            <w:r>
              <w:rPr>
                <w:rFonts w:hint="eastAsia" w:cs="Times New Roman"/>
                <w:sz w:val="21"/>
                <w:szCs w:val="21"/>
                <w:highlight w:val="none"/>
                <w:lang w:val="en-US" w:eastAsia="zh-CN"/>
              </w:rPr>
              <w:t>能源的消耗、</w:t>
            </w:r>
            <w:r>
              <w:rPr>
                <w:rFonts w:hint="default" w:ascii="Times New Roman" w:hAnsi="Times New Roman" w:cs="Times New Roman"/>
                <w:sz w:val="21"/>
                <w:szCs w:val="21"/>
                <w:highlight w:val="none"/>
              </w:rPr>
              <w:t>废气排放、噪声排放等。</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可以提供《重要环境因素清单》，</w:t>
            </w:r>
            <w:r>
              <w:rPr>
                <w:rFonts w:hint="eastAsia" w:ascii="Times New Roman" w:hAnsi="Times New Roman" w:cs="Times New Roman"/>
                <w:sz w:val="21"/>
                <w:szCs w:val="21"/>
                <w:highlight w:val="none"/>
                <w:lang w:val="en-US" w:eastAsia="zh-CN"/>
              </w:rPr>
              <w:t>包括</w:t>
            </w:r>
            <w:r>
              <w:rPr>
                <w:rFonts w:hint="default" w:ascii="Times New Roman" w:hAnsi="Times New Roman" w:cs="Times New Roman"/>
                <w:sz w:val="21"/>
                <w:szCs w:val="21"/>
                <w:highlight w:val="none"/>
              </w:rPr>
              <w:t>：</w:t>
            </w:r>
            <w:r>
              <w:rPr>
                <w:rFonts w:hint="default" w:ascii="Times New Roman" w:hAnsi="Times New Roman" w:cs="Times New Roman"/>
                <w:color w:val="auto"/>
                <w:sz w:val="21"/>
                <w:szCs w:val="21"/>
                <w:highlight w:val="none"/>
              </w:rPr>
              <w:t>固体废弃物排放、噪声排放、火灾的发生</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废气排放</w:t>
            </w:r>
            <w:r>
              <w:rPr>
                <w:rFonts w:hint="default" w:ascii="Times New Roman" w:hAnsi="Times New Roman" w:cs="Times New Roman"/>
                <w:color w:val="auto"/>
                <w:sz w:val="21"/>
                <w:szCs w:val="21"/>
                <w:highlight w:val="none"/>
              </w:rPr>
              <w:t>，评</w:t>
            </w:r>
            <w:r>
              <w:rPr>
                <w:rFonts w:hint="default" w:ascii="Times New Roman" w:hAnsi="Times New Roman" w:cs="Times New Roman"/>
                <w:sz w:val="21"/>
                <w:szCs w:val="21"/>
                <w:highlight w:val="none"/>
              </w:rPr>
              <w:t>价准确</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提供《危险源识别</w:t>
            </w:r>
            <w:r>
              <w:rPr>
                <w:rFonts w:hint="eastAsia" w:cs="Times New Roman"/>
                <w:sz w:val="21"/>
                <w:szCs w:val="21"/>
                <w:highlight w:val="none"/>
                <w:lang w:eastAsia="zh-CN"/>
              </w:rPr>
              <w:t>一览表</w:t>
            </w:r>
            <w:r>
              <w:rPr>
                <w:rFonts w:hint="default" w:ascii="Times New Roman" w:hAnsi="Times New Roman" w:cs="Times New Roman"/>
                <w:sz w:val="21"/>
                <w:szCs w:val="21"/>
                <w:highlight w:val="none"/>
              </w:rPr>
              <w:t>》，按照活动、区域进行了识别，其中包括：线路老化</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违规吸烟</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消防设施失效</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人走未断电、电线乱拉乱扯</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未配置触电保护装置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各种电器漏电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各种电器防护装置失灵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人员未佩戴防护用具</w:t>
            </w:r>
            <w:r>
              <w:rPr>
                <w:rFonts w:hint="eastAsia" w:ascii="Times New Roman" w:hAnsi="Times New Roman" w:cs="Times New Roman"/>
                <w:sz w:val="21"/>
                <w:szCs w:val="21"/>
                <w:highlight w:val="none"/>
                <w:lang w:eastAsia="zh-CN"/>
              </w:rPr>
              <w:t>、</w:t>
            </w:r>
            <w:r>
              <w:rPr>
                <w:rFonts w:hint="eastAsia" w:cs="Times New Roman"/>
                <w:sz w:val="21"/>
                <w:szCs w:val="21"/>
                <w:highlight w:val="none"/>
                <w:lang w:val="en-US" w:eastAsia="zh-CN"/>
              </w:rPr>
              <w:t>物体打击、山体滑坡、车辆伤害</w:t>
            </w:r>
            <w:r>
              <w:rPr>
                <w:rFonts w:hint="eastAsia" w:ascii="Times New Roman" w:hAnsi="Times New Roman" w:cs="Times New Roman"/>
                <w:sz w:val="21"/>
                <w:szCs w:val="21"/>
                <w:highlight w:val="none"/>
                <w:lang w:eastAsia="zh-CN"/>
              </w:rPr>
              <w:t>、</w:t>
            </w:r>
            <w:r>
              <w:rPr>
                <w:rFonts w:hint="eastAsia" w:cs="Times New Roman"/>
                <w:sz w:val="21"/>
                <w:szCs w:val="21"/>
                <w:highlight w:val="none"/>
                <w:lang w:val="en-US" w:eastAsia="zh-CN"/>
              </w:rPr>
              <w:t>高空坠落、</w:t>
            </w:r>
            <w:r>
              <w:rPr>
                <w:rFonts w:hint="default" w:ascii="Times New Roman" w:hAnsi="Times New Roman" w:cs="Times New Roman"/>
                <w:sz w:val="21"/>
                <w:szCs w:val="21"/>
                <w:highlight w:val="none"/>
              </w:rPr>
              <w:t>设备无防护装置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设备故障</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设备操作噪声排放影响听力等，评价基本全面</w:t>
            </w:r>
          </w:p>
          <w:p>
            <w:pPr>
              <w:rPr>
                <w:rFonts w:hint="eastAsia"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提供《重大危险源清单》，</w:t>
            </w:r>
            <w:r>
              <w:rPr>
                <w:rFonts w:hint="eastAsia" w:ascii="Times New Roman" w:hAnsi="Times New Roman" w:cs="Times New Roman"/>
                <w:sz w:val="21"/>
                <w:szCs w:val="21"/>
                <w:highlight w:val="none"/>
                <w:lang w:val="en-US" w:eastAsia="zh-CN"/>
              </w:rPr>
              <w:t>包括</w:t>
            </w:r>
            <w:r>
              <w:rPr>
                <w:rFonts w:hint="default" w:ascii="Times New Roman" w:hAnsi="Times New Roman" w:cs="Times New Roman"/>
                <w:sz w:val="21"/>
                <w:szCs w:val="21"/>
                <w:highlight w:val="none"/>
              </w:rPr>
              <w:t>：</w:t>
            </w:r>
            <w:r>
              <w:rPr>
                <w:rFonts w:hint="eastAsia" w:ascii="宋体"/>
                <w:color w:val="auto"/>
                <w:sz w:val="20"/>
                <w:szCs w:val="20"/>
                <w:lang w:val="en-US" w:eastAsia="zh-CN"/>
              </w:rPr>
              <w:t>火灾事故的发生、触电、噪声伤害、意外伤害、物体打击、高空坠落机械/车辆伤害，</w:t>
            </w:r>
            <w:r>
              <w:rPr>
                <w:rFonts w:hint="default" w:ascii="宋体"/>
                <w:color w:val="auto"/>
                <w:sz w:val="20"/>
                <w:szCs w:val="20"/>
                <w:lang w:val="en-US" w:eastAsia="zh-CN"/>
              </w:rPr>
              <w:t>评价准确</w:t>
            </w:r>
            <w:r>
              <w:rPr>
                <w:rFonts w:hint="eastAsia" w:ascii="宋体"/>
                <w:color w:val="auto"/>
                <w:sz w:val="20"/>
                <w:szCs w:val="20"/>
                <w:lang w:val="en-US" w:eastAsia="zh-CN"/>
              </w:rPr>
              <w:t>。</w:t>
            </w:r>
          </w:p>
        </w:tc>
        <w:tc>
          <w:tcPr>
            <w:tcW w:w="698"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rPr>
                <w:rFonts w:ascii="Times New Roman" w:hAnsi="Times New Roman" w:eastAsia="宋体" w:cs="Times New Roman"/>
                <w:kern w:val="2"/>
                <w:sz w:val="21"/>
                <w:lang w:val="en-US" w:eastAsia="zh-CN" w:bidi="ar-SA"/>
              </w:rPr>
            </w:pPr>
            <w:r>
              <w:rPr>
                <w:rFonts w:hint="eastAsia"/>
                <w:highlight w:val="none"/>
                <w:lang w:val="en-US" w:eastAsia="zh-CN"/>
              </w:rPr>
              <w:t>环境、</w:t>
            </w:r>
            <w:r>
              <w:rPr>
                <w:rFonts w:hint="eastAsia"/>
                <w:highlight w:val="none"/>
              </w:rPr>
              <w:t>职业健康安全目标指标的合理性，管理方案的可行性</w:t>
            </w:r>
          </w:p>
        </w:tc>
        <w:tc>
          <w:tcPr>
            <w:tcW w:w="960"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O6.2.2</w:t>
            </w:r>
          </w:p>
        </w:tc>
        <w:tc>
          <w:tcPr>
            <w:tcW w:w="10891" w:type="dxa"/>
            <w:vAlign w:val="top"/>
          </w:tcPr>
          <w:p>
            <w:pPr>
              <w:rPr>
                <w:rFonts w:hint="default" w:ascii="Times New Roman" w:hAnsi="Times New Roman" w:cs="Times New Roman"/>
                <w:sz w:val="21"/>
                <w:szCs w:val="21"/>
                <w:highlight w:val="none"/>
              </w:rPr>
            </w:pPr>
            <w:r>
              <w:rPr>
                <w:rFonts w:hint="eastAsia" w:cs="Times New Roman"/>
                <w:sz w:val="21"/>
                <w:szCs w:val="21"/>
                <w:highlight w:val="none"/>
                <w:lang w:val="en-US" w:eastAsia="zh-CN"/>
              </w:rPr>
              <w:t>环境</w:t>
            </w:r>
            <w:r>
              <w:rPr>
                <w:rFonts w:hint="default" w:ascii="Times New Roman" w:hAnsi="Times New Roman" w:cs="Times New Roman"/>
                <w:sz w:val="21"/>
                <w:szCs w:val="21"/>
                <w:highlight w:val="none"/>
              </w:rPr>
              <w:t>目标、指标管理方案：抽目标指标：</w:t>
            </w:r>
            <w:r>
              <w:rPr>
                <w:rFonts w:hint="eastAsia" w:ascii="Times New Roman" w:hAnsi="Times New Roman" w:cs="宋体"/>
                <w:szCs w:val="22"/>
              </w:rPr>
              <w:t>固体废弃物100％分类处置</w:t>
            </w:r>
            <w:r>
              <w:rPr>
                <w:rFonts w:hint="default" w:ascii="Times New Roman" w:hAnsi="Times New Roman" w:cs="Times New Roman"/>
                <w:sz w:val="21"/>
                <w:szCs w:val="21"/>
                <w:highlight w:val="none"/>
              </w:rPr>
              <w:t>。</w:t>
            </w:r>
          </w:p>
          <w:p>
            <w:pPr>
              <w:rPr>
                <w:rFonts w:hint="default" w:ascii="Times New Roman" w:hAnsi="Times New Roman" w:cs="Times New Roman"/>
                <w:sz w:val="21"/>
                <w:szCs w:val="21"/>
                <w:highlight w:val="none"/>
              </w:rPr>
            </w:pPr>
            <w:r>
              <w:rPr>
                <w:rFonts w:hint="eastAsia" w:cs="Times New Roman"/>
                <w:sz w:val="21"/>
                <w:szCs w:val="21"/>
                <w:highlight w:val="none"/>
                <w:lang w:val="en-US" w:eastAsia="zh-CN"/>
              </w:rPr>
              <w:t>管理方案：</w:t>
            </w:r>
            <w:r>
              <w:rPr>
                <w:rFonts w:hint="default" w:ascii="Times New Roman" w:hAnsi="Times New Roman" w:cs="Times New Roman"/>
                <w:sz w:val="21"/>
                <w:szCs w:val="21"/>
                <w:highlight w:val="none"/>
              </w:rPr>
              <w:t>制作或购买2套可回收和不可回收的垃圾桶，分别放置在</w:t>
            </w:r>
            <w:r>
              <w:rPr>
                <w:rFonts w:hint="eastAsia" w:cs="Times New Roman"/>
                <w:sz w:val="21"/>
                <w:szCs w:val="21"/>
                <w:highlight w:val="none"/>
                <w:lang w:val="en-US" w:eastAsia="zh-CN"/>
              </w:rPr>
              <w:t>办公区、施工</w:t>
            </w:r>
            <w:r>
              <w:rPr>
                <w:rFonts w:hint="default" w:ascii="Times New Roman" w:hAnsi="Times New Roman" w:cs="Times New Roman"/>
                <w:sz w:val="21"/>
                <w:szCs w:val="21"/>
                <w:highlight w:val="none"/>
              </w:rPr>
              <w:t>作业区；</w:t>
            </w:r>
            <w:r>
              <w:rPr>
                <w:rFonts w:hint="eastAsia" w:cs="Times New Roman"/>
                <w:sz w:val="21"/>
                <w:szCs w:val="21"/>
                <w:highlight w:val="none"/>
                <w:lang w:val="en-US" w:eastAsia="zh-CN"/>
              </w:rPr>
              <w:t>施工</w:t>
            </w:r>
            <w:r>
              <w:rPr>
                <w:rFonts w:hint="default" w:ascii="Times New Roman" w:hAnsi="Times New Roman" w:cs="Times New Roman"/>
                <w:sz w:val="21"/>
                <w:szCs w:val="21"/>
                <w:highlight w:val="none"/>
              </w:rPr>
              <w:t>过程中产生的废线缆头、金属头边角料，由工程部、</w:t>
            </w:r>
            <w:r>
              <w:rPr>
                <w:rFonts w:hint="eastAsia" w:cs="Times New Roman"/>
                <w:sz w:val="21"/>
                <w:szCs w:val="21"/>
                <w:highlight w:val="none"/>
                <w:lang w:val="en-US" w:eastAsia="zh-CN"/>
              </w:rPr>
              <w:t>施工队</w:t>
            </w:r>
            <w:r>
              <w:rPr>
                <w:rFonts w:hint="default" w:ascii="Times New Roman" w:hAnsi="Times New Roman" w:cs="Times New Roman"/>
                <w:sz w:val="21"/>
                <w:szCs w:val="21"/>
                <w:highlight w:val="none"/>
              </w:rPr>
              <w:t>负责统一收集，工程部负责销售处理；对办公及生活区的废纸张等可回收固废由安全部负责集中收集，交回收站；对废旧电池、废灯管以及机修过程中产生的不可回收固废物由安全部统一收集，交市固废回收公司处理。</w:t>
            </w:r>
          </w:p>
          <w:p>
            <w:pP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责任部门</w:t>
            </w:r>
            <w:r>
              <w:rPr>
                <w:rFonts w:hint="default" w:ascii="Times New Roman" w:hAnsi="Times New Roman" w:cs="Times New Roman"/>
                <w:sz w:val="21"/>
                <w:szCs w:val="21"/>
                <w:highlight w:val="none"/>
              </w:rPr>
              <w:t>：</w:t>
            </w:r>
            <w:r>
              <w:rPr>
                <w:rFonts w:hint="eastAsia" w:cs="Times New Roman"/>
                <w:sz w:val="21"/>
                <w:szCs w:val="21"/>
                <w:highlight w:val="none"/>
                <w:lang w:val="en-US" w:eastAsia="zh-CN"/>
              </w:rPr>
              <w:t>工程部</w:t>
            </w:r>
            <w:r>
              <w:rPr>
                <w:rFonts w:hint="default" w:ascii="Times New Roman" w:hAnsi="Times New Roman" w:cs="Times New Roman"/>
                <w:sz w:val="21"/>
                <w:szCs w:val="21"/>
                <w:highlight w:val="none"/>
              </w:rPr>
              <w:t>，费用：</w:t>
            </w:r>
            <w:r>
              <w:rPr>
                <w:rFonts w:hint="eastAsia" w:cs="Times New Roman"/>
                <w:sz w:val="21"/>
                <w:szCs w:val="21"/>
                <w:highlight w:val="none"/>
                <w:lang w:val="en-US" w:eastAsia="zh-CN"/>
              </w:rPr>
              <w:t>2</w:t>
            </w:r>
            <w:r>
              <w:rPr>
                <w:rFonts w:hint="default" w:ascii="Times New Roman" w:hAnsi="Times New Roman" w:cs="Times New Roman"/>
                <w:sz w:val="21"/>
                <w:szCs w:val="21"/>
                <w:highlight w:val="none"/>
              </w:rPr>
              <w:t>000元，起止时间：20</w:t>
            </w:r>
            <w:r>
              <w:rPr>
                <w:rFonts w:hint="eastAsia" w:cs="Times New Roman"/>
                <w:sz w:val="21"/>
                <w:szCs w:val="21"/>
                <w:highlight w:val="none"/>
                <w:lang w:val="en-US" w:eastAsia="zh-CN"/>
              </w:rPr>
              <w:t>20.6</w:t>
            </w:r>
            <w:r>
              <w:rPr>
                <w:rFonts w:hint="eastAsia" w:ascii="Times New Roman" w:hAnsi="Times New Roman" w:cs="Times New Roman"/>
                <w:sz w:val="21"/>
                <w:szCs w:val="21"/>
                <w:highlight w:val="none"/>
                <w:lang w:val="en-US" w:eastAsia="zh-CN"/>
              </w:rPr>
              <w:t>-</w:t>
            </w:r>
            <w:r>
              <w:rPr>
                <w:rFonts w:hint="eastAsia" w:cs="Times New Roman"/>
                <w:sz w:val="21"/>
                <w:szCs w:val="21"/>
                <w:highlight w:val="none"/>
                <w:lang w:val="en-US" w:eastAsia="zh-CN"/>
              </w:rPr>
              <w:t>12</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共根据识别的</w:t>
            </w:r>
            <w:r>
              <w:rPr>
                <w:rFonts w:hint="eastAsia" w:cs="Times New Roman"/>
                <w:sz w:val="21"/>
                <w:szCs w:val="21"/>
                <w:highlight w:val="none"/>
                <w:lang w:val="en-US" w:eastAsia="zh-CN"/>
              </w:rPr>
              <w:t>重要环境因素</w:t>
            </w:r>
            <w:r>
              <w:rPr>
                <w:rFonts w:hint="default" w:ascii="Times New Roman" w:hAnsi="Times New Roman" w:cs="Times New Roman"/>
                <w:sz w:val="21"/>
                <w:szCs w:val="21"/>
                <w:highlight w:val="none"/>
              </w:rPr>
              <w:t>策划管理方案</w:t>
            </w:r>
            <w:r>
              <w:rPr>
                <w:rFonts w:hint="eastAsia" w:cs="Times New Roman"/>
                <w:sz w:val="21"/>
                <w:szCs w:val="21"/>
                <w:highlight w:val="none"/>
                <w:lang w:val="en-US" w:eastAsia="zh-CN"/>
              </w:rPr>
              <w:t>3</w:t>
            </w:r>
            <w:r>
              <w:rPr>
                <w:rFonts w:hint="default" w:ascii="Times New Roman" w:hAnsi="Times New Roman" w:cs="Times New Roman"/>
                <w:sz w:val="21"/>
                <w:szCs w:val="21"/>
                <w:highlight w:val="none"/>
              </w:rPr>
              <w:t>个</w:t>
            </w:r>
            <w:r>
              <w:rPr>
                <w:rFonts w:hint="eastAsia" w:cs="Times New Roman"/>
                <w:sz w:val="21"/>
                <w:szCs w:val="21"/>
                <w:highlight w:val="none"/>
                <w:lang w:eastAsia="zh-CN"/>
              </w:rPr>
              <w:t>，</w:t>
            </w:r>
            <w:r>
              <w:rPr>
                <w:rFonts w:hint="default" w:ascii="Times New Roman" w:hAnsi="Times New Roman" w:cs="Times New Roman"/>
                <w:sz w:val="21"/>
                <w:szCs w:val="21"/>
                <w:highlight w:val="none"/>
              </w:rPr>
              <w:t>同上，基本符合标准要求、可行。</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职业健康安全目标、指标管理方案：抽目标指标：</w:t>
            </w:r>
            <w:r>
              <w:rPr>
                <w:rFonts w:hint="eastAsia" w:cs="Times New Roman"/>
                <w:sz w:val="21"/>
                <w:szCs w:val="21"/>
                <w:highlight w:val="none"/>
                <w:lang w:val="en-US" w:eastAsia="zh-CN"/>
              </w:rPr>
              <w:t>杜绝触电事故的发生</w:t>
            </w:r>
            <w:r>
              <w:rPr>
                <w:rFonts w:hint="default" w:ascii="Times New Roman" w:hAnsi="Times New Roman" w:cs="Times New Roman"/>
                <w:sz w:val="21"/>
                <w:szCs w:val="21"/>
                <w:highlight w:val="none"/>
              </w:rPr>
              <w:t>。</w:t>
            </w:r>
          </w:p>
          <w:p>
            <w:pPr>
              <w:rPr>
                <w:rFonts w:hint="eastAsia" w:cs="Times New Roman"/>
                <w:sz w:val="21"/>
                <w:szCs w:val="21"/>
                <w:highlight w:val="none"/>
                <w:lang w:val="en-US" w:eastAsia="zh-CN"/>
              </w:rPr>
            </w:pPr>
            <w:r>
              <w:rPr>
                <w:rFonts w:hint="default" w:ascii="Times New Roman" w:hAnsi="Times New Roman" w:cs="Times New Roman"/>
                <w:sz w:val="21"/>
                <w:szCs w:val="21"/>
                <w:highlight w:val="none"/>
              </w:rPr>
              <w:t>管理方案：强化安全思想教育培训，认真学习安全规程</w:t>
            </w:r>
            <w:r>
              <w:rPr>
                <w:rFonts w:hint="eastAsia" w:cs="Times New Roman"/>
                <w:sz w:val="21"/>
                <w:szCs w:val="21"/>
                <w:highlight w:val="none"/>
                <w:lang w:eastAsia="zh-CN"/>
              </w:rPr>
              <w:t>；</w:t>
            </w:r>
            <w:r>
              <w:rPr>
                <w:rFonts w:hint="default" w:ascii="Times New Roman" w:hAnsi="Times New Roman" w:cs="Times New Roman"/>
                <w:sz w:val="21"/>
                <w:szCs w:val="21"/>
                <w:highlight w:val="none"/>
              </w:rPr>
              <w:t>认真审查设计图纸，会审时提出建议</w:t>
            </w:r>
            <w:r>
              <w:rPr>
                <w:rFonts w:hint="eastAsia" w:cs="Times New Roman"/>
                <w:sz w:val="21"/>
                <w:szCs w:val="21"/>
                <w:highlight w:val="none"/>
                <w:lang w:eastAsia="zh-CN"/>
              </w:rPr>
              <w:t>；</w:t>
            </w:r>
            <w:r>
              <w:rPr>
                <w:rFonts w:hint="default" w:ascii="Times New Roman" w:hAnsi="Times New Roman" w:cs="Times New Roman"/>
                <w:sz w:val="21"/>
                <w:szCs w:val="21"/>
                <w:highlight w:val="none"/>
              </w:rPr>
              <w:t>落实施工前班前会、开工会制度，布置安全措施，交待危险源点</w:t>
            </w:r>
            <w:r>
              <w:rPr>
                <w:rFonts w:hint="eastAsia" w:cs="Times New Roman"/>
                <w:sz w:val="21"/>
                <w:szCs w:val="21"/>
                <w:highlight w:val="none"/>
                <w:lang w:eastAsia="zh-CN"/>
              </w:rPr>
              <w:t>；</w:t>
            </w:r>
            <w:r>
              <w:rPr>
                <w:rFonts w:hint="default" w:ascii="Times New Roman" w:hAnsi="Times New Roman" w:cs="Times New Roman"/>
                <w:sz w:val="21"/>
                <w:szCs w:val="21"/>
                <w:highlight w:val="none"/>
              </w:rPr>
              <w:t>施工复杂现场，施工队落实现场专人监护</w:t>
            </w:r>
            <w:r>
              <w:rPr>
                <w:rFonts w:hint="eastAsia" w:cs="Times New Roman"/>
                <w:sz w:val="21"/>
                <w:szCs w:val="21"/>
                <w:highlight w:val="none"/>
                <w:lang w:eastAsia="zh-CN"/>
              </w:rPr>
              <w:t>；</w:t>
            </w:r>
            <w:r>
              <w:rPr>
                <w:rFonts w:hint="default" w:ascii="Times New Roman" w:hAnsi="Times New Roman" w:cs="Times New Roman"/>
                <w:sz w:val="21"/>
                <w:szCs w:val="21"/>
                <w:highlight w:val="none"/>
              </w:rPr>
              <w:t>必要时编制安全技术交底或制定专项安全措施</w:t>
            </w:r>
            <w:r>
              <w:rPr>
                <w:rFonts w:hint="eastAsia" w:cs="Times New Roman"/>
                <w:sz w:val="21"/>
                <w:szCs w:val="21"/>
                <w:highlight w:val="none"/>
                <w:lang w:eastAsia="zh-CN"/>
              </w:rPr>
              <w:t>；</w:t>
            </w:r>
            <w:r>
              <w:rPr>
                <w:rFonts w:hint="default" w:ascii="Times New Roman" w:hAnsi="Times New Roman" w:cs="Times New Roman"/>
                <w:sz w:val="21"/>
                <w:szCs w:val="21"/>
                <w:highlight w:val="none"/>
              </w:rPr>
              <w:t>必要时设置安全网、安全栏、安全绳和安全标志</w:t>
            </w:r>
            <w:r>
              <w:rPr>
                <w:rFonts w:hint="eastAsia" w:cs="Times New Roman"/>
                <w:sz w:val="21"/>
                <w:szCs w:val="21"/>
                <w:highlight w:val="none"/>
                <w:lang w:eastAsia="zh-CN"/>
              </w:rPr>
              <w:t>；</w:t>
            </w:r>
            <w:r>
              <w:rPr>
                <w:rFonts w:hint="default" w:ascii="Times New Roman" w:hAnsi="Times New Roman" w:cs="Times New Roman"/>
                <w:sz w:val="21"/>
                <w:szCs w:val="21"/>
                <w:highlight w:val="none"/>
              </w:rPr>
              <w:t>配备符合要求的安全工器具</w:t>
            </w:r>
            <w:r>
              <w:rPr>
                <w:rFonts w:hint="eastAsia" w:cs="Times New Roman"/>
                <w:sz w:val="21"/>
                <w:szCs w:val="21"/>
                <w:highlight w:val="none"/>
                <w:lang w:val="en-US" w:eastAsia="zh-CN"/>
              </w:rPr>
              <w:t>；</w:t>
            </w:r>
          </w:p>
          <w:p>
            <w:pP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责任部门</w:t>
            </w:r>
            <w:r>
              <w:rPr>
                <w:rFonts w:hint="default" w:ascii="Times New Roman" w:hAnsi="Times New Roman" w:cs="Times New Roman"/>
                <w:sz w:val="21"/>
                <w:szCs w:val="21"/>
                <w:highlight w:val="none"/>
              </w:rPr>
              <w:t>：</w:t>
            </w:r>
            <w:r>
              <w:rPr>
                <w:rFonts w:hint="eastAsia" w:cs="Times New Roman"/>
                <w:sz w:val="21"/>
                <w:szCs w:val="21"/>
                <w:highlight w:val="none"/>
                <w:lang w:val="en-US" w:eastAsia="zh-CN"/>
              </w:rPr>
              <w:t>工程</w:t>
            </w:r>
            <w:r>
              <w:rPr>
                <w:rFonts w:hint="default" w:ascii="Times New Roman" w:hAnsi="Times New Roman" w:cs="Times New Roman"/>
                <w:sz w:val="21"/>
                <w:szCs w:val="21"/>
                <w:highlight w:val="none"/>
              </w:rPr>
              <w:t>部，费用：</w:t>
            </w:r>
            <w:r>
              <w:rPr>
                <w:rFonts w:hint="eastAsia" w:cs="Times New Roman"/>
                <w:sz w:val="21"/>
                <w:szCs w:val="21"/>
                <w:highlight w:val="none"/>
                <w:lang w:val="en-US" w:eastAsia="zh-CN"/>
              </w:rPr>
              <w:t>1</w:t>
            </w:r>
            <w:r>
              <w:rPr>
                <w:rFonts w:hint="default" w:ascii="Times New Roman" w:hAnsi="Times New Roman" w:cs="Times New Roman"/>
                <w:sz w:val="21"/>
                <w:szCs w:val="21"/>
                <w:highlight w:val="none"/>
              </w:rPr>
              <w:t>000元，起止时间：20</w:t>
            </w:r>
            <w:r>
              <w:rPr>
                <w:rFonts w:hint="eastAsia" w:cs="Times New Roman"/>
                <w:sz w:val="21"/>
                <w:szCs w:val="21"/>
                <w:highlight w:val="none"/>
                <w:lang w:val="en-US" w:eastAsia="zh-CN"/>
              </w:rPr>
              <w:t>20.6-12</w:t>
            </w:r>
          </w:p>
          <w:p>
            <w:pPr>
              <w:rPr>
                <w:rFonts w:hint="eastAsia"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共根据识别的重大危险源策划管理方案</w:t>
            </w:r>
            <w:r>
              <w:rPr>
                <w:rFonts w:hint="eastAsia" w:cs="Times New Roman"/>
                <w:sz w:val="21"/>
                <w:szCs w:val="21"/>
                <w:highlight w:val="none"/>
                <w:lang w:val="en-US" w:eastAsia="zh-CN"/>
              </w:rPr>
              <w:t>4</w:t>
            </w:r>
            <w:r>
              <w:rPr>
                <w:rFonts w:hint="default" w:ascii="Times New Roman" w:hAnsi="Times New Roman" w:cs="Times New Roman"/>
                <w:sz w:val="21"/>
                <w:szCs w:val="21"/>
                <w:highlight w:val="none"/>
              </w:rPr>
              <w:t>个</w:t>
            </w:r>
            <w:r>
              <w:rPr>
                <w:rFonts w:hint="eastAsia" w:cs="Times New Roman"/>
                <w:sz w:val="21"/>
                <w:szCs w:val="21"/>
                <w:highlight w:val="none"/>
                <w:lang w:eastAsia="zh-CN"/>
              </w:rPr>
              <w:t>，</w:t>
            </w:r>
            <w:r>
              <w:rPr>
                <w:rFonts w:hint="default" w:ascii="Times New Roman" w:hAnsi="Times New Roman" w:cs="Times New Roman"/>
                <w:sz w:val="21"/>
                <w:szCs w:val="21"/>
                <w:highlight w:val="none"/>
              </w:rPr>
              <w:t>同上，基本符合标准要求、可行。</w:t>
            </w:r>
          </w:p>
        </w:tc>
        <w:tc>
          <w:tcPr>
            <w:tcW w:w="698"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szCs w:val="21"/>
              </w:rPr>
            </w:pPr>
            <w:r>
              <w:rPr>
                <w:rFonts w:hint="eastAsia"/>
                <w:szCs w:val="21"/>
              </w:rPr>
              <w:t>管理体系文件</w:t>
            </w:r>
          </w:p>
          <w:p>
            <w:pPr>
              <w:rPr>
                <w:rFonts w:hint="eastAsia" w:ascii="Times New Roman" w:hAnsi="Times New Roman" w:cs="Times New Roman"/>
                <w:kern w:val="2"/>
                <w:sz w:val="21"/>
                <w:lang w:val="en-US" w:eastAsia="zh-CN" w:bidi="ar-SA"/>
              </w:rPr>
            </w:pPr>
            <w:r>
              <w:rPr>
                <w:rFonts w:hint="eastAsia" w:ascii="Times New Roman" w:hAnsi="Times New Roman" w:cs="Times New Roman"/>
                <w:kern w:val="2"/>
                <w:sz w:val="21"/>
                <w:lang w:val="en-US" w:eastAsia="zh-CN" w:bidi="ar-SA"/>
              </w:rPr>
              <w:t>合规义务</w:t>
            </w:r>
          </w:p>
          <w:p>
            <w:pPr>
              <w:rPr>
                <w:szCs w:val="21"/>
              </w:rPr>
            </w:pPr>
            <w:r>
              <w:rPr>
                <w:rFonts w:hint="eastAsia" w:ascii="Times New Roman" w:hAnsi="Times New Roman" w:cs="Times New Roman"/>
                <w:kern w:val="2"/>
                <w:sz w:val="21"/>
                <w:lang w:val="en-US" w:eastAsia="zh-CN" w:bidi="ar-SA"/>
              </w:rPr>
              <w:t>法律法规要求</w:t>
            </w:r>
          </w:p>
        </w:tc>
        <w:tc>
          <w:tcPr>
            <w:tcW w:w="960" w:type="dxa"/>
          </w:tcPr>
          <w:p>
            <w:pPr>
              <w:rPr>
                <w:szCs w:val="21"/>
              </w:rPr>
            </w:pPr>
            <w:r>
              <w:rPr>
                <w:rFonts w:hint="eastAsia"/>
                <w:szCs w:val="21"/>
              </w:rPr>
              <w:t>EO</w:t>
            </w:r>
          </w:p>
          <w:p>
            <w:pPr>
              <w:rPr>
                <w:rFonts w:hint="eastAsia"/>
                <w:szCs w:val="21"/>
                <w:lang w:val="en-US" w:eastAsia="zh-CN"/>
              </w:rPr>
            </w:pPr>
            <w:r>
              <w:rPr>
                <w:rFonts w:hint="eastAsia"/>
                <w:szCs w:val="21"/>
                <w:lang w:val="en-US" w:eastAsia="zh-CN"/>
              </w:rPr>
              <w:t>6.1.3</w:t>
            </w:r>
          </w:p>
          <w:p>
            <w:pPr>
              <w:rPr>
                <w:szCs w:val="21"/>
              </w:rPr>
            </w:pPr>
            <w:r>
              <w:rPr>
                <w:rFonts w:hint="eastAsia"/>
                <w:szCs w:val="21"/>
              </w:rPr>
              <w:t>7.5</w:t>
            </w:r>
          </w:p>
          <w:p>
            <w:pPr>
              <w:rPr>
                <w:szCs w:val="21"/>
              </w:rPr>
            </w:pPr>
          </w:p>
        </w:tc>
        <w:tc>
          <w:tcPr>
            <w:tcW w:w="10891" w:type="dxa"/>
          </w:tcPr>
          <w:p>
            <w:pPr>
              <w:rPr>
                <w:szCs w:val="21"/>
              </w:rPr>
            </w:pPr>
            <w:r>
              <w:rPr>
                <w:szCs w:val="21"/>
              </w:rPr>
              <w:t>■</w:t>
            </w:r>
            <w:r>
              <w:rPr>
                <w:rFonts w:hint="eastAsia"/>
                <w:szCs w:val="21"/>
              </w:rPr>
              <w:t>受审核方建立的管理体系文件包括：</w:t>
            </w:r>
          </w:p>
          <w:p>
            <w:pPr>
              <w:rPr>
                <w:szCs w:val="21"/>
              </w:rPr>
            </w:pPr>
            <w:r>
              <w:rPr>
                <w:rFonts w:hint="eastAsia"/>
                <w:szCs w:val="21"/>
              </w:rPr>
              <w:t>1.管理手册</w:t>
            </w:r>
            <w:r>
              <w:rPr>
                <w:szCs w:val="21"/>
              </w:rPr>
              <w:t>GYHL/QES/SC-A-2020</w:t>
            </w:r>
            <w:r>
              <w:rPr>
                <w:rFonts w:hint="eastAsia"/>
                <w:szCs w:val="21"/>
              </w:rPr>
              <w:t>-A0版，2020年6月1日发表实施（含管理方针、目标）</w:t>
            </w:r>
          </w:p>
          <w:p>
            <w:pPr>
              <w:ind w:left="5670" w:hanging="5670" w:hangingChars="2700"/>
              <w:jc w:val="left"/>
              <w:rPr>
                <w:szCs w:val="21"/>
              </w:rPr>
            </w:pPr>
            <w:r>
              <w:rPr>
                <w:rFonts w:hint="eastAsia"/>
                <w:szCs w:val="21"/>
              </w:rPr>
              <w:t>2.程序文件</w:t>
            </w:r>
            <w:bookmarkStart w:id="0" w:name="OLE_LINK8"/>
            <w:r>
              <w:rPr>
                <w:szCs w:val="21"/>
              </w:rPr>
              <w:t>GYHL/ CX -</w:t>
            </w:r>
            <w:r>
              <w:rPr>
                <w:rFonts w:hint="eastAsia"/>
                <w:szCs w:val="21"/>
              </w:rPr>
              <w:t>A</w:t>
            </w:r>
            <w:r>
              <w:rPr>
                <w:szCs w:val="21"/>
              </w:rPr>
              <w:t>-</w:t>
            </w:r>
            <w:bookmarkEnd w:id="0"/>
            <w:r>
              <w:rPr>
                <w:szCs w:val="21"/>
              </w:rPr>
              <w:t>2020</w:t>
            </w:r>
            <w:r>
              <w:rPr>
                <w:rFonts w:hint="eastAsia"/>
                <w:szCs w:val="21"/>
              </w:rPr>
              <w:t>-A0版，2020年6月1日发表实施，包括标准要求的程序</w:t>
            </w:r>
          </w:p>
          <w:p>
            <w:pPr>
              <w:rPr>
                <w:szCs w:val="21"/>
              </w:rPr>
            </w:pPr>
            <w:r>
              <w:rPr>
                <w:rFonts w:hint="eastAsia"/>
                <w:szCs w:val="21"/>
              </w:rPr>
              <w:t>3.制度规范，包括：</w:t>
            </w:r>
            <w:r>
              <w:rPr>
                <w:rFonts w:hint="eastAsia"/>
              </w:rPr>
              <w:t>安装施工区域现场</w:t>
            </w:r>
            <w:r>
              <w:t>6s</w:t>
            </w:r>
            <w:r>
              <w:rPr>
                <w:rFonts w:hint="eastAsia"/>
              </w:rPr>
              <w:t>管理标准</w:t>
            </w:r>
            <w:r>
              <w:rPr>
                <w:rFonts w:hint="eastAsia"/>
                <w:szCs w:val="21"/>
              </w:rPr>
              <w:t>、</w:t>
            </w:r>
            <w:r>
              <w:rPr>
                <w:rFonts w:hint="eastAsia"/>
              </w:rPr>
              <w:t>办公区域</w:t>
            </w:r>
            <w:r>
              <w:t>6s</w:t>
            </w:r>
            <w:r>
              <w:rPr>
                <w:rFonts w:hint="eastAsia"/>
              </w:rPr>
              <w:t>管理标准</w:t>
            </w:r>
            <w:r>
              <w:rPr>
                <w:rFonts w:hint="eastAsia"/>
                <w:szCs w:val="21"/>
              </w:rPr>
              <w:t>、</w:t>
            </w:r>
            <w:r>
              <w:rPr>
                <w:rFonts w:hint="eastAsia"/>
              </w:rPr>
              <w:t>安全检查管理制度</w:t>
            </w:r>
            <w:r>
              <w:rPr>
                <w:rFonts w:hint="eastAsia"/>
                <w:szCs w:val="21"/>
              </w:rPr>
              <w:t>、</w:t>
            </w:r>
            <w:r>
              <w:rPr>
                <w:rFonts w:hint="eastAsia"/>
              </w:rPr>
              <w:t>安全教育培训管理制度</w:t>
            </w:r>
            <w:r>
              <w:rPr>
                <w:rFonts w:hint="eastAsia"/>
                <w:szCs w:val="21"/>
              </w:rPr>
              <w:t>、</w:t>
            </w:r>
            <w:r>
              <w:rPr>
                <w:rFonts w:hint="eastAsia"/>
              </w:rPr>
              <w:t>固体废弃物管理规范</w:t>
            </w:r>
            <w:r>
              <w:rPr>
                <w:rFonts w:hint="eastAsia"/>
                <w:szCs w:val="21"/>
              </w:rPr>
              <w:t>、</w:t>
            </w:r>
            <w:r>
              <w:rPr>
                <w:rFonts w:hint="eastAsia"/>
              </w:rPr>
              <w:t>火灾、触电应急预案、员工劳动安全和防护规定</w:t>
            </w:r>
            <w:r>
              <w:rPr>
                <w:rFonts w:hint="eastAsia"/>
                <w:szCs w:val="21"/>
              </w:rPr>
              <w:t>等。</w:t>
            </w:r>
          </w:p>
          <w:p>
            <w:pPr>
              <w:rPr>
                <w:szCs w:val="21"/>
              </w:rPr>
            </w:pPr>
            <w:r>
              <w:rPr>
                <w:rFonts w:hint="eastAsia"/>
                <w:szCs w:val="21"/>
              </w:rPr>
              <w:t>4.体系运行所需要的记录</w:t>
            </w:r>
          </w:p>
          <w:p>
            <w:pPr>
              <w:rPr>
                <w:szCs w:val="21"/>
              </w:rPr>
            </w:pPr>
            <w:r>
              <w:rPr>
                <w:szCs w:val="21"/>
              </w:rPr>
              <w:t>■</w:t>
            </w:r>
            <w:r>
              <w:rPr>
                <w:rFonts w:hint="eastAsia"/>
                <w:szCs w:val="21"/>
              </w:rPr>
              <w:t>编制了文件控制程序，用于对管理体系文件的管理</w:t>
            </w:r>
          </w:p>
          <w:p>
            <w:pPr>
              <w:rPr>
                <w:szCs w:val="21"/>
              </w:rPr>
            </w:pPr>
            <w:r>
              <w:rPr>
                <w:rFonts w:hint="eastAsia"/>
                <w:szCs w:val="21"/>
              </w:rPr>
              <w:t>对外来文件进行了识别收集，现场提供有《适用法律法规清单》，包括</w:t>
            </w:r>
            <w:r>
              <w:rPr>
                <w:rFonts w:hint="eastAsia" w:ascii="宋体" w:hAnsi="宋体"/>
                <w:szCs w:val="21"/>
              </w:rPr>
              <w:t>中华人民共和国环境影响评价法</w:t>
            </w:r>
            <w:r>
              <w:rPr>
                <w:rFonts w:hint="eastAsia"/>
                <w:szCs w:val="21"/>
              </w:rPr>
              <w:t>、消防法、固体废弃物环境防治法、</w:t>
            </w:r>
            <w:r>
              <w:rPr>
                <w:rFonts w:hint="eastAsia" w:ascii="宋体" w:hAnsi="宋体"/>
                <w:szCs w:val="21"/>
              </w:rPr>
              <w:t>中华人民共和国环境噪声污染防治法、</w:t>
            </w:r>
            <w:r>
              <w:rPr>
                <w:rFonts w:hint="eastAsia" w:ascii="宋体" w:hAnsi="宋体" w:cs="宋体"/>
                <w:kern w:val="0"/>
                <w:szCs w:val="21"/>
              </w:rPr>
              <w:t>生产安全事故应急预案管理办法、</w:t>
            </w:r>
            <w:r>
              <w:rPr>
                <w:rFonts w:hint="eastAsia" w:ascii="宋体" w:hAnsi="宋体" w:cs="宋体"/>
                <w:szCs w:val="21"/>
              </w:rPr>
              <w:t>职业健康检查管理办法、GBZ 2.1-2007工作场所有害因素职业接触限值 第1部分:化学有害因素、GBZ 2.2-2007工作场所有害因素职业接触限值 第2部分:物理因素、</w:t>
            </w:r>
            <w:r>
              <w:rPr>
                <w:rFonts w:hint="eastAsia"/>
                <w:szCs w:val="21"/>
              </w:rPr>
              <w:t>GB/T24001-2016《环境管理体系 要求及使用指南》、</w:t>
            </w:r>
            <w:r>
              <w:rPr>
                <w:rFonts w:hint="eastAsia"/>
                <w:szCs w:val="21"/>
                <w:lang w:val="en-US" w:eastAsia="zh-CN"/>
              </w:rPr>
              <w:t>GB/T</w:t>
            </w:r>
            <w:r>
              <w:rPr>
                <w:rFonts w:hint="eastAsia"/>
                <w:szCs w:val="21"/>
              </w:rPr>
              <w:t>45001</w:t>
            </w:r>
            <w:r>
              <w:rPr>
                <w:rFonts w:hint="eastAsia"/>
                <w:szCs w:val="21"/>
                <w:lang w:val="en-US" w:eastAsia="zh-CN"/>
              </w:rPr>
              <w:t>-2020</w:t>
            </w:r>
            <w:r>
              <w:rPr>
                <w:rFonts w:hint="eastAsia"/>
                <w:szCs w:val="21"/>
              </w:rPr>
              <w:t>《职业健康安全管理体系 要求及使用指南》等法规要求。</w:t>
            </w:r>
          </w:p>
        </w:tc>
        <w:tc>
          <w:tcPr>
            <w:tcW w:w="698"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tcPr>
          <w:p>
            <w:pPr>
              <w:rPr>
                <w:szCs w:val="21"/>
              </w:rPr>
            </w:pPr>
            <w:r>
              <w:rPr>
                <w:sz w:val="24"/>
                <w:szCs w:val="22"/>
              </w:rPr>
              <w:t>应急准备和响应</w:t>
            </w:r>
          </w:p>
        </w:tc>
        <w:tc>
          <w:tcPr>
            <w:tcW w:w="960" w:type="dxa"/>
          </w:tcPr>
          <w:p>
            <w:pPr>
              <w:rPr>
                <w:szCs w:val="21"/>
              </w:rPr>
            </w:pPr>
            <w:r>
              <w:rPr>
                <w:rFonts w:hint="eastAsia"/>
                <w:szCs w:val="21"/>
              </w:rPr>
              <w:t>EO8.2</w:t>
            </w:r>
          </w:p>
        </w:tc>
        <w:tc>
          <w:tcPr>
            <w:tcW w:w="10891" w:type="dxa"/>
          </w:tcPr>
          <w:p>
            <w:pPr>
              <w:rPr>
                <w:rFonts w:ascii="宋体" w:hAnsi="宋体"/>
                <w:szCs w:val="21"/>
              </w:rPr>
            </w:pPr>
            <w:r>
              <w:rPr>
                <w:rFonts w:hint="eastAsia" w:ascii="宋体" w:hAnsi="宋体"/>
                <w:szCs w:val="21"/>
              </w:rPr>
              <w:t>公司</w:t>
            </w:r>
            <w:r>
              <w:rPr>
                <w:rFonts w:hint="eastAsia"/>
                <w:szCs w:val="21"/>
              </w:rPr>
              <w:t>策划了《应急准备和响应控制程序》，</w:t>
            </w:r>
            <w:r>
              <w:rPr>
                <w:rFonts w:hint="eastAsia" w:ascii="宋体" w:hAnsi="宋体"/>
                <w:szCs w:val="21"/>
              </w:rPr>
              <w:t>制定安全事故综合应急预案和施工现场</w:t>
            </w:r>
            <w:r>
              <w:rPr>
                <w:rFonts w:hint="eastAsia" w:ascii="宋体" w:hAnsi="宋体"/>
                <w:szCs w:val="21"/>
                <w:lang w:val="en-US" w:eastAsia="zh-CN"/>
              </w:rPr>
              <w:t>火灾事故、</w:t>
            </w:r>
            <w:r>
              <w:rPr>
                <w:rFonts w:hint="eastAsia" w:ascii="宋体" w:hAnsi="宋体"/>
                <w:szCs w:val="21"/>
              </w:rPr>
              <w:t>机械伤害事故、中暑应急救援专项方案。</w:t>
            </w:r>
          </w:p>
          <w:p>
            <w:pPr>
              <w:rPr>
                <w:rFonts w:ascii="宋体" w:hAnsi="宋体"/>
                <w:szCs w:val="21"/>
              </w:rPr>
            </w:pPr>
            <w:r>
              <w:rPr>
                <w:rFonts w:hint="eastAsia" w:ascii="宋体" w:hAnsi="宋体"/>
                <w:szCs w:val="21"/>
              </w:rPr>
              <w:t>配有应急设备，共有灭火器8个、急救箱2个等。</w:t>
            </w:r>
          </w:p>
          <w:p>
            <w:pPr>
              <w:rPr>
                <w:rFonts w:hint="eastAsia"/>
                <w:szCs w:val="21"/>
              </w:rPr>
            </w:pPr>
            <w:r>
              <w:rPr>
                <w:rFonts w:hint="eastAsia" w:ascii="宋体" w:hAnsi="宋体"/>
                <w:szCs w:val="21"/>
              </w:rPr>
              <w:t>公司计划组织</w:t>
            </w:r>
            <w:r>
              <w:rPr>
                <w:rFonts w:hint="eastAsia" w:ascii="宋体" w:hAnsi="宋体"/>
                <w:szCs w:val="21"/>
                <w:lang w:val="en-US" w:eastAsia="zh-CN"/>
              </w:rPr>
              <w:t>了应急</w:t>
            </w:r>
            <w:r>
              <w:rPr>
                <w:rFonts w:hint="eastAsia" w:ascii="宋体" w:hAnsi="宋体"/>
                <w:szCs w:val="21"/>
              </w:rPr>
              <w:t>演练，目前已完成。</w:t>
            </w:r>
          </w:p>
        </w:tc>
        <w:tc>
          <w:tcPr>
            <w:tcW w:w="698" w:type="dxa"/>
          </w:tcPr>
          <w:p>
            <w:pPr>
              <w:rPr>
                <w:szCs w:val="21"/>
              </w:rPr>
            </w:pPr>
          </w:p>
        </w:tc>
      </w:tr>
    </w:tbl>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891" w:type="dxa"/>
            <w:vAlign w:val="center"/>
          </w:tcPr>
          <w:p>
            <w:pPr>
              <w:rPr>
                <w:szCs w:val="21"/>
              </w:rPr>
            </w:pPr>
            <w:r>
              <w:rPr>
                <w:rFonts w:hint="eastAsia"/>
                <w:szCs w:val="21"/>
              </w:rPr>
              <w:t>受审核部门：工程技术部</w:t>
            </w:r>
            <w:r>
              <w:rPr>
                <w:rFonts w:hint="eastAsia"/>
                <w:szCs w:val="21"/>
                <w:lang w:val="en-US" w:eastAsia="zh-CN"/>
              </w:rPr>
              <w:t>/在建项目</w:t>
            </w:r>
            <w:r>
              <w:rPr>
                <w:rFonts w:hint="eastAsia"/>
                <w:szCs w:val="21"/>
              </w:rPr>
              <w:t xml:space="preserve">    </w:t>
            </w:r>
            <w:r>
              <w:rPr>
                <w:szCs w:val="21"/>
              </w:rPr>
              <w:t xml:space="preserve"> </w:t>
            </w:r>
            <w:r>
              <w:rPr>
                <w:rFonts w:ascii="楷体" w:hAnsi="楷体" w:eastAsia="楷体"/>
              </w:rPr>
              <w:t xml:space="preserve"> </w:t>
            </w:r>
            <w:r>
              <w:rPr>
                <w:rFonts w:hint="eastAsia" w:ascii="楷体" w:hAnsi="楷体" w:eastAsia="楷体"/>
              </w:rPr>
              <w:t>主管领导：</w:t>
            </w:r>
            <w:r>
              <w:rPr>
                <w:rFonts w:hint="eastAsia" w:ascii="楷体" w:hAnsi="楷体" w:eastAsia="楷体" w:cs="宋体"/>
              </w:rPr>
              <w:t xml:space="preserve">高文博/庞金秋 </w:t>
            </w:r>
            <w:r>
              <w:rPr>
                <w:rFonts w:ascii="楷体" w:hAnsi="楷体" w:eastAsia="楷体" w:cs="宋体"/>
              </w:rPr>
              <w:t xml:space="preserve">  </w:t>
            </w:r>
            <w:r>
              <w:rPr>
                <w:rFonts w:hint="eastAsia" w:ascii="楷体" w:hAnsi="楷体" w:eastAsia="楷体" w:cs="宋体"/>
              </w:rPr>
              <w:t>陪同人员：耿雪姣</w:t>
            </w:r>
          </w:p>
        </w:tc>
        <w:tc>
          <w:tcPr>
            <w:tcW w:w="698"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891" w:type="dxa"/>
            <w:vAlign w:val="center"/>
          </w:tcPr>
          <w:p>
            <w:pPr>
              <w:spacing w:before="120"/>
              <w:rPr>
                <w:szCs w:val="21"/>
              </w:rPr>
            </w:pPr>
            <w:r>
              <w:rPr>
                <w:rFonts w:hint="eastAsia"/>
                <w:szCs w:val="21"/>
              </w:rPr>
              <w:t xml:space="preserve">审核员：周文廷 </w:t>
            </w:r>
            <w:r>
              <w:rPr>
                <w:szCs w:val="21"/>
              </w:rPr>
              <w:t xml:space="preserve">  </w:t>
            </w:r>
            <w:r>
              <w:rPr>
                <w:rFonts w:hint="eastAsia"/>
                <w:szCs w:val="21"/>
              </w:rPr>
              <w:t xml:space="preserve">吉洁 </w:t>
            </w:r>
            <w:r>
              <w:rPr>
                <w:szCs w:val="21"/>
              </w:rPr>
              <w:t xml:space="preserve">  </w:t>
            </w:r>
            <w:r>
              <w:rPr>
                <w:rFonts w:hint="eastAsia"/>
                <w:szCs w:val="21"/>
              </w:rPr>
              <w:t>杨杰         审核时间：2020.12.31</w:t>
            </w:r>
          </w:p>
        </w:tc>
        <w:tc>
          <w:tcPr>
            <w:tcW w:w="698"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891" w:type="dxa"/>
            <w:vAlign w:val="center"/>
          </w:tcPr>
          <w:p>
            <w:pPr>
              <w:rPr>
                <w:szCs w:val="21"/>
              </w:rPr>
            </w:pPr>
            <w:r>
              <w:rPr>
                <w:rFonts w:hint="eastAsia"/>
                <w:szCs w:val="21"/>
              </w:rPr>
              <w:t>审核条款：EO6.1.2</w:t>
            </w:r>
          </w:p>
        </w:tc>
        <w:tc>
          <w:tcPr>
            <w:tcW w:w="698"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2160" w:type="dxa"/>
          </w:tcPr>
          <w:p>
            <w:pPr>
              <w:rPr>
                <w:szCs w:val="21"/>
              </w:rPr>
            </w:pPr>
            <w:r>
              <w:rPr>
                <w:rFonts w:hint="eastAsia"/>
                <w:szCs w:val="21"/>
              </w:rPr>
              <w:t>环境因素、危险源识别评价的充分性、适宜性</w:t>
            </w:r>
          </w:p>
        </w:tc>
        <w:tc>
          <w:tcPr>
            <w:tcW w:w="960" w:type="dxa"/>
          </w:tcPr>
          <w:p>
            <w:pPr>
              <w:rPr>
                <w:szCs w:val="21"/>
              </w:rPr>
            </w:pPr>
            <w:r>
              <w:rPr>
                <w:rFonts w:hint="eastAsia"/>
                <w:szCs w:val="21"/>
              </w:rPr>
              <w:t>EO6.1.2</w:t>
            </w:r>
          </w:p>
          <w:p>
            <w:pPr>
              <w:rPr>
                <w:szCs w:val="21"/>
              </w:rPr>
            </w:pPr>
          </w:p>
        </w:tc>
        <w:tc>
          <w:tcPr>
            <w:tcW w:w="10891" w:type="dxa"/>
          </w:tcPr>
          <w:p>
            <w:pPr>
              <w:rPr>
                <w:szCs w:val="21"/>
              </w:rPr>
            </w:pPr>
            <w:r>
              <w:rPr>
                <w:rFonts w:hint="eastAsia"/>
                <w:szCs w:val="21"/>
              </w:rPr>
              <w:t>提供《环境因素评价表》，涉及办公区、商务部、工程部、施工现场等，包括固废废弃、意外火灾的发生、电能的消耗、原材料损耗、包装箱的废弃、汽车尾气的排放、装卸时噪声排放、</w:t>
            </w:r>
            <w:r>
              <w:rPr>
                <w:rFonts w:hint="eastAsia" w:ascii="宋体" w:hAnsi="宋体"/>
              </w:rPr>
              <w:t>临时设施搭建土方挖填扬尘排放</w:t>
            </w:r>
            <w:r>
              <w:rPr>
                <w:rFonts w:hint="eastAsia"/>
                <w:szCs w:val="21"/>
              </w:rPr>
              <w:t>等。</w:t>
            </w:r>
          </w:p>
          <w:p>
            <w:pPr>
              <w:rPr>
                <w:szCs w:val="21"/>
              </w:rPr>
            </w:pPr>
            <w:r>
              <w:rPr>
                <w:rFonts w:hint="eastAsia"/>
                <w:szCs w:val="21"/>
              </w:rPr>
              <w:t>可以提供《重大环境因素清单》，其中重要环境因素：火灾发生、固体废弃物排放、噪声排放、废气排放。评价准确。</w:t>
            </w:r>
          </w:p>
          <w:p>
            <w:pPr>
              <w:rPr>
                <w:szCs w:val="21"/>
              </w:rPr>
            </w:pPr>
            <w:r>
              <w:rPr>
                <w:rFonts w:hint="eastAsia"/>
                <w:szCs w:val="21"/>
              </w:rPr>
              <w:t>提供《危险源识别清单》，按照活动、区域进行了识别，其中涉及办公</w:t>
            </w:r>
            <w:r>
              <w:rPr>
                <w:rFonts w:hint="eastAsia"/>
                <w:szCs w:val="21"/>
                <w:lang w:val="en-US" w:eastAsia="zh-CN"/>
              </w:rPr>
              <w:t>区域</w:t>
            </w:r>
            <w:r>
              <w:rPr>
                <w:rFonts w:hint="eastAsia"/>
                <w:szCs w:val="21"/>
              </w:rPr>
              <w:t>、施工现场等。包括：电脑、打印机、复印机产生的辐射；电源电器老化损坏、违章用电、地面油污水滑跌倒、障碍物挡路、物资装卸、搬运、货物倾倒、吸烟引起的火灾、灭火器失效、废气伤害、操作不当机械伤害等，评价基本全面</w:t>
            </w:r>
          </w:p>
          <w:p>
            <w:pPr>
              <w:rPr>
                <w:szCs w:val="21"/>
              </w:rPr>
            </w:pPr>
            <w:r>
              <w:rPr>
                <w:rFonts w:hint="eastAsia"/>
                <w:szCs w:val="21"/>
              </w:rPr>
              <w:t>提供《重大危险源清单》，评价</w:t>
            </w:r>
            <w:r>
              <w:rPr>
                <w:rFonts w:hint="eastAsia" w:ascii="宋体"/>
                <w:color w:val="auto"/>
                <w:sz w:val="20"/>
                <w:szCs w:val="20"/>
                <w:lang w:val="en-US" w:eastAsia="zh-CN"/>
              </w:rPr>
              <w:t>火灾事故的发生、触电、噪声伤害、意外伤害、物体打击、高空坠落机械/车辆伤害</w:t>
            </w:r>
            <w:r>
              <w:rPr>
                <w:rFonts w:hint="eastAsia" w:ascii="宋体" w:hAnsi="宋体"/>
                <w:szCs w:val="21"/>
              </w:rPr>
              <w:t>为不可接受风险，</w:t>
            </w:r>
            <w:r>
              <w:rPr>
                <w:rFonts w:hint="eastAsia"/>
                <w:szCs w:val="21"/>
              </w:rPr>
              <w:t>评价准确。</w:t>
            </w:r>
          </w:p>
        </w:tc>
        <w:tc>
          <w:tcPr>
            <w:tcW w:w="698" w:type="dxa"/>
          </w:tcPr>
          <w:p>
            <w:pPr>
              <w:rPr>
                <w:szCs w:val="21"/>
              </w:rPr>
            </w:pPr>
          </w:p>
        </w:tc>
      </w:tr>
    </w:tbl>
    <w:p>
      <w:pPr>
        <w:pStyle w:val="4"/>
      </w:pPr>
      <w:r>
        <w:rPr>
          <w:rFonts w:hint="eastAsia"/>
        </w:rPr>
        <w:t>说明：不符合标注N</w:t>
      </w:r>
    </w:p>
    <w:p>
      <w:pPr>
        <w:pStyle w:val="4"/>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20" w:firstLineChars="400"/>
      <w:jc w:val="left"/>
    </w:pPr>
    <w:r>
      <w:pict>
        <v:shape id="_x0000_s3073" o:spid="_x0000_s3073"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61772"/>
    <w:rsid w:val="001B7A34"/>
    <w:rsid w:val="001D0548"/>
    <w:rsid w:val="002145D5"/>
    <w:rsid w:val="003F2AE7"/>
    <w:rsid w:val="005444D3"/>
    <w:rsid w:val="007C2CE8"/>
    <w:rsid w:val="00826703"/>
    <w:rsid w:val="00844D76"/>
    <w:rsid w:val="00866F16"/>
    <w:rsid w:val="00924A98"/>
    <w:rsid w:val="00956C8D"/>
    <w:rsid w:val="00AF17A4"/>
    <w:rsid w:val="00C026CC"/>
    <w:rsid w:val="00D61772"/>
    <w:rsid w:val="00FB3EAA"/>
    <w:rsid w:val="170B4AA9"/>
    <w:rsid w:val="1C265C4B"/>
    <w:rsid w:val="24C3799F"/>
    <w:rsid w:val="2D2D215C"/>
    <w:rsid w:val="36502855"/>
    <w:rsid w:val="40571425"/>
    <w:rsid w:val="46D76E0C"/>
    <w:rsid w:val="480E3F32"/>
    <w:rsid w:val="5AD5026D"/>
    <w:rsid w:val="5E876661"/>
    <w:rsid w:val="6A9318E9"/>
    <w:rsid w:val="6C0F365F"/>
    <w:rsid w:val="70672818"/>
    <w:rsid w:val="786C20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360" w:lineRule="auto"/>
      <w:jc w:val="center"/>
      <w:outlineLvl w:val="0"/>
    </w:pPr>
    <w:rPr>
      <w:rFonts w:ascii="Calibri" w:hAnsi="Calibri"/>
      <w:b/>
      <w:kern w:val="44"/>
      <w:sz w:val="44"/>
      <w:szCs w:val="2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rPr>
      <w:rFonts w:ascii="仿宋_GB2312" w:hAnsi="仿宋_GB2312" w:eastAsia="仿宋_GB2312" w:cs="仿宋_GB2312"/>
      <w:sz w:val="24"/>
      <w:szCs w:val="24"/>
    </w:rPr>
  </w:style>
  <w:style w:type="character" w:customStyle="1" w:styleId="9">
    <w:name w:val="页眉 字符"/>
    <w:basedOn w:val="8"/>
    <w:link w:val="5"/>
    <w:qFormat/>
    <w:uiPriority w:val="99"/>
    <w:rPr>
      <w:rFonts w:ascii="Times New Roman" w:hAnsi="Times New Roman" w:eastAsia="宋体" w:cs="Times New Roman"/>
      <w:sz w:val="18"/>
      <w:szCs w:val="18"/>
    </w:rPr>
  </w:style>
  <w:style w:type="character" w:customStyle="1" w:styleId="10">
    <w:name w:val="页脚 字符"/>
    <w:basedOn w:val="8"/>
    <w:link w:val="4"/>
    <w:qFormat/>
    <w:uiPriority w:val="99"/>
    <w:rPr>
      <w:rFonts w:ascii="Times New Roman" w:hAnsi="Times New Roman" w:eastAsia="宋体" w:cs="Times New Roman"/>
      <w:sz w:val="18"/>
      <w:szCs w:val="18"/>
    </w:rPr>
  </w:style>
  <w:style w:type="character" w:customStyle="1" w:styleId="11">
    <w:name w:val="批注框文本 字符"/>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318</Words>
  <Characters>1819</Characters>
  <Lines>15</Lines>
  <Paragraphs>4</Paragraphs>
  <TotalTime>7</TotalTime>
  <ScaleCrop>false</ScaleCrop>
  <LinksUpToDate>false</LinksUpToDate>
  <CharactersWithSpaces>2133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2021-01-15T08:13:44Z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