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宝鸡市东兴锻造有限公司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numPr>
                <w:ilvl w:val="0"/>
                <w:numId w:val="1"/>
              </w:numPr>
              <w:jc w:val="center"/>
              <w:rPr>
                <w:b/>
                <w:sz w:val="21"/>
                <w:szCs w:val="21"/>
              </w:rPr>
            </w:pPr>
            <w:r>
              <w:rPr>
                <w:b/>
                <w:sz w:val="21"/>
                <w:szCs w:val="21"/>
              </w:rPr>
              <w:t>N1EMS-</w:t>
            </w:r>
          </w:p>
          <w:p>
            <w:pPr>
              <w:numPr>
                <w:ilvl w:val="0"/>
                <w:numId w:val="1"/>
              </w:numPr>
              <w:jc w:val="center"/>
              <w:rPr>
                <w:b/>
                <w:sz w:val="21"/>
                <w:szCs w:val="21"/>
              </w:rPr>
            </w:pPr>
            <w:r>
              <w:rPr>
                <w:b/>
                <w:sz w:val="21"/>
                <w:szCs w:val="21"/>
              </w:rPr>
              <w:t>1222792</w:t>
            </w:r>
          </w:p>
        </w:tc>
        <w:tc>
          <w:tcPr>
            <w:tcW w:w="1728" w:type="dxa"/>
            <w:gridSpan w:val="2"/>
            <w:vAlign w:val="center"/>
          </w:tcPr>
          <w:p>
            <w:pPr>
              <w:jc w:val="center"/>
              <w:rPr>
                <w:b/>
                <w:sz w:val="21"/>
                <w:szCs w:val="21"/>
              </w:rPr>
            </w:pPr>
            <w:r>
              <w:rPr>
                <w:b/>
                <w:sz w:val="21"/>
                <w:szCs w:val="21"/>
              </w:rPr>
              <w:t>17.10.02,</w:t>
            </w:r>
          </w:p>
          <w:p>
            <w:pPr>
              <w:jc w:val="center"/>
              <w:rPr>
                <w:b/>
                <w:sz w:val="21"/>
                <w:szCs w:val="21"/>
              </w:rPr>
            </w:pPr>
            <w:r>
              <w:rPr>
                <w:b/>
                <w:sz w:val="21"/>
                <w:szCs w:val="21"/>
              </w:rPr>
              <w:t>18.01.05</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rPr>
        <w:t>EMS</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047"/>
        <w:gridCol w:w="1300"/>
        <w:gridCol w:w="1510"/>
        <w:gridCol w:w="141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40" w:lineRule="auto"/>
              <w:jc w:val="center"/>
              <w:rPr>
                <w:rFonts w:ascii="宋体"/>
                <w:b/>
                <w:sz w:val="16"/>
                <w:szCs w:val="16"/>
              </w:rPr>
            </w:pPr>
            <w:r>
              <w:rPr>
                <w:rFonts w:hint="eastAsia" w:ascii="宋体" w:hAnsi="宋体"/>
                <w:b/>
                <w:sz w:val="21"/>
              </w:rPr>
              <w:t>受审核方名称</w:t>
            </w:r>
          </w:p>
        </w:tc>
        <w:tc>
          <w:tcPr>
            <w:tcW w:w="4857" w:type="dxa"/>
            <w:gridSpan w:val="3"/>
            <w:vAlign w:val="center"/>
          </w:tcPr>
          <w:p>
            <w:pPr>
              <w:spacing w:line="240" w:lineRule="auto"/>
              <w:jc w:val="center"/>
              <w:rPr>
                <w:rFonts w:ascii="宋体"/>
                <w:b/>
                <w:color w:val="FF0000"/>
                <w:sz w:val="21"/>
              </w:rPr>
            </w:pPr>
            <w:bookmarkStart w:id="11" w:name="组织名称Add"/>
            <w:r>
              <w:rPr>
                <w:rFonts w:ascii="宋体"/>
                <w:b/>
                <w:color w:val="000000" w:themeColor="text1"/>
                <w:sz w:val="21"/>
              </w:rPr>
              <w:t>宝鸡市东兴锻造有限公司</w:t>
            </w:r>
            <w:bookmarkEnd w:id="11"/>
          </w:p>
        </w:tc>
        <w:tc>
          <w:tcPr>
            <w:tcW w:w="1410" w:type="dxa"/>
            <w:vAlign w:val="center"/>
          </w:tcPr>
          <w:p>
            <w:pPr>
              <w:spacing w:line="240" w:lineRule="auto"/>
              <w:jc w:val="center"/>
              <w:rPr>
                <w:rFonts w:ascii="宋体"/>
                <w:b/>
                <w:sz w:val="21"/>
              </w:rPr>
            </w:pPr>
            <w:r>
              <w:rPr>
                <w:rFonts w:hint="eastAsia" w:ascii="宋体" w:hAnsi="宋体"/>
                <w:b/>
                <w:sz w:val="21"/>
              </w:rPr>
              <w:t>组织人数及</w:t>
            </w:r>
          </w:p>
          <w:p>
            <w:pPr>
              <w:spacing w:line="240" w:lineRule="auto"/>
              <w:jc w:val="center"/>
              <w:rPr>
                <w:b/>
                <w:spacing w:val="-20"/>
              </w:rPr>
            </w:pPr>
            <w:r>
              <w:rPr>
                <w:rFonts w:hint="eastAsia" w:ascii="宋体" w:hAnsi="宋体"/>
                <w:b/>
                <w:sz w:val="21"/>
              </w:rPr>
              <w:t>变动情况核实</w:t>
            </w:r>
          </w:p>
        </w:tc>
        <w:tc>
          <w:tcPr>
            <w:tcW w:w="1321" w:type="dxa"/>
            <w:vAlign w:val="center"/>
          </w:tcPr>
          <w:p>
            <w:pPr>
              <w:spacing w:line="240" w:lineRule="auto"/>
              <w:jc w:val="center"/>
              <w:rPr>
                <w:rFonts w:hint="default" w:ascii="宋体" w:eastAsia="宋体"/>
                <w:b/>
                <w:sz w:val="21"/>
                <w:lang w:val="en-US" w:eastAsia="zh-CN"/>
              </w:rPr>
            </w:pPr>
            <w:r>
              <w:rPr>
                <w:rFonts w:hint="eastAsia" w:ascii="宋体"/>
                <w:b/>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857" w:type="dxa"/>
            <w:gridSpan w:val="3"/>
          </w:tcPr>
          <w:p>
            <w:pPr>
              <w:rPr>
                <w:rFonts w:ascii="宋体"/>
                <w:b/>
                <w:sz w:val="21"/>
              </w:rPr>
            </w:pPr>
            <w:bookmarkStart w:id="12" w:name="注册地址"/>
            <w:r>
              <w:rPr>
                <w:rFonts w:ascii="宋体"/>
                <w:b/>
                <w:sz w:val="21"/>
              </w:rPr>
              <w:t>陕西省宝鸡市高新开发区钓渭镇东崖村</w:t>
            </w:r>
            <w:bookmarkEnd w:id="12"/>
          </w:p>
        </w:tc>
        <w:tc>
          <w:tcPr>
            <w:tcW w:w="1410" w:type="dxa"/>
            <w:vMerge w:val="restart"/>
            <w:vAlign w:val="center"/>
          </w:tcPr>
          <w:p>
            <w:pPr>
              <w:jc w:val="center"/>
              <w:rPr>
                <w:rFonts w:ascii="宋体"/>
                <w:b/>
                <w:sz w:val="21"/>
              </w:rPr>
            </w:pPr>
            <w:r>
              <w:rPr>
                <w:rFonts w:hint="eastAsia" w:ascii="宋体" w:hAnsi="宋体"/>
                <w:b/>
                <w:sz w:val="21"/>
              </w:rPr>
              <w:t>邮编</w:t>
            </w:r>
          </w:p>
        </w:tc>
        <w:tc>
          <w:tcPr>
            <w:tcW w:w="1321" w:type="dxa"/>
          </w:tcPr>
          <w:p>
            <w:pPr>
              <w:rPr>
                <w:rFonts w:ascii="宋体"/>
                <w:b/>
                <w:sz w:val="21"/>
              </w:rPr>
            </w:pPr>
            <w:bookmarkStart w:id="13" w:name="注册邮编"/>
            <w:r>
              <w:rPr>
                <w:rFonts w:ascii="宋体"/>
                <w:b/>
                <w:sz w:val="21"/>
              </w:rPr>
              <w:t>721304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857" w:type="dxa"/>
            <w:gridSpan w:val="3"/>
          </w:tcPr>
          <w:p>
            <w:pPr>
              <w:rPr>
                <w:rFonts w:ascii="宋体"/>
                <w:b/>
                <w:sz w:val="21"/>
              </w:rPr>
            </w:pPr>
            <w:bookmarkStart w:id="14" w:name="办公地址"/>
            <w:r>
              <w:rPr>
                <w:rFonts w:ascii="宋体"/>
                <w:b/>
                <w:sz w:val="21"/>
              </w:rPr>
              <w:t>陕西省宝鸡市高新开发区钓渭镇东崖村</w:t>
            </w:r>
            <w:bookmarkEnd w:id="14"/>
          </w:p>
        </w:tc>
        <w:tc>
          <w:tcPr>
            <w:tcW w:w="1410" w:type="dxa"/>
            <w:vMerge w:val="continue"/>
            <w:vAlign w:val="center"/>
          </w:tcPr>
          <w:p>
            <w:pPr>
              <w:jc w:val="center"/>
              <w:rPr>
                <w:rFonts w:ascii="宋体"/>
                <w:b/>
                <w:sz w:val="21"/>
              </w:rPr>
            </w:pPr>
          </w:p>
        </w:tc>
        <w:tc>
          <w:tcPr>
            <w:tcW w:w="1321" w:type="dxa"/>
          </w:tcPr>
          <w:p>
            <w:pPr>
              <w:rPr>
                <w:rFonts w:ascii="宋体"/>
                <w:b/>
                <w:sz w:val="21"/>
              </w:rPr>
            </w:pPr>
            <w:bookmarkStart w:id="15" w:name="办公邮编"/>
            <w:r>
              <w:rPr>
                <w:rFonts w:ascii="宋体"/>
                <w:b/>
                <w:sz w:val="21"/>
              </w:rPr>
              <w:t>721304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857" w:type="dxa"/>
            <w:gridSpan w:val="3"/>
          </w:tcPr>
          <w:p>
            <w:pPr>
              <w:rPr>
                <w:rFonts w:ascii="宋体"/>
                <w:b/>
                <w:sz w:val="21"/>
              </w:rPr>
            </w:pPr>
            <w:bookmarkStart w:id="16" w:name="生产地址Add"/>
            <w:r>
              <w:rPr>
                <w:rFonts w:ascii="宋体"/>
                <w:b/>
                <w:sz w:val="21"/>
              </w:rPr>
              <w:t>陕西省宝鸡市高新开发区钓渭镇东崖村</w:t>
            </w:r>
            <w:bookmarkEnd w:id="16"/>
          </w:p>
        </w:tc>
        <w:tc>
          <w:tcPr>
            <w:tcW w:w="1410" w:type="dxa"/>
            <w:vMerge w:val="continue"/>
            <w:vAlign w:val="center"/>
          </w:tcPr>
          <w:p>
            <w:pPr>
              <w:jc w:val="center"/>
              <w:rPr>
                <w:rFonts w:ascii="宋体"/>
                <w:b/>
                <w:sz w:val="21"/>
              </w:rPr>
            </w:pPr>
          </w:p>
        </w:tc>
        <w:tc>
          <w:tcPr>
            <w:tcW w:w="1321" w:type="dxa"/>
          </w:tcPr>
          <w:p>
            <w:pPr>
              <w:rPr>
                <w:rFonts w:ascii="宋体"/>
                <w:b/>
                <w:sz w:val="21"/>
              </w:rPr>
            </w:pPr>
            <w:bookmarkStart w:id="17" w:name="生产邮编"/>
            <w:r>
              <w:rPr>
                <w:rFonts w:ascii="宋体"/>
                <w:b/>
                <w:sz w:val="21"/>
              </w:rPr>
              <w:t>721304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047" w:type="dxa"/>
            <w:vAlign w:val="center"/>
          </w:tcPr>
          <w:p>
            <w:pPr>
              <w:jc w:val="center"/>
              <w:rPr>
                <w:rFonts w:ascii="宋体"/>
                <w:b/>
                <w:sz w:val="21"/>
              </w:rPr>
            </w:pPr>
            <w:bookmarkStart w:id="18" w:name="联系人"/>
            <w:r>
              <w:rPr>
                <w:rFonts w:ascii="宋体"/>
                <w:b/>
                <w:sz w:val="21"/>
              </w:rPr>
              <w:t>赵晓伟</w:t>
            </w:r>
            <w:bookmarkEnd w:id="18"/>
          </w:p>
        </w:tc>
        <w:tc>
          <w:tcPr>
            <w:tcW w:w="1300" w:type="dxa"/>
            <w:vAlign w:val="center"/>
          </w:tcPr>
          <w:p>
            <w:pPr>
              <w:jc w:val="center"/>
              <w:rPr>
                <w:rFonts w:ascii="宋体"/>
                <w:b/>
                <w:sz w:val="21"/>
              </w:rPr>
            </w:pPr>
            <w:r>
              <w:rPr>
                <w:rFonts w:hint="eastAsia" w:ascii="宋体" w:hAnsi="宋体"/>
                <w:b/>
                <w:sz w:val="21"/>
              </w:rPr>
              <w:t>电话</w:t>
            </w:r>
            <w:r>
              <w:rPr>
                <w:b/>
                <w:sz w:val="16"/>
                <w:szCs w:val="16"/>
              </w:rPr>
              <w:t>.</w:t>
            </w:r>
          </w:p>
        </w:tc>
        <w:tc>
          <w:tcPr>
            <w:tcW w:w="1510" w:type="dxa"/>
            <w:vAlign w:val="center"/>
          </w:tcPr>
          <w:p>
            <w:pPr>
              <w:jc w:val="center"/>
              <w:rPr>
                <w:rFonts w:ascii="宋体"/>
                <w:b/>
                <w:sz w:val="21"/>
              </w:rPr>
            </w:pPr>
            <w:bookmarkStart w:id="19" w:name="联系人电话Add"/>
            <w:r>
              <w:rPr>
                <w:rFonts w:ascii="宋体"/>
                <w:b/>
                <w:sz w:val="21"/>
              </w:rPr>
              <w:t>13319171360</w:t>
            </w:r>
            <w:bookmarkEnd w:id="19"/>
          </w:p>
        </w:tc>
        <w:tc>
          <w:tcPr>
            <w:tcW w:w="1410" w:type="dxa"/>
            <w:vAlign w:val="center"/>
          </w:tcPr>
          <w:p>
            <w:pPr>
              <w:jc w:val="center"/>
              <w:rPr>
                <w:rFonts w:ascii="宋体"/>
                <w:b/>
                <w:sz w:val="21"/>
              </w:rPr>
            </w:pPr>
            <w:r>
              <w:rPr>
                <w:rFonts w:hint="eastAsia" w:ascii="宋体" w:hAnsi="宋体"/>
                <w:b/>
                <w:sz w:val="21"/>
              </w:rPr>
              <w:t>传真</w:t>
            </w:r>
          </w:p>
        </w:tc>
        <w:tc>
          <w:tcPr>
            <w:tcW w:w="1321" w:type="dxa"/>
            <w:vAlign w:val="center"/>
          </w:tcPr>
          <w:p>
            <w:pPr>
              <w:jc w:val="cente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047" w:type="dxa"/>
            <w:vAlign w:val="center"/>
          </w:tcPr>
          <w:p>
            <w:pPr>
              <w:jc w:val="center"/>
              <w:rPr>
                <w:rFonts w:ascii="宋体" w:hAnsi="宋体"/>
                <w:b/>
                <w:sz w:val="21"/>
                <w:szCs w:val="21"/>
              </w:rPr>
            </w:pPr>
            <w:bookmarkStart w:id="21" w:name="法人"/>
            <w:r>
              <w:rPr>
                <w:rFonts w:ascii="宋体" w:hAnsi="宋体"/>
                <w:b/>
                <w:sz w:val="21"/>
                <w:szCs w:val="21"/>
              </w:rPr>
              <w:t>赵晓伟</w:t>
            </w:r>
            <w:bookmarkEnd w:id="21"/>
          </w:p>
        </w:tc>
        <w:tc>
          <w:tcPr>
            <w:tcW w:w="1300" w:type="dxa"/>
            <w:vAlign w:val="center"/>
          </w:tcPr>
          <w:p>
            <w:pPr>
              <w:jc w:val="center"/>
              <w:rPr>
                <w:rFonts w:ascii="宋体" w:hAnsi="宋体"/>
                <w:b/>
                <w:sz w:val="21"/>
                <w:szCs w:val="21"/>
              </w:rPr>
            </w:pPr>
            <w:r>
              <w:rPr>
                <w:rFonts w:hint="eastAsia" w:ascii="宋体" w:hAnsi="宋体"/>
                <w:b/>
                <w:sz w:val="21"/>
                <w:szCs w:val="21"/>
              </w:rPr>
              <w:t>总经理</w:t>
            </w:r>
          </w:p>
        </w:tc>
        <w:tc>
          <w:tcPr>
            <w:tcW w:w="1510" w:type="dxa"/>
            <w:vAlign w:val="center"/>
          </w:tcPr>
          <w:p>
            <w:pPr>
              <w:jc w:val="center"/>
              <w:rPr>
                <w:rFonts w:ascii="宋体" w:hAnsi="宋体"/>
                <w:b/>
                <w:sz w:val="21"/>
                <w:szCs w:val="21"/>
              </w:rPr>
            </w:pPr>
          </w:p>
        </w:tc>
        <w:tc>
          <w:tcPr>
            <w:tcW w:w="1410" w:type="dxa"/>
            <w:vAlign w:val="center"/>
          </w:tcPr>
          <w:p>
            <w:pPr>
              <w:jc w:val="center"/>
              <w:rPr>
                <w:rFonts w:ascii="宋体" w:hAnsi="宋体"/>
                <w:b/>
                <w:sz w:val="21"/>
                <w:szCs w:val="21"/>
              </w:rPr>
            </w:pPr>
            <w:r>
              <w:rPr>
                <w:rFonts w:hint="eastAsia" w:ascii="宋体" w:hAnsi="宋体"/>
                <w:b/>
                <w:sz w:val="21"/>
                <w:szCs w:val="21"/>
              </w:rPr>
              <w:t>管理者代表</w:t>
            </w:r>
          </w:p>
        </w:tc>
        <w:tc>
          <w:tcPr>
            <w:tcW w:w="1321" w:type="dxa"/>
            <w:vAlign w:val="center"/>
          </w:tcPr>
          <w:p>
            <w:pPr>
              <w:jc w:val="center"/>
              <w:rPr>
                <w:rFonts w:ascii="宋体"/>
                <w:b/>
                <w:sz w:val="21"/>
              </w:rPr>
            </w:pPr>
            <w:bookmarkStart w:id="22" w:name="管理者代表"/>
            <w:r>
              <w:rPr>
                <w:rFonts w:ascii="宋体"/>
                <w:b/>
                <w:sz w:val="21"/>
              </w:rPr>
              <w:t>曹勇杰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47" w:type="dxa"/>
            <w:gridSpan w:val="2"/>
            <w:vAlign w:val="center"/>
          </w:tcPr>
          <w:p>
            <w:pPr>
              <w:rPr>
                <w:rFonts w:ascii="宋体" w:hAnsi="宋体"/>
                <w:b/>
                <w:sz w:val="21"/>
                <w:szCs w:val="21"/>
              </w:rPr>
            </w:pPr>
            <w:bookmarkStart w:id="23" w:name="审核日期"/>
            <w:r>
              <w:rPr>
                <w:rFonts w:ascii="宋体" w:hAnsi="宋体"/>
                <w:b/>
                <w:sz w:val="21"/>
                <w:szCs w:val="21"/>
              </w:rPr>
              <w:t>2020年12月12日 下午至2020年12月13日 下午</w:t>
            </w:r>
            <w:bookmarkEnd w:id="23"/>
          </w:p>
        </w:tc>
        <w:tc>
          <w:tcPr>
            <w:tcW w:w="1510" w:type="dxa"/>
            <w:vAlign w:val="center"/>
          </w:tcPr>
          <w:p>
            <w:pPr>
              <w:rPr>
                <w:rFonts w:ascii="宋体" w:hAnsi="宋体"/>
                <w:b/>
                <w:sz w:val="21"/>
                <w:szCs w:val="21"/>
              </w:rPr>
            </w:pPr>
            <w:r>
              <w:rPr>
                <w:rFonts w:hint="eastAsia" w:ascii="宋体" w:hAnsi="宋体"/>
                <w:b/>
                <w:sz w:val="21"/>
                <w:szCs w:val="21"/>
              </w:rPr>
              <w:t>一体化审核</w:t>
            </w:r>
          </w:p>
        </w:tc>
        <w:tc>
          <w:tcPr>
            <w:tcW w:w="273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：汽车齿轮锻造、机械加工</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47" w:type="dxa"/>
            <w:vAlign w:val="center"/>
          </w:tcPr>
          <w:p>
            <w:pPr>
              <w:spacing w:line="260" w:lineRule="exact"/>
              <w:jc w:val="center"/>
              <w:rPr>
                <w:rFonts w:ascii="宋体" w:hAnsi="宋体"/>
                <w:b/>
                <w:sz w:val="21"/>
                <w:szCs w:val="21"/>
              </w:rPr>
            </w:pPr>
            <w:bookmarkStart w:id="28" w:name="专业代码"/>
            <w:r>
              <w:rPr>
                <w:rFonts w:ascii="宋体" w:hAnsi="宋体"/>
                <w:b/>
                <w:sz w:val="21"/>
                <w:szCs w:val="21"/>
              </w:rPr>
              <w:t>17.10.02;18.01.05</w:t>
            </w:r>
            <w:bookmarkEnd w:id="28"/>
          </w:p>
        </w:tc>
        <w:tc>
          <w:tcPr>
            <w:tcW w:w="130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10" w:type="dxa"/>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202212.30</w:t>
            </w:r>
          </w:p>
        </w:tc>
        <w:tc>
          <w:tcPr>
            <w:tcW w:w="141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321" w:type="dxa"/>
            <w:vAlign w:val="center"/>
          </w:tcPr>
          <w:p>
            <w:pPr>
              <w:spacing w:line="260" w:lineRule="exact"/>
              <w:jc w:val="center"/>
              <w:rPr>
                <w:rFonts w:ascii="宋体"/>
                <w:b/>
                <w:sz w:val="21"/>
              </w:rPr>
            </w:pPr>
            <w:r>
              <w:rPr>
                <w:rFonts w:hint="eastAsia" w:ascii="宋体"/>
                <w:b/>
                <w:sz w:val="21"/>
              </w:rPr>
              <w:t>2019</w:t>
            </w:r>
            <w:r>
              <w:rPr>
                <w:rFonts w:hint="eastAsia" w:ascii="宋体"/>
                <w:b/>
                <w:sz w:val="21"/>
                <w:lang w:eastAsia="zh-CN"/>
              </w:rPr>
              <w:t>.</w:t>
            </w:r>
            <w:r>
              <w:rPr>
                <w:rFonts w:hint="eastAsia" w:ascii="宋体"/>
                <w:b/>
                <w:sz w:val="21"/>
              </w:rPr>
              <w:t>12</w:t>
            </w:r>
            <w:r>
              <w:rPr>
                <w:rFonts w:hint="eastAsia" w:ascii="宋体"/>
                <w:b/>
                <w:sz w:val="21"/>
                <w:lang w:eastAsia="zh-CN"/>
              </w:rPr>
              <w:t>.</w:t>
            </w:r>
            <w:r>
              <w:rPr>
                <w:rFonts w:hint="eastAsia" w:ascii="宋体"/>
                <w:b/>
                <w:sz w:val="21"/>
              </w:rPr>
              <w:t>15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2010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lang w:val="en-US" w:eastAsia="zh-CN"/>
              </w:rPr>
              <w:t>为</w:t>
            </w:r>
            <w:r>
              <w:rPr>
                <w:rFonts w:hint="eastAsia" w:ascii="宋体" w:hAnsi="宋体"/>
                <w:b w:val="0"/>
                <w:bCs/>
                <w:sz w:val="21"/>
                <w:szCs w:val="21"/>
              </w:rPr>
              <w:t>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rFonts w:hint="eastAsia" w:ascii="宋体" w:hAnsi="宋体"/>
                <w:b/>
                <w:sz w:val="21"/>
                <w:szCs w:val="21"/>
              </w:rPr>
            </w:pPr>
            <w:r>
              <w:rPr>
                <w:rFonts w:hint="eastAsia" w:ascii="宋体" w:hAnsi="宋体"/>
                <w:b w:val="0"/>
                <w:bCs/>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tabs>
                <w:tab w:val="left" w:pos="180"/>
                <w:tab w:val="left" w:pos="360"/>
                <w:tab w:val="left" w:pos="1080"/>
                <w:tab w:val="center" w:pos="4620"/>
              </w:tabs>
              <w:spacing w:line="276" w:lineRule="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相关方需求和期望识别情况</w:t>
            </w:r>
          </w:p>
          <w:p>
            <w:pPr>
              <w:numPr>
                <w:ilvl w:val="0"/>
                <w:numId w:val="0"/>
              </w:numPr>
              <w:tabs>
                <w:tab w:val="left" w:pos="180"/>
                <w:tab w:val="left" w:pos="360"/>
                <w:tab w:val="left" w:pos="1080"/>
                <w:tab w:val="center" w:pos="4620"/>
              </w:tabs>
              <w:spacing w:line="360" w:lineRule="auto"/>
              <w:ind w:firstLine="420" w:firstLineChars="200"/>
              <w:rPr>
                <w:rFonts w:ascii="宋体"/>
                <w:sz w:val="21"/>
                <w:szCs w:val="21"/>
              </w:rPr>
            </w:pPr>
            <w:r>
              <w:rPr>
                <w:rFonts w:hint="eastAsia" w:cs="宋体"/>
                <w:sz w:val="21"/>
                <w:szCs w:val="21"/>
              </w:rPr>
              <w:t>在公司运营过程中充分考虑相关方方面的期望或要求，</w:t>
            </w:r>
            <w:r>
              <w:rPr>
                <w:rFonts w:hint="eastAsia" w:ascii="宋体" w:hAnsi="宋体"/>
                <w:sz w:val="21"/>
                <w:szCs w:val="21"/>
              </w:rPr>
              <w:t>已识别公司的相关方涉及到顾客、最终用户、业主、股东、银行、外部供应商、员工、法律法规监管机构等。</w:t>
            </w:r>
          </w:p>
          <w:p>
            <w:pPr>
              <w:spacing w:line="360" w:lineRule="auto"/>
              <w:ind w:firstLine="420" w:firstLineChars="200"/>
              <w:jc w:val="left"/>
              <w:rPr>
                <w:rFonts w:ascii="宋体" w:cs="宋体"/>
                <w:sz w:val="21"/>
                <w:szCs w:val="21"/>
              </w:rPr>
            </w:pPr>
            <w:r>
              <w:rPr>
                <w:rFonts w:hint="eastAsia" w:ascii="宋体" w:hAnsi="宋体" w:cs="宋体"/>
                <w:sz w:val="21"/>
                <w:szCs w:val="21"/>
              </w:rPr>
              <w:t>采购、销售和相关职能部门通过日常例会、市场活动、现场拜访、产品展销会、客户调查等多种渠道和方式方法随时了解相关方的需求和期望。做为公司经营风险分析和发展机遇的可利用资源。与公司高管交流，内外部相关方需求分析到位。口头交流。</w:t>
            </w:r>
          </w:p>
          <w:p>
            <w:pPr>
              <w:spacing w:line="360" w:lineRule="auto"/>
              <w:ind w:firstLine="420" w:firstLineChars="200"/>
              <w:rPr>
                <w:rFonts w:ascii="宋体" w:hAnsi="宋体"/>
                <w:b/>
                <w:sz w:val="21"/>
                <w:szCs w:val="21"/>
              </w:rPr>
            </w:pPr>
            <w:r>
              <w:rPr>
                <w:rFonts w:hint="eastAsia" w:ascii="宋体" w:hAnsi="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公司的环境方针是：</w:t>
            </w:r>
          </w:p>
          <w:p>
            <w:pPr>
              <w:spacing w:line="360" w:lineRule="auto"/>
              <w:rPr>
                <w:rFonts w:hint="eastAsia" w:ascii="宋体" w:hAnsi="宋体"/>
                <w:b w:val="0"/>
                <w:bCs/>
                <w:sz w:val="21"/>
                <w:szCs w:val="21"/>
              </w:rPr>
            </w:pPr>
            <w:r>
              <w:rPr>
                <w:rFonts w:hint="eastAsia" w:ascii="宋体" w:hAnsi="宋体"/>
                <w:b w:val="0"/>
                <w:bCs/>
                <w:sz w:val="21"/>
                <w:szCs w:val="21"/>
              </w:rPr>
              <w:t>节约资源 保护环境 遵纪守法 持续改进</w:t>
            </w:r>
          </w:p>
          <w:p>
            <w:pPr>
              <w:spacing w:line="360" w:lineRule="auto"/>
              <w:rPr>
                <w:rFonts w:ascii="宋体" w:hAnsi="宋体"/>
                <w:b/>
                <w:sz w:val="21"/>
                <w:szCs w:val="21"/>
              </w:rPr>
            </w:pPr>
            <w:r>
              <w:rPr>
                <w:rFonts w:hint="eastAsia" w:ascii="宋体" w:hAnsi="宋体"/>
                <w:b w:val="0"/>
                <w:bCs/>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识别了办公、生产、采购、销售、质检等过程的环境因素，动态更新，评价出的重要环境因素包括：固体废弃物排放、火灾事故的发生、电能消耗、资源消耗。</w:t>
            </w:r>
          </w:p>
          <w:p>
            <w:pPr>
              <w:spacing w:line="360" w:lineRule="auto"/>
              <w:rPr>
                <w:rFonts w:hint="eastAsia" w:ascii="宋体" w:hAnsi="宋体"/>
                <w:b w:val="0"/>
                <w:bCs/>
                <w:sz w:val="21"/>
                <w:szCs w:val="21"/>
              </w:rPr>
            </w:pPr>
            <w:r>
              <w:rPr>
                <w:rFonts w:hint="eastAsia" w:ascii="宋体" w:hAnsi="宋体"/>
                <w:b w:val="0"/>
                <w:bCs/>
                <w:sz w:val="21"/>
                <w:szCs w:val="21"/>
              </w:rPr>
              <w:t>在采购、销售、生产、质检、仓储、运输、交付、日常办公等过程能使用生命周期观点和方法识别环境因素并加以管理。</w:t>
            </w:r>
          </w:p>
          <w:p>
            <w:pPr>
              <w:spacing w:line="360" w:lineRule="auto"/>
              <w:ind w:firstLine="420" w:firstLineChars="200"/>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0"/>
              </w:tabs>
              <w:spacing w:line="360" w:lineRule="auto"/>
              <w:rPr>
                <w:rFonts w:hint="eastAsia" w:ascii="宋体" w:hAnsi="宋体"/>
                <w:b/>
                <w:sz w:val="21"/>
                <w:szCs w:val="21"/>
              </w:rPr>
            </w:pPr>
            <w:r>
              <w:rPr>
                <w:rFonts w:hint="eastAsia" w:ascii="宋体" w:hAnsi="宋体"/>
                <w:b/>
                <w:sz w:val="21"/>
                <w:szCs w:val="21"/>
              </w:rPr>
              <w:t>（1）获取法律法规项，▇法律法规获取充分，</w:t>
            </w:r>
            <w:r>
              <w:rPr>
                <w:rFonts w:hint="eastAsia" w:ascii="宋体" w:hAnsi="宋体"/>
                <w:b/>
                <w:sz w:val="21"/>
                <w:szCs w:val="21"/>
                <w:lang w:eastAsia="zh-CN"/>
              </w:rPr>
              <w:t>□</w:t>
            </w:r>
            <w:r>
              <w:rPr>
                <w:rFonts w:hint="eastAsia" w:ascii="宋体" w:hAnsi="宋体"/>
                <w:b/>
                <w:sz w:val="21"/>
                <w:szCs w:val="21"/>
              </w:rPr>
              <w:t>法律法规获取有遗漏，缺少</w:t>
            </w:r>
          </w:p>
          <w:p>
            <w:pPr>
              <w:tabs>
                <w:tab w:val="left" w:pos="0"/>
              </w:tabs>
              <w:spacing w:line="360" w:lineRule="auto"/>
              <w:rPr>
                <w:rFonts w:hint="eastAsia" w:ascii="宋体" w:hAnsi="宋体"/>
                <w:b/>
                <w:sz w:val="21"/>
                <w:szCs w:val="21"/>
              </w:rPr>
            </w:pPr>
            <w:r>
              <w:rPr>
                <w:rFonts w:hint="eastAsia" w:ascii="宋体" w:hAnsi="宋体"/>
                <w:b/>
                <w:sz w:val="21"/>
                <w:szCs w:val="21"/>
              </w:rPr>
              <w:t>（2）结合公司的▇产品/服务▇环境因素□危险源，▇确定 □未确定法律法规要求的具体条款，</w:t>
            </w:r>
          </w:p>
          <w:p>
            <w:pPr>
              <w:tabs>
                <w:tab w:val="left" w:pos="0"/>
              </w:tabs>
              <w:spacing w:line="360" w:lineRule="auto"/>
              <w:rPr>
                <w:rFonts w:hint="eastAsia" w:ascii="宋体" w:hAnsi="宋体"/>
                <w:b w:val="0"/>
                <w:bCs/>
                <w:sz w:val="21"/>
                <w:szCs w:val="21"/>
              </w:rPr>
            </w:pPr>
            <w:r>
              <w:rPr>
                <w:rFonts w:hint="eastAsia" w:ascii="宋体" w:hAnsi="宋体"/>
                <w:b/>
                <w:sz w:val="21"/>
                <w:szCs w:val="21"/>
              </w:rPr>
              <w:t>法律法规的宣传方式：</w:t>
            </w:r>
            <w:r>
              <w:rPr>
                <w:rFonts w:hint="eastAsia" w:ascii="宋体" w:hAnsi="宋体"/>
                <w:b w:val="0"/>
                <w:bCs/>
                <w:sz w:val="21"/>
                <w:szCs w:val="21"/>
              </w:rPr>
              <w:t>通过培训、开会、发文件等形式将法律法规要求传达给了员工和相关方。</w:t>
            </w:r>
          </w:p>
          <w:p>
            <w:pPr>
              <w:tabs>
                <w:tab w:val="left" w:pos="0"/>
              </w:tabs>
              <w:spacing w:line="360" w:lineRule="auto"/>
              <w:rPr>
                <w:rFonts w:ascii="宋体" w:hAnsi="宋体"/>
                <w:b/>
                <w:sz w:val="21"/>
                <w:szCs w:val="21"/>
              </w:rPr>
            </w:pPr>
            <w:r>
              <w:rPr>
                <w:rFonts w:hint="eastAsia" w:ascii="宋体" w:hAnsi="宋体"/>
                <w:b/>
                <w:sz w:val="21"/>
                <w:szCs w:val="21"/>
              </w:rPr>
              <w:t>（3）法律法规要求及时更新了：</w:t>
            </w:r>
            <w:r>
              <w:rPr>
                <w:rFonts w:hint="eastAsia" w:ascii="宋体" w:hAnsi="宋体"/>
                <w:b w:val="0"/>
                <w:bCs/>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eastAsia="宋体" w:cs="宋体"/>
                <w:sz w:val="21"/>
                <w:szCs w:val="21"/>
                <w:lang w:eastAsia="zh-CN"/>
              </w:rPr>
            </w:pPr>
            <w:r>
              <w:rPr>
                <w:rFonts w:hint="eastAsia" w:ascii="宋体" w:hAnsi="宋体" w:cs="宋体"/>
                <w:sz w:val="21"/>
                <w:szCs w:val="21"/>
                <w:lang w:val="en-US" w:eastAsia="zh-CN"/>
              </w:rPr>
              <w:t>公司环境</w:t>
            </w:r>
            <w:r>
              <w:rPr>
                <w:rFonts w:hint="eastAsia" w:ascii="宋体" w:hAnsi="宋体" w:cs="宋体"/>
                <w:sz w:val="21"/>
                <w:szCs w:val="21"/>
              </w:rPr>
              <w:t>管理目标</w:t>
            </w:r>
            <w:r>
              <w:rPr>
                <w:rFonts w:hint="eastAsia" w:ascii="宋体" w:hAnsi="宋体" w:cs="宋体"/>
                <w:sz w:val="21"/>
                <w:szCs w:val="21"/>
                <w:lang w:eastAsia="zh-CN"/>
              </w:rPr>
              <w:t>：</w:t>
            </w:r>
          </w:p>
          <w:p>
            <w:pPr>
              <w:spacing w:line="360" w:lineRule="auto"/>
              <w:ind w:firstLine="500" w:firstLineChars="200"/>
              <w:rPr>
                <w:rFonts w:ascii="宋体"/>
                <w:sz w:val="21"/>
                <w:szCs w:val="21"/>
              </w:rPr>
            </w:pPr>
            <w:r>
              <w:rPr>
                <w:rFonts w:hint="eastAsia" w:ascii="宋体" w:hAnsi="宋体"/>
                <w:spacing w:val="20"/>
                <w:sz w:val="21"/>
                <w:szCs w:val="21"/>
                <w:lang w:val="en-US" w:eastAsia="zh-CN"/>
              </w:rPr>
              <w:t>重大环境污染事故为零</w:t>
            </w:r>
            <w:r>
              <w:rPr>
                <w:rFonts w:hint="eastAsia" w:ascii="宋体" w:hAnsi="宋体"/>
                <w:spacing w:val="20"/>
                <w:sz w:val="21"/>
                <w:szCs w:val="21"/>
              </w:rPr>
              <w:t>；</w:t>
            </w:r>
          </w:p>
          <w:p>
            <w:pPr>
              <w:spacing w:line="360" w:lineRule="auto"/>
              <w:ind w:firstLine="420" w:firstLineChars="200"/>
              <w:rPr>
                <w:rFonts w:ascii="宋体" w:cs="HAAPML+o¨²¨¬?"/>
                <w:sz w:val="21"/>
                <w:szCs w:val="21"/>
              </w:rPr>
            </w:pPr>
            <w:r>
              <w:rPr>
                <w:rFonts w:hint="eastAsia" w:ascii="宋体" w:hAnsi="宋体" w:cs="HAAPML+o¨²¨¬?"/>
                <w:sz w:val="21"/>
                <w:szCs w:val="21"/>
                <w:lang w:val="en-US" w:eastAsia="zh-CN"/>
              </w:rPr>
              <w:t>火灾事故为零</w:t>
            </w:r>
            <w:r>
              <w:rPr>
                <w:rFonts w:hint="eastAsia" w:ascii="宋体" w:hAnsi="宋体" w:cs="HAAPML+o¨²¨¬?"/>
                <w:sz w:val="21"/>
                <w:szCs w:val="21"/>
              </w:rPr>
              <w:t>；</w:t>
            </w:r>
          </w:p>
          <w:p>
            <w:pPr>
              <w:spacing w:line="360" w:lineRule="auto"/>
              <w:ind w:firstLine="420" w:firstLineChars="200"/>
              <w:rPr>
                <w:rFonts w:ascii="宋体"/>
                <w:spacing w:val="20"/>
                <w:sz w:val="21"/>
                <w:szCs w:val="21"/>
              </w:rPr>
            </w:pPr>
            <w:r>
              <w:rPr>
                <w:rFonts w:hint="eastAsia" w:ascii="宋体" w:hAnsi="宋体"/>
                <w:sz w:val="21"/>
                <w:szCs w:val="21"/>
                <w:lang w:val="en-US" w:eastAsia="zh-CN"/>
              </w:rPr>
              <w:t>环境影响投诉次数为零</w:t>
            </w:r>
            <w:r>
              <w:rPr>
                <w:rFonts w:ascii="宋体"/>
                <w:sz w:val="21"/>
                <w:szCs w:val="21"/>
              </w:rPr>
              <w:t>0</w:t>
            </w:r>
            <w:r>
              <w:rPr>
                <w:rFonts w:hint="eastAsia" w:ascii="宋体" w:hAnsi="宋体"/>
                <w:sz w:val="21"/>
                <w:szCs w:val="21"/>
              </w:rPr>
              <w:t>；</w:t>
            </w:r>
          </w:p>
          <w:p>
            <w:pPr>
              <w:spacing w:line="360" w:lineRule="auto"/>
              <w:ind w:firstLine="420" w:firstLineChars="200"/>
              <w:rPr>
                <w:rFonts w:ascii="宋体"/>
                <w:spacing w:val="20"/>
                <w:sz w:val="21"/>
                <w:szCs w:val="21"/>
              </w:rPr>
            </w:pPr>
            <w:r>
              <w:rPr>
                <w:rFonts w:hint="eastAsia" w:ascii="宋体" w:hAnsi="宋体"/>
                <w:color w:val="000000"/>
                <w:sz w:val="21"/>
                <w:szCs w:val="21"/>
                <w:lang w:val="en-US" w:eastAsia="zh-CN"/>
              </w:rPr>
              <w:t>固体废弃物分类处理率为100%</w:t>
            </w:r>
            <w:r>
              <w:rPr>
                <w:rFonts w:hint="eastAsia" w:ascii="宋体" w:hAnsi="宋体"/>
                <w:spacing w:val="20"/>
                <w:sz w:val="21"/>
                <w:szCs w:val="21"/>
              </w:rPr>
              <w:t>；</w:t>
            </w:r>
          </w:p>
          <w:p>
            <w:pPr>
              <w:spacing w:line="360" w:lineRule="auto"/>
              <w:ind w:firstLine="420"/>
              <w:rPr>
                <w:rFonts w:hint="eastAsia" w:ascii="宋体" w:hAnsi="宋体" w:eastAsia="宋体" w:cs="宋体"/>
                <w:sz w:val="21"/>
                <w:szCs w:val="21"/>
                <w:lang w:eastAsia="zh-CN"/>
              </w:rPr>
            </w:pPr>
            <w:r>
              <w:rPr>
                <w:rFonts w:hint="eastAsia" w:ascii="宋体" w:hAnsi="宋体" w:cs="宋体"/>
                <w:sz w:val="21"/>
                <w:szCs w:val="21"/>
              </w:rPr>
              <w:t>提供《目标指标和管理方案》《目标指标和管理方案考核表》</w:t>
            </w:r>
            <w:r>
              <w:rPr>
                <w:rFonts w:hint="eastAsia" w:ascii="宋体" w:hAnsi="宋体" w:cs="宋体"/>
                <w:sz w:val="21"/>
                <w:szCs w:val="21"/>
                <w:lang w:eastAsia="zh-CN"/>
              </w:rPr>
              <w:t>。</w:t>
            </w:r>
          </w:p>
          <w:p>
            <w:pPr>
              <w:spacing w:line="360" w:lineRule="auto"/>
              <w:rPr>
                <w:rFonts w:ascii="宋体" w:hAnsi="宋体"/>
                <w:b/>
                <w:sz w:val="21"/>
                <w:szCs w:val="21"/>
              </w:rPr>
            </w:pPr>
            <w:r>
              <w:rPr>
                <w:rFonts w:hint="eastAsia" w:ascii="宋体" w:hAnsi="宋体" w:cs="宋体"/>
                <w:sz w:val="21"/>
                <w:szCs w:val="21"/>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管理手册</w:t>
            </w:r>
            <w:r>
              <w:rPr>
                <w:rFonts w:hint="eastAsia" w:ascii="宋体" w:hAnsi="宋体" w:eastAsia="宋体" w:cs="宋体"/>
                <w:sz w:val="21"/>
                <w:szCs w:val="21"/>
                <w:lang w:val="en-US" w:eastAsia="zh-CN"/>
              </w:rPr>
              <w:t>ES/DXDZ</w:t>
            </w:r>
            <w:r>
              <w:rPr>
                <w:rFonts w:hint="eastAsia" w:ascii="宋体" w:hAnsi="宋体" w:eastAsia="宋体" w:cs="宋体"/>
                <w:sz w:val="21"/>
                <w:szCs w:val="21"/>
              </w:rPr>
              <w:t xml:space="preserve">-2019 A </w:t>
            </w:r>
            <w:r>
              <w:rPr>
                <w:rFonts w:hint="eastAsia" w:ascii="宋体" w:hAnsi="宋体" w:eastAsia="宋体" w:cs="宋体"/>
                <w:sz w:val="21"/>
                <w:szCs w:val="21"/>
                <w:lang w:val="en-US" w:eastAsia="zh-CN"/>
              </w:rPr>
              <w:t>/0</w:t>
            </w:r>
            <w:r>
              <w:rPr>
                <w:rFonts w:hint="eastAsia" w:ascii="宋体" w:hAnsi="宋体" w:eastAsia="宋体" w:cs="宋体"/>
                <w:bCs/>
                <w:sz w:val="21"/>
                <w:szCs w:val="21"/>
              </w:rPr>
              <w:t>版</w:t>
            </w:r>
            <w:r>
              <w:rPr>
                <w:rFonts w:hint="eastAsia" w:ascii="宋体" w:hAnsi="宋体" w:eastAsia="宋体" w:cs="宋体"/>
                <w:sz w:val="21"/>
                <w:szCs w:val="21"/>
              </w:rPr>
              <w:t>，发布实施时间：2019.</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p>
          <w:p>
            <w:pPr>
              <w:numPr>
                <w:ilvl w:val="0"/>
                <w:numId w:val="3"/>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程序文件，含</w:t>
            </w:r>
            <w:r>
              <w:rPr>
                <w:rFonts w:hint="eastAsia" w:ascii="宋体" w:hAnsi="宋体" w:eastAsia="宋体" w:cs="宋体"/>
                <w:sz w:val="21"/>
                <w:szCs w:val="21"/>
                <w:lang w:val="en-US" w:eastAsia="zh-CN"/>
              </w:rPr>
              <w:t>19</w:t>
            </w:r>
            <w:r>
              <w:rPr>
                <w:rFonts w:hint="eastAsia" w:ascii="宋体" w:hAnsi="宋体" w:eastAsia="宋体" w:cs="宋体"/>
                <w:sz w:val="21"/>
                <w:szCs w:val="21"/>
              </w:rPr>
              <w:t>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sz w:val="21"/>
                <w:szCs w:val="21"/>
              </w:rPr>
            </w:pPr>
            <w:r>
              <w:rPr>
                <w:rFonts w:hint="eastAsia" w:ascii="宋体" w:hAnsi="宋体" w:eastAsia="宋体" w:cs="宋体"/>
                <w:b w:val="0"/>
                <w:bCs w:val="0"/>
                <w:sz w:val="21"/>
                <w:szCs w:val="21"/>
              </w:rPr>
              <w:t>3.管理制度汇</w:t>
            </w:r>
            <w:r>
              <w:rPr>
                <w:rFonts w:hint="eastAsia" w:ascii="宋体" w:hAnsi="宋体" w:eastAsia="宋体" w:cs="宋体"/>
                <w:b w:val="0"/>
                <w:bCs w:val="0"/>
                <w:kern w:val="2"/>
                <w:sz w:val="21"/>
                <w:szCs w:val="21"/>
                <w:lang w:val="en-US" w:eastAsia="zh-CN" w:bidi="ar-SA"/>
              </w:rPr>
              <w:t>编:包括管理制度、合同管理制定、作业指导书等。</w:t>
            </w:r>
          </w:p>
          <w:p>
            <w:pPr>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p>
          <w:p>
            <w:pPr>
              <w:pStyle w:val="2"/>
              <w:tabs>
                <w:tab w:val="left" w:pos="3300"/>
                <w:tab w:val="left" w:pos="5160"/>
                <w:tab w:val="clear" w:pos="3510"/>
                <w:tab w:val="clear" w:pos="5580"/>
              </w:tabs>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体系运行一年文件未发生变化，管理手册、管理制度等文件均保管良好，为有效版本，有受控标识。</w:t>
            </w:r>
          </w:p>
          <w:p>
            <w:pPr>
              <w:pStyle w:val="2"/>
              <w:tabs>
                <w:tab w:val="left" w:pos="3300"/>
                <w:tab w:val="left" w:pos="5160"/>
                <w:tab w:val="clear" w:pos="3510"/>
                <w:tab w:val="clear" w:pos="5580"/>
              </w:tabs>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综合管理部负责收集有关产品的国家标准、行业标准的最新版本，分发到相关部门使用；收回旧标准。</w:t>
            </w:r>
          </w:p>
          <w:p>
            <w:pPr>
              <w:pStyle w:val="2"/>
              <w:tabs>
                <w:tab w:val="left" w:pos="3300"/>
                <w:tab w:val="left" w:pos="5160"/>
                <w:tab w:val="clear" w:pos="3510"/>
                <w:tab w:val="clear" w:pos="5580"/>
              </w:tabs>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以上外来文件保管良好，均为有效版本。</w:t>
            </w:r>
          </w:p>
          <w:p>
            <w:pPr>
              <w:pStyle w:val="2"/>
              <w:tabs>
                <w:tab w:val="left" w:pos="3300"/>
                <w:tab w:val="left" w:pos="5160"/>
                <w:tab w:val="clear" w:pos="3510"/>
                <w:tab w:val="clear" w:pos="5580"/>
              </w:tabs>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查见《记录清单》，内容包括：序号、记录名称、编号、保存期、使用部门等。</w:t>
            </w:r>
          </w:p>
          <w:p>
            <w:pPr>
              <w:pStyle w:val="2"/>
              <w:tabs>
                <w:tab w:val="left" w:pos="3300"/>
                <w:tab w:val="left" w:pos="5160"/>
                <w:tab w:val="clear" w:pos="3510"/>
                <w:tab w:val="clear" w:pos="5580"/>
              </w:tabs>
              <w:spacing w:line="360" w:lineRule="auto"/>
              <w:rPr>
                <w:rFonts w:ascii="宋体" w:hAnsi="宋体"/>
                <w:b/>
                <w:sz w:val="21"/>
                <w:szCs w:val="21"/>
              </w:rPr>
            </w:pPr>
            <w:r>
              <w:rPr>
                <w:rFonts w:hint="eastAsia" w:ascii="宋体" w:hAnsi="宋体" w:eastAsia="宋体" w:cs="宋体"/>
                <w:b w:val="0"/>
                <w:bCs w:val="0"/>
                <w:kern w:val="2"/>
                <w:sz w:val="21"/>
                <w:szCs w:val="21"/>
                <w:lang w:val="en-US" w:eastAsia="zh-CN" w:bidi="ar-SA"/>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生产、技术、检验、销售服务人员上岗前经过岗前培训，人员均经过专业培训。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锯床、中频炉、螺旋压力机、冲床、正火炉、抛丸机、粗车数控机床等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 xml:space="preserve">现场观察办公区、生产车间环境卫生管理，工作场所布局合理，温湿度适宜，照明良好，满足办公需求。 </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经与主管人员交谈，其对本部门在本条款管理中的职责、分工和接口关系清楚掌握，基本符合文件要求。</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公司定期举行旅游活动、体检，带薪休假等，已缓解员工的心理压力、过度疲劳等。</w:t>
            </w:r>
          </w:p>
          <w:p>
            <w:pPr>
              <w:spacing w:line="360" w:lineRule="auto"/>
              <w:rPr>
                <w:rFonts w:ascii="宋体" w:hAnsi="宋体"/>
                <w:b/>
                <w:sz w:val="21"/>
                <w:szCs w:val="21"/>
              </w:rPr>
            </w:pPr>
            <w:r>
              <w:rPr>
                <w:rFonts w:hint="eastAsia" w:ascii="宋体" w:hAnsi="宋体"/>
                <w:b w:val="0"/>
                <w:bCs/>
                <w:sz w:val="21"/>
                <w:szCs w:val="21"/>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hint="eastAsia" w:ascii="宋体" w:hAnsi="宋体"/>
                <w:b/>
                <w:sz w:val="21"/>
                <w:szCs w:val="21"/>
              </w:rPr>
            </w:pPr>
            <w:r>
              <w:rPr>
                <w:rFonts w:hint="eastAsia" w:ascii="宋体" w:hAnsi="宋体"/>
                <w:bCs/>
                <w:sz w:val="20"/>
                <w:szCs w:val="20"/>
                <w:lang w:val="en-US" w:eastAsia="zh-CN"/>
              </w:rPr>
              <w:t>三点内径千分</w:t>
            </w:r>
            <w:r>
              <w:rPr>
                <w:rFonts w:hint="eastAsia" w:ascii="宋体" w:hAnsi="宋体"/>
                <w:bCs/>
                <w:sz w:val="20"/>
                <w:szCs w:val="20"/>
              </w:rPr>
              <w:t>尺、</w:t>
            </w:r>
            <w:r>
              <w:rPr>
                <w:rFonts w:hint="eastAsia" w:ascii="宋体" w:hAnsi="宋体"/>
                <w:bCs/>
                <w:sz w:val="20"/>
                <w:szCs w:val="20"/>
                <w:lang w:val="en-US" w:eastAsia="zh-CN"/>
              </w:rPr>
              <w:t>内径百分表、带表卡尺、深度尺、游标卡尺、数显高度尺、硬度计等，均经</w:t>
            </w:r>
            <w:r>
              <w:rPr>
                <w:rFonts w:hint="eastAsia" w:ascii="宋体" w:hAnsi="宋体"/>
                <w:bCs/>
                <w:sz w:val="20"/>
                <w:szCs w:val="20"/>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firstLine="422" w:firstLineChars="200"/>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firstLine="420" w:firstLineChars="200"/>
              <w:rPr>
                <w:rFonts w:ascii="宋体" w:cs="宋体"/>
                <w:sz w:val="21"/>
                <w:szCs w:val="21"/>
              </w:rPr>
            </w:pPr>
            <w:r>
              <w:rPr>
                <w:rFonts w:hint="eastAsia" w:ascii="宋体" w:hAnsi="宋体" w:cs="宋体"/>
                <w:sz w:val="21"/>
                <w:szCs w:val="21"/>
              </w:rPr>
              <w:t>总经理负责在公司建立畅通的沟通渠道。管理者代表是公司内部和外部信息交流和沟通的负责人。</w:t>
            </w:r>
            <w:r>
              <w:rPr>
                <w:rFonts w:hint="eastAsia" w:ascii="宋体" w:hAnsi="宋体" w:cs="宋体"/>
                <w:sz w:val="21"/>
                <w:szCs w:val="21"/>
                <w:lang w:val="en-US" w:eastAsia="zh-CN"/>
              </w:rPr>
              <w:t>综合管理部</w:t>
            </w:r>
            <w:r>
              <w:rPr>
                <w:rFonts w:hint="eastAsia" w:ascii="宋体" w:hAnsi="宋体" w:cs="宋体"/>
                <w:sz w:val="21"/>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Pr>
                <w:rFonts w:hint="eastAsia" w:ascii="宋体" w:hAnsi="宋体" w:cs="宋体"/>
                <w:sz w:val="21"/>
                <w:szCs w:val="21"/>
                <w:lang w:val="en-US" w:eastAsia="zh-CN"/>
              </w:rPr>
              <w:t>环境</w:t>
            </w:r>
            <w:r>
              <w:rPr>
                <w:rFonts w:hint="eastAsia" w:ascii="宋体" w:hAnsi="宋体" w:cs="宋体"/>
                <w:sz w:val="21"/>
                <w:szCs w:val="21"/>
              </w:rPr>
              <w:t>方面的信息，包括法律法规等，及时向</w:t>
            </w:r>
            <w:r>
              <w:rPr>
                <w:rFonts w:hint="eastAsia" w:ascii="宋体" w:hAnsi="宋体" w:cs="宋体"/>
                <w:sz w:val="21"/>
                <w:szCs w:val="21"/>
                <w:lang w:val="en-US" w:eastAsia="zh-CN"/>
              </w:rPr>
              <w:t>行政部</w:t>
            </w:r>
            <w:r>
              <w:rPr>
                <w:rFonts w:hint="eastAsia" w:ascii="宋体" w:hAnsi="宋体" w:cs="宋体"/>
                <w:sz w:val="21"/>
                <w:szCs w:val="21"/>
              </w:rPr>
              <w:t>反馈。</w:t>
            </w:r>
            <w:r>
              <w:rPr>
                <w:rFonts w:hint="eastAsia" w:ascii="宋体" w:hAnsi="宋体" w:cs="宋体"/>
                <w:sz w:val="21"/>
                <w:szCs w:val="21"/>
                <w:lang w:val="en-US" w:eastAsia="zh-CN"/>
              </w:rPr>
              <w:t>业务部</w:t>
            </w:r>
            <w:r>
              <w:rPr>
                <w:rFonts w:hint="eastAsia" w:ascii="宋体" w:hAnsi="宋体" w:cs="宋体"/>
                <w:sz w:val="21"/>
                <w:szCs w:val="21"/>
              </w:rPr>
              <w:t>负责顾客要求方面的有关事宜的沟通。</w:t>
            </w:r>
          </w:p>
          <w:p>
            <w:pPr>
              <w:spacing w:line="360" w:lineRule="auto"/>
              <w:ind w:left="1"/>
              <w:rPr>
                <w:rFonts w:ascii="宋体" w:hAnsi="宋体"/>
                <w:b/>
                <w:sz w:val="21"/>
                <w:szCs w:val="21"/>
              </w:rPr>
            </w:pPr>
            <w:r>
              <w:rPr>
                <w:rFonts w:hint="eastAsia" w:ascii="宋体" w:hAnsi="宋体" w:cs="宋体"/>
                <w:sz w:val="21"/>
                <w:szCs w:val="21"/>
              </w:rPr>
              <w:t>目前各项沟通都较为及时、顺畅、效果较好。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外部信息的接收、成文并答复的情况（E、S填写）：</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OHSMS事务代表协商和交流的情况（OHSMS填写）：</w:t>
            </w:r>
          </w:p>
          <w:p>
            <w:pPr>
              <w:spacing w:line="360" w:lineRule="auto"/>
              <w:rPr>
                <w:rFonts w:ascii="宋体" w:hAnsi="宋体"/>
                <w:b/>
                <w:sz w:val="21"/>
                <w:szCs w:val="21"/>
              </w:rPr>
            </w:pPr>
            <w:r>
              <w:rPr>
                <w:rFonts w:hint="eastAsia" w:ascii="宋体" w:hAnsi="宋体" w:eastAsia="宋体" w:cs="宋体"/>
                <w:b/>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废水管控：</w:t>
            </w:r>
          </w:p>
          <w:p>
            <w:pPr>
              <w:keepNext w:val="0"/>
              <w:keepLines w:val="0"/>
              <w:pageBreakBefore w:val="0"/>
              <w:kinsoku/>
              <w:wordWrap/>
              <w:overflowPunct/>
              <w:topLinePunct w:val="0"/>
              <w:autoSpaceDE/>
              <w:autoSpaceDN/>
              <w:bidi w:val="0"/>
              <w:adjustRightInd/>
              <w:snapToGrid/>
              <w:spacing w:line="440" w:lineRule="exact"/>
              <w:ind w:firstLine="42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本公司生产工艺废水主要为中频炉的冷却水，中频电加热炉用水循环使用，无外排;回火炉工件冷却用水经冷却水池后循环使用不外排。</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生活污水经化粪池处理达标后，定期由罐车拉送至已建成的蔡家坡污水处理厂处理。</w:t>
            </w:r>
          </w:p>
          <w:p>
            <w:pPr>
              <w:keepNext w:val="0"/>
              <w:keepLines w:val="0"/>
              <w:pageBreakBefore w:val="0"/>
              <w:numPr>
                <w:ilvl w:val="0"/>
                <w:numId w:val="4"/>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废气管控：</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 xml:space="preserve"> </w:t>
            </w:r>
            <w:r>
              <w:rPr>
                <w:rFonts w:hint="eastAsia" w:ascii="宋体" w:hAnsi="宋体" w:eastAsia="宋体" w:cs="宋体"/>
                <w:color w:val="000000"/>
                <w:kern w:val="0"/>
                <w:sz w:val="21"/>
                <w:szCs w:val="21"/>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厨房使用液化石油气等清洁能源做饭，安装油烟净化设施。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三、噪声以及车间通过通风系统排向环境的粉尘。</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正火炉等。通过选用低噪声设备，基础减震，厂房隔声等措施来降低机械噪声对外界的影响。</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（1）切割边角料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（2）抛丸粉尘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（3）危险废物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在设备检修产生的废机油，属于危废，收集在厂区危废暂存间临时储存，定期交由陕西宝鸡恒兴石化科技有限公司回收处理。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（4）生活垃圾 </w:t>
            </w:r>
          </w:p>
          <w:p>
            <w:pPr>
              <w:keepNext w:val="0"/>
              <w:keepLines w:val="0"/>
              <w:pageBreakBefore w:val="0"/>
              <w:numPr>
                <w:ilvl w:val="0"/>
                <w:numId w:val="5"/>
              </w:numPr>
              <w:kinsoku/>
              <w:wordWrap/>
              <w:overflowPunct/>
              <w:topLinePunct w:val="0"/>
              <w:autoSpaceDE/>
              <w:autoSpaceDN/>
              <w:bidi w:val="0"/>
              <w:adjustRightInd/>
              <w:snapToGrid/>
              <w:spacing w:line="440" w:lineRule="exact"/>
              <w:ind w:firstLine="421"/>
              <w:textAlignment w:val="auto"/>
              <w:rPr>
                <w:rFonts w:hint="eastAsia" w:ascii="宋体" w:hAnsi="宋体" w:eastAsia="宋体" w:cs="宋体"/>
                <w:sz w:val="21"/>
                <w:szCs w:val="21"/>
                <w:u w:val="none"/>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w:t>
            </w:r>
            <w:r>
              <w:rPr>
                <w:rFonts w:hint="eastAsia" w:ascii="宋体" w:hAnsi="宋体" w:eastAsia="宋体" w:cs="宋体"/>
                <w:sz w:val="21"/>
                <w:szCs w:val="21"/>
                <w:u w:val="none"/>
              </w:rPr>
              <w:t>能源资源管控：</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注意节水、节电、节约塑料颗粒的试验，人走关闭设备和照明开关，现场未发现有漏水和浪费电能的现象。</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421" w:firstLineChars="0"/>
              <w:textAlignment w:val="auto"/>
              <w:rPr>
                <w:rFonts w:hint="eastAsia" w:ascii="宋体" w:hAnsi="宋体" w:eastAsia="宋体" w:cs="宋体"/>
                <w:sz w:val="21"/>
                <w:szCs w:val="21"/>
                <w:u w:val="none"/>
              </w:rPr>
            </w:pPr>
            <w:r>
              <w:rPr>
                <w:rFonts w:hint="eastAsia" w:ascii="宋体" w:hAnsi="宋体" w:eastAsia="宋体" w:cs="宋体"/>
                <w:sz w:val="21"/>
                <w:szCs w:val="21"/>
                <w:u w:val="none"/>
              </w:rPr>
              <w:t>产品生命周期的环境管控：</w:t>
            </w:r>
          </w:p>
          <w:p>
            <w:pPr>
              <w:keepNext w:val="0"/>
              <w:keepLines w:val="0"/>
              <w:pageBreakBefore w:val="0"/>
              <w:kinsoku/>
              <w:wordWrap/>
              <w:overflowPunct/>
              <w:topLinePunct w:val="0"/>
              <w:autoSpaceDE/>
              <w:autoSpaceDN/>
              <w:bidi w:val="0"/>
              <w:adjustRightInd/>
              <w:snapToGrid/>
              <w:spacing w:line="440" w:lineRule="exact"/>
              <w:ind w:firstLine="421"/>
              <w:textAlignment w:val="auto"/>
              <w:rPr>
                <w:rFonts w:hint="eastAsia" w:ascii="宋体" w:hAnsi="宋体" w:eastAsia="宋体" w:cs="宋体"/>
                <w:sz w:val="21"/>
                <w:szCs w:val="21"/>
                <w:u w:val="none"/>
              </w:rPr>
            </w:pPr>
            <w:r>
              <w:rPr>
                <w:rFonts w:hint="eastAsia" w:ascii="宋体" w:hAnsi="宋体" w:eastAsia="宋体" w:cs="宋体"/>
                <w:sz w:val="21"/>
                <w:szCs w:val="21"/>
                <w:u w:val="none"/>
              </w:rPr>
              <w:t>公司采购产品时已考虑了产品的环保性，严格按照环保等管理制度实施，控制好辅助材料的用量，避免浪费，生命周期终了时废旧塑料还可以回收再利用。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提供</w:t>
            </w:r>
            <w:r>
              <w:rPr>
                <w:rFonts w:hint="eastAsia" w:ascii="宋体" w:hAnsi="宋体"/>
                <w:b w:val="0"/>
                <w:bCs/>
                <w:sz w:val="21"/>
                <w:szCs w:val="21"/>
              </w:rPr>
              <w:t>《</w:t>
            </w:r>
            <w:r>
              <w:rPr>
                <w:rFonts w:hint="eastAsia" w:ascii="宋体" w:hAnsi="宋体"/>
                <w:b w:val="0"/>
                <w:bCs/>
                <w:sz w:val="21"/>
                <w:szCs w:val="21"/>
                <w:lang w:val="en-US" w:eastAsia="zh-CN"/>
              </w:rPr>
              <w:t>宝鸡市东兴锻造有限公司突发环境事件应急预案</w:t>
            </w:r>
            <w:r>
              <w:rPr>
                <w:rFonts w:hint="eastAsia" w:ascii="宋体" w:hAnsi="宋体"/>
                <w:b w:val="0"/>
                <w:bCs/>
                <w:sz w:val="21"/>
                <w:szCs w:val="21"/>
              </w:rPr>
              <w:t>》，</w:t>
            </w:r>
            <w:r>
              <w:rPr>
                <w:rFonts w:hint="eastAsia" w:ascii="宋体" w:hAnsi="宋体"/>
                <w:b w:val="0"/>
                <w:bCs/>
                <w:sz w:val="21"/>
                <w:szCs w:val="21"/>
                <w:lang w:eastAsia="zh-CN"/>
              </w:rPr>
              <w:t>《</w:t>
            </w:r>
            <w:r>
              <w:rPr>
                <w:rFonts w:hint="eastAsia" w:ascii="宋体" w:hAnsi="宋体"/>
                <w:b w:val="0"/>
                <w:bCs/>
                <w:sz w:val="21"/>
                <w:szCs w:val="21"/>
              </w:rPr>
              <w:t>火灾专项应急预案</w:t>
            </w:r>
            <w:r>
              <w:rPr>
                <w:rFonts w:hint="eastAsia" w:ascii="宋体" w:hAnsi="宋体"/>
                <w:b w:val="0"/>
                <w:bCs/>
                <w:sz w:val="21"/>
                <w:szCs w:val="21"/>
                <w:lang w:eastAsia="zh-CN"/>
              </w:rPr>
              <w:t>》</w:t>
            </w:r>
            <w:r>
              <w:rPr>
                <w:rFonts w:hint="eastAsia" w:ascii="宋体" w:hAnsi="宋体"/>
                <w:b w:val="0"/>
                <w:bCs/>
                <w:sz w:val="21"/>
                <w:szCs w:val="21"/>
              </w:rPr>
              <w:t>，包含有事件级别及不同级别事件的处理程序、事件处理组织机构及职责分工、通用及特殊处理程序、各岗位要求等。具有可操作性。</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 w:val="0"/>
                <w:bCs/>
                <w:sz w:val="21"/>
                <w:szCs w:val="21"/>
                <w:lang w:val="en-US" w:eastAsia="zh-CN"/>
              </w:rPr>
              <w:t>查看生产车间热处理</w:t>
            </w:r>
            <w:r>
              <w:rPr>
                <w:rFonts w:hint="eastAsia" w:ascii="宋体" w:hAnsi="宋体" w:cs="宋体"/>
                <w:b w:val="0"/>
                <w:bCs/>
                <w:sz w:val="21"/>
                <w:szCs w:val="21"/>
                <w:lang w:val="en-US" w:eastAsia="zh-CN"/>
              </w:rPr>
              <w:t>炉</w:t>
            </w:r>
            <w:r>
              <w:rPr>
                <w:rFonts w:hint="eastAsia" w:ascii="宋体" w:hAnsi="宋体" w:eastAsia="宋体" w:cs="宋体"/>
                <w:b w:val="0"/>
                <w:bCs/>
                <w:sz w:val="21"/>
                <w:szCs w:val="21"/>
                <w:lang w:val="en-US" w:eastAsia="zh-CN"/>
              </w:rPr>
              <w:t>旁，消防器材前有遮挡物，消防通道不畅通，不符合规定要求。</w:t>
            </w:r>
          </w:p>
          <w:p>
            <w:pPr>
              <w:spacing w:line="240" w:lineRule="exact"/>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jc w:val="left"/>
              <w:rPr>
                <w:rFonts w:hint="default" w:ascii="宋体" w:hAnsi="宋体" w:eastAsia="宋体"/>
                <w:b/>
                <w:sz w:val="21"/>
                <w:szCs w:val="21"/>
                <w:lang w:val="en-US" w:eastAsia="zh-CN"/>
              </w:rPr>
            </w:pPr>
            <w:r>
              <w:rPr>
                <w:rFonts w:hint="eastAsia" w:ascii="宋体" w:hAnsi="宋体"/>
                <w:b w:val="0"/>
                <w:bCs/>
                <w:sz w:val="21"/>
                <w:szCs w:val="21"/>
                <w:lang w:val="en-US" w:eastAsia="zh-CN"/>
              </w:rPr>
              <w:t>提供叉车检验报告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ascii="宋体" w:hAnsi="宋体"/>
                <w:b/>
                <w:sz w:val="21"/>
                <w:szCs w:val="21"/>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sz w:val="21"/>
                <w:szCs w:val="21"/>
                <w:u w:val="none"/>
              </w:rPr>
              <w:t>20</w:t>
            </w:r>
            <w:r>
              <w:rPr>
                <w:rFonts w:hint="eastAsia" w:ascii="宋体" w:hAnsi="宋体"/>
                <w:sz w:val="21"/>
                <w:szCs w:val="21"/>
                <w:u w:val="none"/>
                <w:lang w:val="en-US" w:eastAsia="zh-CN"/>
              </w:rPr>
              <w:t>20</w:t>
            </w:r>
            <w:r>
              <w:rPr>
                <w:rFonts w:hint="eastAsia" w:ascii="宋体" w:hAnsi="宋体"/>
                <w:sz w:val="21"/>
                <w:szCs w:val="21"/>
                <w:u w:val="none"/>
              </w:rPr>
              <w:t>年</w:t>
            </w:r>
            <w:r>
              <w:rPr>
                <w:rFonts w:hint="eastAsia" w:ascii="宋体" w:hAnsi="宋体"/>
                <w:sz w:val="21"/>
                <w:szCs w:val="21"/>
                <w:u w:val="none"/>
                <w:lang w:val="en-US" w:eastAsia="zh-CN"/>
              </w:rPr>
              <w:t>6</w:t>
            </w:r>
            <w:r>
              <w:rPr>
                <w:rFonts w:hint="eastAsia" w:ascii="宋体" w:hAnsi="宋体"/>
                <w:sz w:val="21"/>
                <w:szCs w:val="21"/>
                <w:u w:val="none"/>
              </w:rPr>
              <w:t>月</w:t>
            </w:r>
            <w:r>
              <w:rPr>
                <w:rFonts w:hint="eastAsia" w:ascii="宋体" w:hAnsi="宋体"/>
                <w:sz w:val="21"/>
                <w:szCs w:val="21"/>
                <w:u w:val="none"/>
                <w:lang w:val="en-US" w:eastAsia="zh-CN"/>
              </w:rPr>
              <w:t>15日</w:t>
            </w:r>
            <w:r>
              <w:rPr>
                <w:rFonts w:hint="eastAsia" w:ascii="宋体" w:hAnsi="宋体"/>
                <w:sz w:val="21"/>
                <w:szCs w:val="21"/>
                <w:u w:val="none"/>
              </w:rPr>
              <w:t>对环境目标指标进行了检查，能达标。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0"/>
              </w:numPr>
              <w:spacing w:line="360" w:lineRule="auto"/>
              <w:ind w:leftChars="0"/>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顾客满意</w:t>
            </w:r>
          </w:p>
          <w:p>
            <w:pPr>
              <w:numPr>
                <w:ilvl w:val="0"/>
                <w:numId w:val="0"/>
              </w:numPr>
              <w:spacing w:line="360" w:lineRule="auto"/>
              <w:ind w:leftChars="0"/>
              <w:rPr>
                <w:rFonts w:hint="eastAsia" w:ascii="宋体" w:hAnsi="宋体"/>
                <w:b w:val="0"/>
                <w:bCs/>
                <w:sz w:val="21"/>
                <w:szCs w:val="21"/>
              </w:rPr>
            </w:pPr>
            <w:r>
              <w:rPr>
                <w:rFonts w:hint="eastAsia" w:ascii="宋体" w:hAnsi="宋体"/>
                <w:b w:val="0"/>
                <w:bCs/>
                <w:sz w:val="21"/>
                <w:szCs w:val="21"/>
              </w:rPr>
              <w:t>公司通过电话，走访等形式，接受顾客反馈，了解顾客满意度信息，发放调查表对顾客满意度进行定量测量。</w:t>
            </w:r>
          </w:p>
          <w:p>
            <w:pPr>
              <w:spacing w:line="360" w:lineRule="auto"/>
              <w:ind w:left="105" w:hanging="105" w:hangingChars="50"/>
              <w:rPr>
                <w:rFonts w:ascii="宋体" w:hAnsi="宋体"/>
                <w:b/>
                <w:sz w:val="21"/>
                <w:szCs w:val="21"/>
              </w:rPr>
            </w:pPr>
            <w:r>
              <w:rPr>
                <w:rFonts w:hint="eastAsia" w:ascii="宋体" w:hAnsi="宋体"/>
                <w:b w:val="0"/>
                <w:bCs/>
                <w:sz w:val="21"/>
                <w:szCs w:val="21"/>
              </w:rPr>
              <w:t xml:space="preserve">提供“顾客满意程度调查表”顾客较满意。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rFonts w:asciiTheme="minorEastAsia" w:hAnsiTheme="minorEastAsia" w:eastAsiaTheme="minorEastAsia"/>
                <w:sz w:val="21"/>
                <w:szCs w:val="21"/>
              </w:rPr>
            </w:pPr>
            <w:r>
              <w:rPr>
                <w:rFonts w:hint="eastAsia"/>
                <w:b/>
                <w:color w:val="000000" w:themeColor="text1"/>
                <w:sz w:val="21"/>
                <w:szCs w:val="21"/>
              </w:rPr>
              <w:t>了解内审的策划;</w:t>
            </w:r>
          </w:p>
          <w:p>
            <w:pPr>
              <w:spacing w:line="360" w:lineRule="auto"/>
              <w:rPr>
                <w:rFonts w:ascii="宋体" w:hAnsi="宋体"/>
                <w:b/>
                <w:sz w:val="21"/>
                <w:szCs w:val="21"/>
              </w:rPr>
            </w:pPr>
            <w:r>
              <w:rPr>
                <w:rFonts w:hint="eastAsia" w:asciiTheme="minorEastAsia" w:hAnsiTheme="minorEastAsia" w:eastAsiaTheme="minorEastAsia"/>
                <w:sz w:val="21"/>
                <w:szCs w:val="21"/>
              </w:rPr>
              <w:t>每年一次，本次2020.</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15-16</w:t>
            </w:r>
            <w:r>
              <w:rPr>
                <w:rFonts w:hint="eastAsia" w:asciiTheme="minorEastAsia" w:hAnsiTheme="minorEastAsia" w:eastAsiaTheme="minorEastAsia"/>
                <w:sz w:val="21"/>
                <w:szCs w:val="21"/>
              </w:rPr>
              <w:t>日内审。</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240" w:lineRule="exact"/>
              <w:rPr>
                <w:rFonts w:ascii="宋体" w:hAnsi="宋体"/>
                <w:b/>
                <w:sz w:val="21"/>
                <w:szCs w:val="21"/>
              </w:rPr>
            </w:pPr>
            <w:r>
              <w:rPr>
                <w:rFonts w:hint="eastAsia" w:ascii="宋体" w:hAnsi="宋体"/>
                <w:sz w:val="21"/>
                <w:szCs w:val="21"/>
              </w:rPr>
              <w:t>公司的管理体系符合标准要求，体系运行有效</w:t>
            </w:r>
            <w:r>
              <w:rPr>
                <w:rFonts w:hint="eastAsia" w:asciiTheme="minorEastAsia" w:hAnsiTheme="minorEastAsia" w:eastAsiaTheme="minorEastAsia"/>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sz w:val="21"/>
                <w:szCs w:val="21"/>
              </w:rPr>
              <w:t>每年一次，2020.</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24</w:t>
            </w:r>
            <w:r>
              <w:rPr>
                <w:rFonts w:hint="eastAsia" w:asciiTheme="minorEastAsia" w:hAnsiTheme="minorEastAsia" w:eastAsiaTheme="minorEastAsia"/>
                <w:sz w:val="21"/>
                <w:szCs w:val="21"/>
              </w:rPr>
              <w:t>日管理评审。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b/>
                <w:sz w:val="21"/>
                <w:szCs w:val="21"/>
              </w:rPr>
            </w:pPr>
            <w:r>
              <w:rPr>
                <w:rFonts w:hint="eastAsia" w:ascii="宋体" w:hAnsi="宋体"/>
                <w:sz w:val="21"/>
                <w:szCs w:val="21"/>
              </w:rPr>
              <w:t>　公司的管理体系是适宜的、充分的和有效的</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720" w:type="dxa"/>
            <w:vMerge w:val="continue"/>
            <w:vAlign w:val="center"/>
          </w:tcPr>
          <w:p>
            <w:pPr>
              <w:spacing w:line="240" w:lineRule="exact"/>
              <w:jc w:val="center"/>
              <w:rPr>
                <w:b/>
                <w:sz w:val="20"/>
              </w:rPr>
            </w:pPr>
          </w:p>
        </w:tc>
        <w:tc>
          <w:tcPr>
            <w:tcW w:w="9198" w:type="dxa"/>
          </w:tcPr>
          <w:p>
            <w:pPr>
              <w:pStyle w:val="7"/>
              <w:numPr>
                <w:ilvl w:val="0"/>
                <w:numId w:val="0"/>
              </w:numPr>
              <w:pBdr>
                <w:bottom w:val="none" w:color="auto" w:sz="0" w:space="0"/>
              </w:pBdr>
              <w:tabs>
                <w:tab w:val="center" w:pos="5737"/>
                <w:tab w:val="clear" w:pos="4153"/>
              </w:tabs>
              <w:spacing w:line="360" w:lineRule="auto"/>
              <w:jc w:val="left"/>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pStyle w:val="7"/>
              <w:numPr>
                <w:ilvl w:val="0"/>
                <w:numId w:val="0"/>
              </w:numPr>
              <w:pBdr>
                <w:bottom w:val="none" w:color="auto" w:sz="0" w:space="0"/>
              </w:pBdr>
              <w:tabs>
                <w:tab w:val="center" w:pos="5737"/>
                <w:tab w:val="clear" w:pos="4153"/>
              </w:tabs>
              <w:spacing w:line="360" w:lineRule="auto"/>
              <w:jc w:val="left"/>
              <w:rPr>
                <w:rFonts w:hint="eastAsia" w:ascii="宋体" w:hAnsi="宋体" w:eastAsia="宋体"/>
                <w:b/>
                <w:sz w:val="21"/>
                <w:szCs w:val="21"/>
                <w:lang w:eastAsia="zh-CN"/>
              </w:rPr>
            </w:pPr>
            <w:r>
              <w:rPr>
                <w:rFonts w:hint="eastAsia" w:ascii="宋体" w:hAnsi="宋体" w:eastAsia="宋体" w:cs="宋体"/>
                <w:sz w:val="21"/>
                <w:szCs w:val="21"/>
              </w:rPr>
              <w:t>提供了</w:t>
            </w:r>
            <w:r>
              <w:rPr>
                <w:rFonts w:hint="eastAsia" w:ascii="宋体" w:hAnsi="宋体" w:eastAsia="宋体" w:cs="宋体"/>
                <w:sz w:val="21"/>
                <w:szCs w:val="21"/>
                <w:lang w:val="en-US" w:eastAsia="zh-CN"/>
              </w:rPr>
              <w:t>2020.7.31陕西景泰蓝环境监测有限公司监测报告</w:t>
            </w:r>
            <w:r>
              <w:rPr>
                <w:rFonts w:hint="eastAsia" w:ascii="宋体" w:hAnsi="宋体" w:eastAsia="宋体" w:cs="宋体"/>
                <w:sz w:val="21"/>
                <w:szCs w:val="21"/>
              </w:rPr>
              <w:t>，检测项目：废气、噪，检测结果：合格</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ind w:firstLine="420" w:firstLineChars="200"/>
              <w:rPr>
                <w:rFonts w:hint="eastAsia" w:ascii="宋体" w:hAnsi="宋体" w:eastAsia="宋体"/>
                <w:b/>
                <w:sz w:val="21"/>
                <w:szCs w:val="21"/>
                <w:lang w:eastAsia="zh-CN"/>
              </w:rPr>
            </w:pPr>
            <w:r>
              <w:rPr>
                <w:rFonts w:hint="eastAsia" w:ascii="宋体" w:hAnsi="宋体"/>
                <w:b w:val="0"/>
                <w:bCs/>
                <w:sz w:val="21"/>
                <w:szCs w:val="21"/>
              </w:rPr>
              <w:t>提供</w:t>
            </w:r>
            <w:r>
              <w:rPr>
                <w:rFonts w:hint="eastAsia" w:ascii="宋体" w:hAnsi="宋体"/>
                <w:b w:val="0"/>
                <w:bCs/>
                <w:sz w:val="21"/>
                <w:szCs w:val="21"/>
                <w:lang w:val="en-US" w:eastAsia="zh-CN"/>
              </w:rPr>
              <w:t>2019.9,宝鸡市东兴锻造有限公司二期技改扩建项目《建设项目</w:t>
            </w:r>
            <w:r>
              <w:rPr>
                <w:rFonts w:hint="eastAsia" w:ascii="宋体" w:hAnsi="宋体"/>
                <w:b w:val="0"/>
                <w:bCs/>
                <w:sz w:val="21"/>
                <w:szCs w:val="21"/>
              </w:rPr>
              <w:t>环境影响报告表</w:t>
            </w:r>
            <w:r>
              <w:rPr>
                <w:rFonts w:hint="eastAsia" w:ascii="宋体" w:hAnsi="宋体"/>
                <w:b w:val="0"/>
                <w:bCs/>
                <w:sz w:val="21"/>
                <w:szCs w:val="21"/>
                <w:lang w:val="en-US" w:eastAsia="zh-CN"/>
              </w:rPr>
              <w:t>》、2020年8月</w:t>
            </w:r>
            <w:r>
              <w:rPr>
                <w:rFonts w:hint="eastAsia" w:ascii="宋体" w:hAnsi="宋体"/>
                <w:b w:val="0"/>
                <w:bCs/>
                <w:sz w:val="21"/>
                <w:szCs w:val="21"/>
                <w:lang w:eastAsia="zh-CN"/>
              </w:rPr>
              <w:t>《</w:t>
            </w:r>
            <w:r>
              <w:rPr>
                <w:rFonts w:hint="eastAsia" w:ascii="宋体" w:hAnsi="宋体"/>
                <w:b w:val="0"/>
                <w:bCs/>
                <w:sz w:val="21"/>
                <w:szCs w:val="21"/>
                <w:lang w:val="en-US" w:eastAsia="zh-CN"/>
              </w:rPr>
              <w:t>宝鸡市东兴锻造有限公司二期技改扩建项目竣工环境保护验收监测报告</w:t>
            </w:r>
            <w:r>
              <w:rPr>
                <w:rFonts w:hint="eastAsia" w:ascii="宋体" w:hAnsi="宋体"/>
                <w:b w:val="0"/>
                <w:bCs/>
                <w:sz w:val="21"/>
                <w:szCs w:val="21"/>
                <w:lang w:eastAsia="zh-CN"/>
              </w:rPr>
              <w:t>》、</w:t>
            </w:r>
            <w:r>
              <w:rPr>
                <w:rFonts w:hint="eastAsia" w:ascii="宋体" w:hAnsi="宋体"/>
                <w:b w:val="0"/>
                <w:bCs/>
                <w:sz w:val="21"/>
                <w:szCs w:val="21"/>
              </w:rPr>
              <w:t>宝鸡市环境保护局高新分局 高新环函（20</w:t>
            </w:r>
            <w:r>
              <w:rPr>
                <w:rFonts w:hint="eastAsia" w:ascii="宋体" w:hAnsi="宋体"/>
                <w:b w:val="0"/>
                <w:bCs/>
                <w:sz w:val="21"/>
                <w:szCs w:val="21"/>
                <w:lang w:val="en-US" w:eastAsia="zh-CN"/>
              </w:rPr>
              <w:t>20</w:t>
            </w:r>
            <w:r>
              <w:rPr>
                <w:rFonts w:hint="eastAsia" w:ascii="宋体" w:hAnsi="宋体"/>
                <w:b w:val="0"/>
                <w:bCs/>
                <w:sz w:val="21"/>
                <w:szCs w:val="21"/>
              </w:rPr>
              <w:t>）</w:t>
            </w:r>
            <w:r>
              <w:rPr>
                <w:rFonts w:hint="eastAsia" w:ascii="宋体" w:hAnsi="宋体"/>
                <w:b w:val="0"/>
                <w:bCs/>
                <w:sz w:val="21"/>
                <w:szCs w:val="21"/>
                <w:lang w:val="en-US" w:eastAsia="zh-CN"/>
              </w:rPr>
              <w:t>110</w:t>
            </w:r>
            <w:r>
              <w:rPr>
                <w:rFonts w:hint="eastAsia" w:ascii="宋体" w:hAnsi="宋体"/>
                <w:b w:val="0"/>
                <w:bCs/>
                <w:sz w:val="21"/>
                <w:szCs w:val="21"/>
              </w:rPr>
              <w:t>号“宝鸡市环境保护局高新分局</w:t>
            </w:r>
            <w:r>
              <w:rPr>
                <w:rFonts w:hint="eastAsia" w:ascii="宋体" w:hAnsi="宋体"/>
                <w:b w:val="0"/>
                <w:bCs/>
                <w:sz w:val="21"/>
                <w:szCs w:val="21"/>
                <w:lang w:val="en-US" w:eastAsia="zh-CN"/>
              </w:rPr>
              <w:t>关于宝鸡市东兴锻造有限公司二期技改扩建项目</w:t>
            </w:r>
            <w:r>
              <w:rPr>
                <w:rFonts w:hint="eastAsia" w:ascii="宋体" w:hAnsi="宋体"/>
                <w:b w:val="0"/>
                <w:bCs/>
                <w:sz w:val="21"/>
                <w:szCs w:val="21"/>
              </w:rPr>
              <w:t>环境影响报告表的批复</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6"/>
              </w:numPr>
              <w:spacing w:line="360" w:lineRule="auto"/>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企业自体系建立以来，通过内审的改进、管理评审；纠正措施的实施、顾客满意度调查等措施，采取了具体的改进措施。基本符合要求。</w:t>
            </w:r>
          </w:p>
          <w:p>
            <w:pPr>
              <w:spacing w:line="360" w:lineRule="auto"/>
              <w:rPr>
                <w:rFonts w:ascii="宋体" w:hAnsi="宋体"/>
                <w:b/>
                <w:sz w:val="21"/>
                <w:szCs w:val="21"/>
              </w:rPr>
            </w:pPr>
            <w:r>
              <w:rPr>
                <w:rFonts w:hint="eastAsia" w:ascii="宋体" w:hAnsi="宋体"/>
                <w:b w:val="0"/>
                <w:bCs/>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60" w:lineRule="auto"/>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ind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0"/>
              <w:rPr>
                <w:rFonts w:hint="default" w:ascii="宋体" w:hAnsi="宋体" w:eastAsia="宋体"/>
                <w:b/>
                <w:sz w:val="21"/>
                <w:szCs w:val="21"/>
                <w:lang w:val="en-US" w:eastAsia="zh-CN"/>
              </w:rPr>
            </w:pPr>
            <w:r>
              <w:rPr>
                <w:rFonts w:hint="eastAsia" w:ascii="宋体" w:hAnsi="宋体"/>
                <w:b w:val="0"/>
                <w:bCs/>
                <w:sz w:val="21"/>
                <w:szCs w:val="21"/>
                <w:lang w:val="en-US" w:eastAsia="zh-CN"/>
              </w:rPr>
              <w:t>上次审核开具的不符合已经整改，措施有效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420" w:firstLineChars="200"/>
              <w:rPr>
                <w:rFonts w:ascii="宋体" w:hAnsi="宋体"/>
                <w:b/>
                <w:szCs w:val="21"/>
              </w:rPr>
            </w:pPr>
            <w:r>
              <w:rPr>
                <w:rFonts w:hint="eastAsia" w:ascii="宋体" w:hAnsi="宋体" w:cs="宋体"/>
                <w:bCs/>
                <w:sz w:val="21"/>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1883410</wp:posOffset>
            </wp:positionH>
            <wp:positionV relativeFrom="paragraph">
              <wp:posOffset>48260</wp:posOffset>
            </wp:positionV>
            <wp:extent cx="543560" cy="429895"/>
            <wp:effectExtent l="0" t="0" r="254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3560" cy="42989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2020.12.13</w:t>
      </w:r>
    </w:p>
    <w:p>
      <w:pPr>
        <w:snapToGrid w:val="0"/>
        <w:spacing w:line="200" w:lineRule="exact"/>
        <w:ind w:firstLine="482" w:firstLineChars="300"/>
        <w:rPr>
          <w:b/>
          <w:sz w:val="16"/>
          <w:szCs w:val="1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290" w:firstLineChars="12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2336" behindDoc="0" locked="0" layoutInCell="1" allowOverlap="1">
            <wp:simplePos x="0" y="0"/>
            <wp:positionH relativeFrom="column">
              <wp:posOffset>1305560</wp:posOffset>
            </wp:positionH>
            <wp:positionV relativeFrom="paragraph">
              <wp:posOffset>19685</wp:posOffset>
            </wp:positionV>
            <wp:extent cx="327660" cy="259080"/>
            <wp:effectExtent l="0" t="0" r="254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7660" cy="25908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2020.12.14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w:t>
      </w:r>
      <w:bookmarkStart w:id="29" w:name="_GoBack"/>
      <w:bookmarkEnd w:id="29"/>
      <w:r>
        <w:rPr>
          <w:rFonts w:hint="eastAsia"/>
          <w:b/>
          <w:bCs/>
          <w:sz w:val="26"/>
          <w:szCs w:val="26"/>
        </w:rPr>
        <w:t>他说明：（技委委员会</w:t>
      </w:r>
      <w:r>
        <w:rPr>
          <w:rFonts w:hint="eastAsia"/>
          <w:b/>
          <w:sz w:val="26"/>
          <w:szCs w:val="26"/>
        </w:rPr>
        <w:t>填写</w:t>
      </w:r>
      <w:r>
        <w:rPr>
          <w:b/>
          <w:sz w:val="26"/>
          <w:szCs w:val="26"/>
        </w:rPr>
        <w:t>)</w:t>
      </w:r>
    </w:p>
    <w:p>
      <w:pPr>
        <w:snapToGrid w:val="0"/>
        <w:rPr>
          <w:b/>
          <w:sz w:val="21"/>
          <w:u w:val="single"/>
        </w:rPr>
      </w:pPr>
    </w:p>
    <w:p>
      <w:pPr>
        <w:spacing w:line="480" w:lineRule="auto"/>
        <w:rPr>
          <w:b/>
          <w:sz w:val="26"/>
          <w:szCs w:val="26"/>
        </w:rPr>
      </w:pPr>
      <w:r>
        <w:rPr>
          <w:rFonts w:hint="eastAsia"/>
          <w:b/>
          <w:sz w:val="26"/>
          <w:szCs w:val="26"/>
        </w:rPr>
        <w:t>十五、认证评定与批准</w:t>
      </w:r>
    </w:p>
    <w:p>
      <w:pPr>
        <w:numPr>
          <w:ilvl w:val="0"/>
          <w:numId w:val="7"/>
        </w:numPr>
        <w:spacing w:line="48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48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9D3FE"/>
    <w:multiLevelType w:val="singleLevel"/>
    <w:tmpl w:val="8959D3FE"/>
    <w:lvl w:ilvl="0" w:tentative="0">
      <w:start w:val="9"/>
      <w:numFmt w:val="decimal"/>
      <w:suff w:val="space"/>
      <w:lvlText w:val="%1."/>
      <w:lvlJc w:val="left"/>
    </w:lvl>
  </w:abstractNum>
  <w:abstractNum w:abstractNumId="1">
    <w:nsid w:val="BBA21D70"/>
    <w:multiLevelType w:val="singleLevel"/>
    <w:tmpl w:val="BBA21D70"/>
    <w:lvl w:ilvl="0" w:tentative="0">
      <w:start w:val="2018"/>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119FDB16"/>
    <w:multiLevelType w:val="singleLevel"/>
    <w:tmpl w:val="119FDB16"/>
    <w:lvl w:ilvl="0" w:tentative="0">
      <w:start w:val="4"/>
      <w:numFmt w:val="decimal"/>
      <w:suff w:val="nothing"/>
      <w:lvlText w:val="%1、"/>
      <w:lvlJc w:val="left"/>
    </w:lvl>
  </w:abstractNum>
  <w:abstractNum w:abstractNumId="4">
    <w:nsid w:val="170D10F3"/>
    <w:multiLevelType w:val="singleLevel"/>
    <w:tmpl w:val="170D10F3"/>
    <w:lvl w:ilvl="0" w:tentative="0">
      <w:start w:val="2"/>
      <w:numFmt w:val="chineseCounting"/>
      <w:suff w:val="nothing"/>
      <w:lvlText w:val="%1、"/>
      <w:lvlJc w:val="left"/>
      <w:rPr>
        <w:rFonts w:hint="eastAsia"/>
      </w:rPr>
    </w:lvl>
  </w:abstractNum>
  <w:abstractNum w:abstractNumId="5">
    <w:nsid w:val="33638A8C"/>
    <w:multiLevelType w:val="singleLevel"/>
    <w:tmpl w:val="33638A8C"/>
    <w:lvl w:ilvl="0" w:tentative="0">
      <w:start w:val="5"/>
      <w:numFmt w:val="decimal"/>
      <w:suff w:val="nothing"/>
      <w:lvlText w:val="%1、"/>
      <w:lvlJc w:val="left"/>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707E4"/>
    <w:rsid w:val="11843CF7"/>
    <w:rsid w:val="1627766F"/>
    <w:rsid w:val="16AA326D"/>
    <w:rsid w:val="18B07861"/>
    <w:rsid w:val="23142988"/>
    <w:rsid w:val="36A75E1E"/>
    <w:rsid w:val="36E11858"/>
    <w:rsid w:val="4B2E7F59"/>
    <w:rsid w:val="6C810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2"/>
    <w:semiHidden/>
    <w:uiPriority w:val="99"/>
    <w:rPr>
      <w:sz w:val="18"/>
      <w:szCs w:val="18"/>
    </w:rPr>
  </w:style>
  <w:style w:type="paragraph" w:styleId="6">
    <w:name w:val="footer"/>
    <w:basedOn w:val="1"/>
    <w:link w:val="13"/>
    <w:semiHidden/>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semiHidden/>
    <w:locked/>
    <w:uiPriority w:val="99"/>
    <w:rPr>
      <w:rFonts w:ascii="Times New Roman" w:hAnsi="Times New Roman" w:eastAsia="宋体" w:cs="Times New Roman"/>
      <w:sz w:val="18"/>
      <w:szCs w:val="18"/>
    </w:rPr>
  </w:style>
  <w:style w:type="character" w:customStyle="1" w:styleId="14">
    <w:name w:val="页眉 Char"/>
    <w:link w:val="7"/>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2020-12-13T18:53:42Z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