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106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2"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276"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涉及条款</w:t>
            </w:r>
          </w:p>
        </w:tc>
        <w:tc>
          <w:tcPr>
            <w:tcW w:w="10606"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eastAsia="宋体" w:cs="宋体"/>
                <w:sz w:val="21"/>
                <w:szCs w:val="21"/>
                <w:lang w:val="en-US" w:eastAsia="zh-CN"/>
              </w:rPr>
              <w:t>综合管理部</w:t>
            </w:r>
            <w:r>
              <w:rPr>
                <w:rFonts w:hint="eastAsia" w:ascii="宋体" w:hAnsi="宋体" w:eastAsia="宋体" w:cs="宋体"/>
                <w:sz w:val="21"/>
                <w:szCs w:val="21"/>
              </w:rPr>
              <w:t xml:space="preserve">     主管领导：</w:t>
            </w:r>
            <w:r>
              <w:rPr>
                <w:rFonts w:hint="eastAsia" w:ascii="宋体" w:hAnsi="宋体" w:eastAsia="宋体" w:cs="宋体"/>
                <w:sz w:val="21"/>
                <w:szCs w:val="21"/>
                <w:lang w:val="en-US" w:eastAsia="zh-CN"/>
              </w:rPr>
              <w:t>许侃祥</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陪同人员：</w:t>
            </w:r>
            <w:r>
              <w:rPr>
                <w:rFonts w:hint="eastAsia" w:ascii="宋体" w:hAnsi="宋体" w:eastAsia="宋体" w:cs="宋体"/>
                <w:sz w:val="21"/>
                <w:szCs w:val="21"/>
                <w:lang w:val="en-US" w:eastAsia="zh-CN"/>
              </w:rPr>
              <w:t>曹勇杰</w:t>
            </w:r>
          </w:p>
        </w:tc>
        <w:tc>
          <w:tcPr>
            <w:tcW w:w="1585"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60" w:lineRule="auto"/>
              <w:rPr>
                <w:rFonts w:hint="eastAsia" w:ascii="宋体" w:hAnsi="宋体" w:eastAsia="宋体" w:cs="宋体"/>
                <w:sz w:val="21"/>
                <w:szCs w:val="21"/>
              </w:rPr>
            </w:pPr>
          </w:p>
        </w:tc>
        <w:tc>
          <w:tcPr>
            <w:tcW w:w="1276" w:type="dxa"/>
            <w:vMerge w:val="continue"/>
            <w:vAlign w:val="center"/>
          </w:tcPr>
          <w:p>
            <w:pPr>
              <w:spacing w:line="360" w:lineRule="auto"/>
              <w:rPr>
                <w:rFonts w:hint="eastAsia" w:ascii="宋体" w:hAnsi="宋体" w:eastAsia="宋体" w:cs="宋体"/>
                <w:sz w:val="21"/>
                <w:szCs w:val="21"/>
              </w:rPr>
            </w:pPr>
          </w:p>
        </w:tc>
        <w:tc>
          <w:tcPr>
            <w:tcW w:w="10606" w:type="dxa"/>
            <w:vAlign w:val="center"/>
          </w:tcPr>
          <w:p>
            <w:pPr>
              <w:spacing w:before="120"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eastAsia="宋体" w:cs="宋体"/>
                <w:sz w:val="21"/>
                <w:szCs w:val="21"/>
                <w:lang w:val="en-US" w:eastAsia="zh-CN"/>
              </w:rPr>
              <w:t>李俐</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审核时间：20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12</w:t>
            </w:r>
            <w:r>
              <w:rPr>
                <w:rFonts w:hint="eastAsia" w:ascii="宋体" w:hAnsi="宋体" w:eastAsia="宋体" w:cs="宋体"/>
                <w:sz w:val="21"/>
                <w:szCs w:val="21"/>
              </w:rPr>
              <w:t>.</w:t>
            </w:r>
            <w:r>
              <w:rPr>
                <w:rFonts w:hint="eastAsia" w:ascii="宋体" w:hAnsi="宋体" w:eastAsia="宋体" w:cs="宋体"/>
                <w:sz w:val="21"/>
                <w:szCs w:val="21"/>
                <w:lang w:val="en-US" w:eastAsia="zh-CN"/>
              </w:rPr>
              <w:t>12</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Merge w:val="continue"/>
            <w:vAlign w:val="center"/>
          </w:tcPr>
          <w:p>
            <w:pPr>
              <w:spacing w:line="360" w:lineRule="auto"/>
              <w:rPr>
                <w:rFonts w:hint="eastAsia" w:ascii="宋体" w:hAnsi="宋体" w:eastAsia="宋体" w:cs="宋体"/>
                <w:sz w:val="21"/>
                <w:szCs w:val="21"/>
              </w:rPr>
            </w:pPr>
          </w:p>
        </w:tc>
        <w:tc>
          <w:tcPr>
            <w:tcW w:w="1276" w:type="dxa"/>
            <w:vMerge w:val="continue"/>
            <w:vAlign w:val="center"/>
          </w:tcPr>
          <w:p>
            <w:pPr>
              <w:spacing w:line="360" w:lineRule="auto"/>
              <w:rPr>
                <w:rFonts w:hint="eastAsia" w:ascii="宋体" w:hAnsi="宋体" w:eastAsia="宋体" w:cs="宋体"/>
                <w:sz w:val="21"/>
                <w:szCs w:val="21"/>
              </w:rPr>
            </w:pPr>
          </w:p>
        </w:tc>
        <w:tc>
          <w:tcPr>
            <w:tcW w:w="1060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w:t>
            </w:r>
          </w:p>
          <w:p>
            <w:pPr>
              <w:spacing w:line="360" w:lineRule="auto"/>
              <w:rPr>
                <w:rFonts w:hint="eastAsia" w:ascii="宋体" w:hAnsi="宋体" w:eastAsia="宋体" w:cs="宋体"/>
                <w:sz w:val="21"/>
                <w:szCs w:val="21"/>
              </w:rPr>
            </w:pPr>
            <w:r>
              <w:rPr>
                <w:rFonts w:hint="eastAsia" w:ascii="宋体" w:hAnsi="宋体" w:eastAsia="宋体" w:cs="宋体"/>
                <w:b w:val="0"/>
                <w:bCs w:val="0"/>
                <w:kern w:val="0"/>
                <w:sz w:val="21"/>
                <w:szCs w:val="21"/>
                <w:u w:val="none"/>
              </w:rPr>
              <w:t>5.3组织的岗位、职责和权限、6.1.2环境因素、6.1.3合规义务、6.2.1环境目标、6.2.2实现环境目标措施的策划、6.1.4措施的策划、7.2能力、7.3意识、7.5.1形成文件的信息总则、7.5.2形成文件的信息的创建和更新、7.5.3形成文件的信息的控制、8.1运行策划和控制、8.2应急准备和响应、9.1监视、测量、分析和评价（9.1.1总则、9.1.2合规性评价）、9.2 内部审核、10.2不合格和纠正措施，</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242" w:type="dxa"/>
            <w:vAlign w:val="center"/>
          </w:tcPr>
          <w:p>
            <w:pPr>
              <w:spacing w:line="360" w:lineRule="auto"/>
              <w:rPr>
                <w:rFonts w:hint="eastAsia" w:ascii="宋体" w:hAnsi="宋体" w:eastAsia="宋体" w:cs="宋体"/>
                <w:b/>
                <w:sz w:val="21"/>
                <w:szCs w:val="21"/>
              </w:rPr>
            </w:pPr>
            <w:r>
              <w:rPr>
                <w:rFonts w:hint="eastAsia" w:ascii="宋体" w:hAnsi="宋体" w:eastAsia="宋体" w:cs="宋体"/>
                <w:sz w:val="21"/>
                <w:szCs w:val="21"/>
              </w:rPr>
              <w:t>组织的岗位、职责和权限</w:t>
            </w:r>
          </w:p>
        </w:tc>
        <w:tc>
          <w:tcPr>
            <w:tcW w:w="1276"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E 5.3</w:t>
            </w:r>
          </w:p>
        </w:tc>
        <w:tc>
          <w:tcPr>
            <w:tcW w:w="10606" w:type="dxa"/>
          </w:tcPr>
          <w:p>
            <w:pPr>
              <w:spacing w:before="215" w:beforeLines="69" w:line="360" w:lineRule="auto"/>
              <w:rPr>
                <w:rFonts w:hint="eastAsia" w:ascii="宋体" w:hAnsi="宋体" w:eastAsia="宋体" w:cs="宋体"/>
                <w:sz w:val="21"/>
                <w:szCs w:val="21"/>
              </w:rPr>
            </w:pPr>
            <w:r>
              <w:rPr>
                <w:rFonts w:hint="eastAsia" w:ascii="宋体" w:hAnsi="宋体" w:eastAsia="宋体" w:cs="宋体"/>
                <w:sz w:val="21"/>
                <w:szCs w:val="21"/>
              </w:rPr>
              <w:t>现场审核了解到部门主要负责：环境目标方案的制定实施，办公用品的管理，信息交流与沟通，人力资源配备，员工招聘、绩效考核管理；劳动合同保险管理及员工职业健康体检；后勤事务管理；企业知识的识别更新传递；文件记录的管理控制；环境因素识别和控制；体系运行检查、内审、法律法规收集及合规性评价，应急准备和相应控制，不符合纠正与预防，事故事件调查处理等。</w:t>
            </w:r>
          </w:p>
        </w:tc>
        <w:tc>
          <w:tcPr>
            <w:tcW w:w="1585" w:type="dxa"/>
          </w:tcPr>
          <w:p>
            <w:pPr>
              <w:spacing w:line="360" w:lineRule="auto"/>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目标和方案</w:t>
            </w:r>
          </w:p>
        </w:tc>
        <w:tc>
          <w:tcPr>
            <w:tcW w:w="127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 6.2</w:t>
            </w:r>
          </w:p>
        </w:tc>
        <w:tc>
          <w:tcPr>
            <w:tcW w:w="10606" w:type="dxa"/>
            <w:vAlign w:val="center"/>
          </w:tcPr>
          <w:p>
            <w:pPr>
              <w:autoSpaceDE w:val="0"/>
              <w:autoSpaceDN w:val="0"/>
              <w:spacing w:line="360" w:lineRule="auto"/>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eastAsia="宋体" w:cs="宋体"/>
                <w:sz w:val="21"/>
                <w:szCs w:val="21"/>
                <w:lang w:val="en-US" w:eastAsia="zh-CN"/>
              </w:rPr>
              <w:t>综合管理部</w:t>
            </w:r>
            <w:r>
              <w:rPr>
                <w:rFonts w:hint="eastAsia" w:ascii="宋体" w:hAnsi="宋体" w:eastAsia="宋体" w:cs="宋体"/>
                <w:sz w:val="21"/>
                <w:szCs w:val="21"/>
              </w:rPr>
              <w:t>目标：</w:t>
            </w:r>
          </w:p>
          <w:p>
            <w:pPr>
              <w:autoSpaceDE w:val="0"/>
              <w:autoSpaceDN w:val="0"/>
              <w:spacing w:line="360" w:lineRule="auto"/>
              <w:ind w:firstLine="1260" w:firstLineChars="6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目标                       完成情况</w:t>
            </w:r>
          </w:p>
          <w:p>
            <w:pPr>
              <w:autoSpaceDE w:val="0"/>
              <w:autoSpaceDN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培训计划有效执行</w:t>
            </w:r>
            <w:r>
              <w:rPr>
                <w:rFonts w:hint="eastAsia" w:ascii="宋体" w:hAnsi="宋体" w:eastAsia="宋体" w:cs="宋体"/>
                <w:sz w:val="21"/>
                <w:szCs w:val="21"/>
              </w:rPr>
              <w:t>率达100%</w:t>
            </w:r>
            <w:r>
              <w:rPr>
                <w:rFonts w:hint="eastAsia" w:ascii="宋体" w:hAnsi="宋体" w:eastAsia="宋体" w:cs="宋体"/>
                <w:sz w:val="21"/>
                <w:szCs w:val="21"/>
                <w:lang w:val="en-US" w:eastAsia="zh-CN"/>
              </w:rPr>
              <w:t xml:space="preserve">              100%</w:t>
            </w:r>
          </w:p>
          <w:p>
            <w:pPr>
              <w:autoSpaceDE w:val="0"/>
              <w:autoSpaceDN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固体废弃物有效处理</w:t>
            </w:r>
            <w:r>
              <w:rPr>
                <w:rFonts w:hint="eastAsia" w:ascii="宋体" w:hAnsi="宋体" w:eastAsia="宋体" w:cs="宋体"/>
                <w:sz w:val="21"/>
                <w:szCs w:val="21"/>
              </w:rPr>
              <w:t xml:space="preserve">率达100% </w:t>
            </w:r>
            <w:r>
              <w:rPr>
                <w:rFonts w:hint="eastAsia" w:ascii="宋体" w:hAnsi="宋体" w:eastAsia="宋体" w:cs="宋体"/>
                <w:sz w:val="21"/>
                <w:szCs w:val="21"/>
                <w:lang w:val="en-US" w:eastAsia="zh-CN"/>
              </w:rPr>
              <w:t xml:space="preserve">           100%</w:t>
            </w:r>
          </w:p>
          <w:p>
            <w:pPr>
              <w:autoSpaceDE w:val="0"/>
              <w:autoSpaceDN w:val="0"/>
              <w:spacing w:line="360" w:lineRule="auto"/>
              <w:ind w:firstLine="420" w:firstLineChars="200"/>
              <w:rPr>
                <w:rFonts w:hint="eastAsia" w:ascii="宋体" w:hAnsi="宋体" w:eastAsia="宋体" w:cs="宋体"/>
                <w:sz w:val="21"/>
                <w:szCs w:val="21"/>
                <w:lang w:val="en-US"/>
              </w:rPr>
            </w:pPr>
            <w:r>
              <w:rPr>
                <w:rFonts w:hint="eastAsia" w:ascii="宋体" w:hAnsi="宋体" w:eastAsia="宋体" w:cs="宋体"/>
                <w:sz w:val="21"/>
                <w:szCs w:val="21"/>
                <w:lang w:val="en-US" w:eastAsia="zh-CN"/>
              </w:rPr>
              <w:t>环保资金落实率90%                     100%</w:t>
            </w:r>
          </w:p>
          <w:p>
            <w:pPr>
              <w:autoSpaceDE w:val="0"/>
              <w:autoSpaceDN w:val="0"/>
              <w:spacing w:line="360" w:lineRule="auto"/>
              <w:ind w:firstLine="630" w:firstLineChars="300"/>
              <w:rPr>
                <w:rFonts w:hint="eastAsia" w:ascii="宋体" w:hAnsi="宋体" w:eastAsia="宋体" w:cs="宋体"/>
                <w:sz w:val="21"/>
                <w:szCs w:val="21"/>
                <w:lang w:eastAsia="zh-CN"/>
              </w:rPr>
            </w:pPr>
            <w:r>
              <w:rPr>
                <w:rFonts w:hint="eastAsia" w:ascii="宋体" w:hAnsi="宋体" w:eastAsia="宋体" w:cs="宋体"/>
                <w:color w:val="auto"/>
                <w:sz w:val="21"/>
                <w:szCs w:val="21"/>
                <w:lang w:val="en-US" w:eastAsia="zh-CN"/>
              </w:rPr>
              <w:t>经2020.6.15日</w:t>
            </w:r>
            <w:r>
              <w:rPr>
                <w:rFonts w:hint="eastAsia" w:ascii="宋体" w:hAnsi="宋体" w:eastAsia="宋体" w:cs="宋体"/>
                <w:color w:val="auto"/>
                <w:sz w:val="21"/>
                <w:szCs w:val="21"/>
              </w:rPr>
              <w:t>考核</w:t>
            </w:r>
            <w:r>
              <w:rPr>
                <w:rFonts w:hint="eastAsia" w:ascii="宋体" w:hAnsi="宋体" w:eastAsia="宋体" w:cs="宋体"/>
                <w:color w:val="auto"/>
                <w:sz w:val="21"/>
                <w:szCs w:val="21"/>
                <w:lang w:val="en-US" w:eastAsia="zh-CN"/>
              </w:rPr>
              <w:t>均</w:t>
            </w:r>
            <w:r>
              <w:rPr>
                <w:rFonts w:hint="eastAsia" w:ascii="宋体" w:hAnsi="宋体" w:eastAsia="宋体" w:cs="宋体"/>
                <w:color w:val="auto"/>
                <w:sz w:val="21"/>
                <w:szCs w:val="21"/>
              </w:rPr>
              <w:t>已完成</w:t>
            </w:r>
            <w:r>
              <w:rPr>
                <w:rFonts w:hint="eastAsia" w:ascii="宋体" w:hAnsi="宋体" w:eastAsia="宋体" w:cs="宋体"/>
                <w:color w:val="auto"/>
                <w:sz w:val="21"/>
                <w:szCs w:val="21"/>
                <w:lang w:eastAsia="zh-CN"/>
              </w:rPr>
              <w:t>。</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人力资源、能力、意识</w:t>
            </w:r>
          </w:p>
        </w:tc>
        <w:tc>
          <w:tcPr>
            <w:tcW w:w="1276"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E7.2、7.3</w:t>
            </w:r>
          </w:p>
        </w:tc>
        <w:tc>
          <w:tcPr>
            <w:tcW w:w="10606"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企业配置了适宜的人员：如管理人员、技术人员、销售人员、生产操作工、检验人员、库管员等；人员配置基本满足日常管理体系运行要求。</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lang w:val="en-US" w:eastAsia="zh-CN"/>
              </w:rPr>
              <w:t>综合管理部</w:t>
            </w:r>
            <w:r>
              <w:rPr>
                <w:rFonts w:hint="eastAsia" w:ascii="宋体" w:hAnsi="宋体" w:eastAsia="宋体" w:cs="宋体"/>
                <w:sz w:val="21"/>
                <w:szCs w:val="21"/>
              </w:rPr>
              <w:t>对各岗位人员进行能力考核，根据结果采取措施，通常是采取培训方式。</w:t>
            </w:r>
          </w:p>
          <w:p>
            <w:pPr>
              <w:spacing w:line="360" w:lineRule="auto"/>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提供员工任职能力评价表，对28名员工在学历、培训经历、工作年限等方面进行评估，结果均为胜任。</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查到“20</w:t>
            </w:r>
            <w:r>
              <w:rPr>
                <w:rFonts w:hint="eastAsia" w:ascii="宋体" w:hAnsi="宋体" w:eastAsia="宋体" w:cs="宋体"/>
                <w:sz w:val="21"/>
                <w:szCs w:val="21"/>
                <w:lang w:val="en-US" w:eastAsia="zh-CN"/>
              </w:rPr>
              <w:t>20</w:t>
            </w:r>
            <w:r>
              <w:rPr>
                <w:rFonts w:hint="eastAsia" w:ascii="宋体" w:hAnsi="宋体" w:eastAsia="宋体" w:cs="宋体"/>
                <w:sz w:val="21"/>
                <w:szCs w:val="21"/>
              </w:rPr>
              <w:t>年度培训计划”，编制</w:t>
            </w:r>
            <w:r>
              <w:rPr>
                <w:rFonts w:hint="eastAsia" w:ascii="宋体" w:hAnsi="宋体" w:eastAsia="宋体" w:cs="宋体"/>
                <w:sz w:val="21"/>
                <w:szCs w:val="21"/>
                <w:lang w:val="en-US" w:eastAsia="zh-CN"/>
              </w:rPr>
              <w:t>曹勇杰</w:t>
            </w:r>
            <w:r>
              <w:rPr>
                <w:rFonts w:hint="eastAsia" w:ascii="宋体" w:hAnsi="宋体" w:eastAsia="宋体" w:cs="宋体"/>
                <w:sz w:val="21"/>
                <w:szCs w:val="21"/>
              </w:rPr>
              <w:t>，批准</w:t>
            </w:r>
            <w:r>
              <w:rPr>
                <w:rFonts w:hint="eastAsia" w:ascii="宋体" w:hAnsi="宋体" w:eastAsia="宋体" w:cs="宋体"/>
                <w:sz w:val="21"/>
                <w:szCs w:val="21"/>
                <w:lang w:val="en-US" w:eastAsia="zh-CN"/>
              </w:rPr>
              <w:t>赵晓伟</w:t>
            </w:r>
            <w:r>
              <w:rPr>
                <w:rFonts w:hint="eastAsia" w:ascii="宋体" w:hAnsi="宋体" w:eastAsia="宋体" w:cs="宋体"/>
                <w:sz w:val="21"/>
                <w:szCs w:val="21"/>
              </w:rPr>
              <w:t>，日期2019.</w:t>
            </w: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val="en-US" w:eastAsia="zh-CN"/>
              </w:rPr>
              <w:t>14</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查到：《培训记录</w:t>
            </w:r>
            <w:r>
              <w:rPr>
                <w:rFonts w:hint="eastAsia" w:ascii="宋体" w:hAnsi="宋体" w:eastAsia="宋体" w:cs="宋体"/>
                <w:sz w:val="21"/>
                <w:szCs w:val="21"/>
                <w:lang w:val="en-US" w:eastAsia="zh-CN"/>
              </w:rPr>
              <w:t>与考评</w:t>
            </w:r>
            <w:r>
              <w:rPr>
                <w:rFonts w:hint="eastAsia" w:ascii="宋体" w:hAnsi="宋体" w:eastAsia="宋体" w:cs="宋体"/>
                <w:sz w:val="21"/>
                <w:szCs w:val="21"/>
              </w:rPr>
              <w:t>表》，20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val="en-US" w:eastAsia="zh-CN"/>
              </w:rPr>
              <w:t>21</w:t>
            </w:r>
            <w:r>
              <w:rPr>
                <w:rFonts w:hint="eastAsia" w:ascii="宋体" w:hAnsi="宋体" w:eastAsia="宋体" w:cs="宋体"/>
                <w:sz w:val="21"/>
                <w:szCs w:val="21"/>
              </w:rPr>
              <w:t>日环境</w:t>
            </w:r>
            <w:r>
              <w:rPr>
                <w:rFonts w:hint="eastAsia" w:ascii="宋体" w:hAnsi="宋体" w:eastAsia="宋体" w:cs="宋体"/>
                <w:sz w:val="21"/>
                <w:szCs w:val="21"/>
                <w:lang w:val="en-US" w:eastAsia="zh-CN"/>
              </w:rPr>
              <w:t>管理体系标准</w:t>
            </w:r>
            <w:r>
              <w:rPr>
                <w:rFonts w:hint="eastAsia" w:ascii="宋体" w:hAnsi="宋体" w:eastAsia="宋体" w:cs="宋体"/>
                <w:sz w:val="21"/>
                <w:szCs w:val="21"/>
              </w:rPr>
              <w:t>培训，培训方式授课，有培训内容摘要，经现场讨论考核合格率100%</w:t>
            </w:r>
            <w:r>
              <w:rPr>
                <w:rFonts w:hint="eastAsia" w:ascii="宋体" w:hAnsi="宋体" w:eastAsia="宋体" w:cs="宋体"/>
                <w:sz w:val="21"/>
                <w:szCs w:val="21"/>
                <w:lang w:eastAsia="zh-CN"/>
              </w:rPr>
              <w:t>；</w:t>
            </w: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lang w:val="en-US" w:eastAsia="zh-CN"/>
              </w:rPr>
              <w:t>15</w:t>
            </w:r>
            <w:r>
              <w:rPr>
                <w:rFonts w:hint="eastAsia" w:ascii="宋体" w:hAnsi="宋体" w:eastAsia="宋体" w:cs="宋体"/>
                <w:sz w:val="21"/>
                <w:szCs w:val="21"/>
              </w:rPr>
              <w:t>日</w:t>
            </w:r>
            <w:r>
              <w:rPr>
                <w:rFonts w:hint="eastAsia" w:ascii="宋体" w:hAnsi="宋体" w:eastAsia="宋体" w:cs="宋体"/>
                <w:sz w:val="21"/>
                <w:szCs w:val="21"/>
                <w:lang w:val="en-US" w:eastAsia="zh-CN"/>
              </w:rPr>
              <w:t>目标指标及环境因素</w:t>
            </w:r>
            <w:r>
              <w:rPr>
                <w:rFonts w:hint="eastAsia" w:ascii="宋体" w:hAnsi="宋体" w:eastAsia="宋体" w:cs="宋体"/>
                <w:sz w:val="21"/>
                <w:szCs w:val="21"/>
              </w:rPr>
              <w:t>培训，培训方式授课，有培训内容摘要，经现场讨论考核合格率100%</w:t>
            </w:r>
            <w:r>
              <w:rPr>
                <w:rFonts w:hint="eastAsia" w:ascii="宋体" w:hAnsi="宋体" w:eastAsia="宋体" w:cs="宋体"/>
                <w:sz w:val="21"/>
                <w:szCs w:val="21"/>
                <w:lang w:eastAsia="zh-CN"/>
              </w:rPr>
              <w:t>；</w:t>
            </w: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日</w:t>
            </w:r>
            <w:r>
              <w:rPr>
                <w:rFonts w:hint="eastAsia" w:ascii="宋体" w:hAnsi="宋体" w:eastAsia="宋体" w:cs="宋体"/>
                <w:sz w:val="21"/>
                <w:szCs w:val="21"/>
                <w:lang w:val="en-US" w:eastAsia="zh-CN"/>
              </w:rPr>
              <w:t>环境运行管理制度</w:t>
            </w:r>
            <w:r>
              <w:rPr>
                <w:rFonts w:hint="eastAsia" w:ascii="宋体" w:hAnsi="宋体" w:eastAsia="宋体" w:cs="宋体"/>
                <w:sz w:val="21"/>
                <w:szCs w:val="21"/>
              </w:rPr>
              <w:t>培训，培训方式授课，有培训内容摘要，经现场讨论考核合格率100%。</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查特种作业人员：提供叉车工资格证，姓名</w:t>
            </w:r>
            <w:r>
              <w:rPr>
                <w:rFonts w:hint="eastAsia" w:ascii="宋体" w:hAnsi="宋体" w:eastAsia="宋体" w:cs="宋体"/>
                <w:sz w:val="21"/>
                <w:szCs w:val="21"/>
                <w:lang w:val="en-US" w:eastAsia="zh-CN"/>
              </w:rPr>
              <w:t>赵红国</w:t>
            </w:r>
            <w:r>
              <w:rPr>
                <w:rFonts w:hint="eastAsia" w:ascii="宋体" w:hAnsi="宋体" w:eastAsia="宋体" w:cs="宋体"/>
                <w:sz w:val="21"/>
                <w:szCs w:val="21"/>
              </w:rPr>
              <w:t>，证件编号</w:t>
            </w:r>
            <w:r>
              <w:rPr>
                <w:rFonts w:hint="eastAsia" w:ascii="宋体" w:hAnsi="宋体" w:eastAsia="宋体" w:cs="宋体"/>
                <w:sz w:val="21"/>
                <w:szCs w:val="21"/>
                <w:lang w:val="en-US" w:eastAsia="zh-CN"/>
              </w:rPr>
              <w:t>610321198003112111</w:t>
            </w:r>
            <w:r>
              <w:rPr>
                <w:rFonts w:hint="eastAsia" w:ascii="宋体" w:hAnsi="宋体" w:eastAsia="宋体" w:cs="宋体"/>
                <w:sz w:val="21"/>
                <w:szCs w:val="21"/>
              </w:rPr>
              <w:t>，有效期至20</w:t>
            </w:r>
            <w:r>
              <w:rPr>
                <w:rFonts w:hint="eastAsia" w:ascii="宋体" w:hAnsi="宋体" w:eastAsia="宋体" w:cs="宋体"/>
                <w:sz w:val="21"/>
                <w:szCs w:val="21"/>
                <w:lang w:val="en-US" w:eastAsia="zh-CN"/>
              </w:rPr>
              <w:t>23</w:t>
            </w: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宋体" w:hAnsi="宋体" w:eastAsia="宋体" w:cs="宋体"/>
                <w:sz w:val="21"/>
                <w:szCs w:val="21"/>
              </w:rPr>
              <w:t>，发证</w:t>
            </w:r>
            <w:r>
              <w:rPr>
                <w:rFonts w:hint="eastAsia" w:ascii="宋体" w:hAnsi="宋体" w:eastAsia="宋体" w:cs="宋体"/>
                <w:sz w:val="21"/>
                <w:szCs w:val="21"/>
                <w:lang w:val="en-US" w:eastAsia="zh-CN"/>
              </w:rPr>
              <w:t>宝鸡市市场监督管理总局</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w:t>
            </w:r>
            <w:r>
              <w:rPr>
                <w:rFonts w:hint="eastAsia" w:ascii="宋体" w:hAnsi="宋体" w:eastAsia="宋体" w:cs="宋体"/>
                <w:sz w:val="21"/>
                <w:szCs w:val="21"/>
                <w:lang w:val="en-US" w:eastAsia="zh-CN"/>
              </w:rPr>
              <w:t>非高危企业安全管理人员培训证书</w:t>
            </w:r>
            <w:r>
              <w:rPr>
                <w:rFonts w:hint="eastAsia" w:ascii="宋体" w:hAnsi="宋体" w:eastAsia="宋体" w:cs="宋体"/>
                <w:sz w:val="21"/>
                <w:szCs w:val="21"/>
              </w:rPr>
              <w:t>，姓名</w:t>
            </w:r>
            <w:r>
              <w:rPr>
                <w:rFonts w:hint="eastAsia" w:ascii="宋体" w:hAnsi="宋体" w:eastAsia="宋体" w:cs="宋体"/>
                <w:sz w:val="21"/>
                <w:szCs w:val="21"/>
                <w:lang w:val="en-US" w:eastAsia="zh-CN"/>
              </w:rPr>
              <w:t>赵晓伟</w:t>
            </w:r>
            <w:r>
              <w:rPr>
                <w:rFonts w:hint="eastAsia" w:ascii="宋体" w:hAnsi="宋体" w:eastAsia="宋体" w:cs="宋体"/>
                <w:sz w:val="21"/>
                <w:szCs w:val="21"/>
              </w:rPr>
              <w:t>，证件编号</w:t>
            </w:r>
            <w:r>
              <w:rPr>
                <w:rFonts w:hint="eastAsia" w:ascii="宋体" w:hAnsi="宋体" w:eastAsia="宋体" w:cs="宋体"/>
                <w:sz w:val="21"/>
                <w:szCs w:val="21"/>
                <w:lang w:val="en-US" w:eastAsia="zh-CN"/>
              </w:rPr>
              <w:t>610321198102272110</w:t>
            </w:r>
            <w:r>
              <w:rPr>
                <w:rFonts w:hint="eastAsia" w:ascii="宋体" w:hAnsi="宋体" w:eastAsia="宋体" w:cs="宋体"/>
                <w:sz w:val="21"/>
                <w:szCs w:val="21"/>
              </w:rPr>
              <w:t>，有效期至20</w:t>
            </w:r>
            <w:r>
              <w:rPr>
                <w:rFonts w:hint="eastAsia" w:ascii="宋体" w:hAnsi="宋体" w:eastAsia="宋体" w:cs="宋体"/>
                <w:sz w:val="21"/>
                <w:szCs w:val="21"/>
                <w:lang w:val="en-US" w:eastAsia="zh-CN"/>
              </w:rPr>
              <w:t>21</w:t>
            </w:r>
            <w:r>
              <w:rPr>
                <w:rFonts w:hint="eastAsia" w:ascii="宋体" w:hAnsi="宋体" w:eastAsia="宋体" w:cs="宋体"/>
                <w:sz w:val="21"/>
                <w:szCs w:val="21"/>
              </w:rPr>
              <w:t>.</w:t>
            </w:r>
            <w:r>
              <w:rPr>
                <w:rFonts w:hint="eastAsia" w:ascii="宋体" w:hAnsi="宋体" w:eastAsia="宋体" w:cs="宋体"/>
                <w:sz w:val="21"/>
                <w:szCs w:val="21"/>
                <w:lang w:val="en-US" w:eastAsia="zh-CN"/>
              </w:rPr>
              <w:t>9</w:t>
            </w:r>
            <w:r>
              <w:rPr>
                <w:rFonts w:hint="eastAsia" w:ascii="宋体" w:hAnsi="宋体" w:eastAsia="宋体" w:cs="宋体"/>
                <w:sz w:val="21"/>
                <w:szCs w:val="21"/>
              </w:rPr>
              <w:t>.2</w:t>
            </w:r>
            <w:r>
              <w:rPr>
                <w:rFonts w:hint="eastAsia" w:ascii="宋体" w:hAnsi="宋体" w:eastAsia="宋体" w:cs="宋体"/>
                <w:sz w:val="21"/>
                <w:szCs w:val="21"/>
                <w:lang w:val="en-US" w:eastAsia="zh-CN"/>
              </w:rPr>
              <w:t>6</w:t>
            </w:r>
            <w:r>
              <w:rPr>
                <w:rFonts w:hint="eastAsia" w:ascii="宋体" w:hAnsi="宋体" w:eastAsia="宋体" w:cs="宋体"/>
                <w:sz w:val="21"/>
                <w:szCs w:val="21"/>
              </w:rPr>
              <w:t>日，发证机关</w:t>
            </w:r>
            <w:r>
              <w:rPr>
                <w:rFonts w:hint="eastAsia" w:ascii="宋体" w:hAnsi="宋体" w:eastAsia="宋体" w:cs="宋体"/>
                <w:sz w:val="21"/>
                <w:szCs w:val="21"/>
                <w:lang w:val="en-US" w:eastAsia="zh-CN"/>
              </w:rPr>
              <w:t>宝鸡</w:t>
            </w:r>
            <w:r>
              <w:rPr>
                <w:rFonts w:hint="eastAsia" w:ascii="宋体" w:hAnsi="宋体" w:eastAsia="宋体" w:cs="宋体"/>
                <w:sz w:val="21"/>
                <w:szCs w:val="21"/>
              </w:rPr>
              <w:t>安监局。</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w:t>
            </w:r>
            <w:r>
              <w:rPr>
                <w:rFonts w:hint="eastAsia" w:ascii="宋体" w:hAnsi="宋体" w:eastAsia="宋体" w:cs="宋体"/>
                <w:sz w:val="21"/>
                <w:szCs w:val="21"/>
                <w:lang w:val="en-US" w:eastAsia="zh-CN"/>
              </w:rPr>
              <w:t>非高危企业安全管理人员培训证书</w:t>
            </w:r>
            <w:r>
              <w:rPr>
                <w:rFonts w:hint="eastAsia" w:ascii="宋体" w:hAnsi="宋体" w:eastAsia="宋体" w:cs="宋体"/>
                <w:sz w:val="21"/>
                <w:szCs w:val="21"/>
              </w:rPr>
              <w:t>，姓名</w:t>
            </w:r>
            <w:r>
              <w:rPr>
                <w:rFonts w:hint="eastAsia" w:ascii="宋体" w:hAnsi="宋体" w:eastAsia="宋体" w:cs="宋体"/>
                <w:sz w:val="21"/>
                <w:szCs w:val="21"/>
                <w:lang w:val="en-US" w:eastAsia="zh-CN"/>
              </w:rPr>
              <w:t>赵宝国</w:t>
            </w:r>
            <w:r>
              <w:rPr>
                <w:rFonts w:hint="eastAsia" w:ascii="宋体" w:hAnsi="宋体" w:eastAsia="宋体" w:cs="宋体"/>
                <w:sz w:val="21"/>
                <w:szCs w:val="21"/>
              </w:rPr>
              <w:t>，证件编号</w:t>
            </w:r>
            <w:r>
              <w:rPr>
                <w:rFonts w:hint="eastAsia" w:ascii="宋体" w:hAnsi="宋体" w:eastAsia="宋体" w:cs="宋体"/>
                <w:sz w:val="21"/>
                <w:szCs w:val="21"/>
                <w:lang w:val="en-US" w:eastAsia="zh-CN"/>
              </w:rPr>
              <w:t>610321197704222116</w:t>
            </w:r>
            <w:r>
              <w:rPr>
                <w:rFonts w:hint="eastAsia" w:ascii="宋体" w:hAnsi="宋体" w:eastAsia="宋体" w:cs="宋体"/>
                <w:sz w:val="21"/>
                <w:szCs w:val="21"/>
              </w:rPr>
              <w:t>，有效期至20</w:t>
            </w:r>
            <w:r>
              <w:rPr>
                <w:rFonts w:hint="eastAsia" w:ascii="宋体" w:hAnsi="宋体" w:eastAsia="宋体" w:cs="宋体"/>
                <w:sz w:val="21"/>
                <w:szCs w:val="21"/>
                <w:lang w:val="en-US" w:eastAsia="zh-CN"/>
              </w:rPr>
              <w:t>21</w:t>
            </w:r>
            <w:r>
              <w:rPr>
                <w:rFonts w:hint="eastAsia" w:ascii="宋体" w:hAnsi="宋体" w:eastAsia="宋体" w:cs="宋体"/>
                <w:sz w:val="21"/>
                <w:szCs w:val="21"/>
              </w:rPr>
              <w:t>.</w:t>
            </w:r>
            <w:r>
              <w:rPr>
                <w:rFonts w:hint="eastAsia" w:ascii="宋体" w:hAnsi="宋体" w:eastAsia="宋体" w:cs="宋体"/>
                <w:sz w:val="21"/>
                <w:szCs w:val="21"/>
                <w:lang w:val="en-US" w:eastAsia="zh-CN"/>
              </w:rPr>
              <w:t>9</w:t>
            </w:r>
            <w:r>
              <w:rPr>
                <w:rFonts w:hint="eastAsia" w:ascii="宋体" w:hAnsi="宋体" w:eastAsia="宋体" w:cs="宋体"/>
                <w:sz w:val="21"/>
                <w:szCs w:val="21"/>
              </w:rPr>
              <w:t>.2</w:t>
            </w:r>
            <w:r>
              <w:rPr>
                <w:rFonts w:hint="eastAsia" w:ascii="宋体" w:hAnsi="宋体" w:eastAsia="宋体" w:cs="宋体"/>
                <w:sz w:val="21"/>
                <w:szCs w:val="21"/>
                <w:lang w:val="en-US" w:eastAsia="zh-CN"/>
              </w:rPr>
              <w:t>6</w:t>
            </w:r>
            <w:r>
              <w:rPr>
                <w:rFonts w:hint="eastAsia" w:ascii="宋体" w:hAnsi="宋体" w:eastAsia="宋体" w:cs="宋体"/>
                <w:sz w:val="21"/>
                <w:szCs w:val="21"/>
              </w:rPr>
              <w:t>日，发证机关</w:t>
            </w:r>
            <w:r>
              <w:rPr>
                <w:rFonts w:hint="eastAsia" w:ascii="宋体" w:hAnsi="宋体" w:eastAsia="宋体" w:cs="宋体"/>
                <w:sz w:val="21"/>
                <w:szCs w:val="21"/>
                <w:lang w:val="en-US" w:eastAsia="zh-CN"/>
              </w:rPr>
              <w:t>宝鸡</w:t>
            </w:r>
            <w:r>
              <w:rPr>
                <w:rFonts w:hint="eastAsia" w:ascii="宋体" w:hAnsi="宋体" w:eastAsia="宋体" w:cs="宋体"/>
                <w:sz w:val="21"/>
                <w:szCs w:val="21"/>
              </w:rPr>
              <w:t>安监局。</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企业已对人力资源的管理、控制进行了策划，并已实施控制，针对体系知识的系统深入学习进行了现场交流。</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形成文件的信息</w:t>
            </w:r>
          </w:p>
        </w:tc>
        <w:tc>
          <w:tcPr>
            <w:tcW w:w="1276"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7.5</w:t>
            </w:r>
          </w:p>
        </w:tc>
        <w:tc>
          <w:tcPr>
            <w:tcW w:w="10606" w:type="dxa"/>
          </w:tcPr>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组织策划的体系文件主要包括：《管理手册》，版本：A/0；《环境管理体系程序文件》版本：A/0，有作业指导书及检验规程，以及相关运行记录等。以上文件编制人：</w:t>
            </w:r>
            <w:r>
              <w:rPr>
                <w:rFonts w:hint="eastAsia" w:ascii="宋体" w:hAnsi="宋体" w:eastAsia="宋体" w:cs="宋体"/>
                <w:sz w:val="21"/>
                <w:szCs w:val="21"/>
                <w:lang w:val="en-US" w:eastAsia="zh-CN"/>
              </w:rPr>
              <w:t>综合管理部</w:t>
            </w:r>
            <w:r>
              <w:rPr>
                <w:rFonts w:hint="eastAsia" w:ascii="宋体" w:hAnsi="宋体" w:eastAsia="宋体" w:cs="宋体"/>
                <w:sz w:val="21"/>
                <w:szCs w:val="21"/>
              </w:rPr>
              <w:t>，审核人：</w:t>
            </w:r>
            <w:r>
              <w:rPr>
                <w:rFonts w:hint="eastAsia" w:ascii="宋体" w:hAnsi="宋体" w:eastAsia="宋体" w:cs="宋体"/>
                <w:sz w:val="21"/>
                <w:szCs w:val="21"/>
                <w:lang w:val="en-US" w:eastAsia="zh-CN"/>
              </w:rPr>
              <w:t>曹勇杰</w:t>
            </w:r>
            <w:r>
              <w:rPr>
                <w:rFonts w:hint="eastAsia" w:ascii="宋体" w:hAnsi="宋体" w:eastAsia="宋体" w:cs="宋体"/>
                <w:sz w:val="21"/>
                <w:szCs w:val="21"/>
              </w:rPr>
              <w:t>，批准人：</w:t>
            </w:r>
            <w:r>
              <w:rPr>
                <w:rFonts w:hint="eastAsia" w:ascii="宋体" w:hAnsi="宋体" w:eastAsia="宋体" w:cs="宋体"/>
                <w:sz w:val="21"/>
                <w:szCs w:val="21"/>
                <w:lang w:val="en-US" w:eastAsia="zh-CN"/>
              </w:rPr>
              <w:t>赵晓伟</w:t>
            </w:r>
            <w:r>
              <w:rPr>
                <w:rFonts w:hint="eastAsia" w:ascii="宋体" w:hAnsi="宋体" w:eastAsia="宋体" w:cs="宋体"/>
                <w:sz w:val="21"/>
                <w:szCs w:val="21"/>
              </w:rPr>
              <w:t>，发布实施日期2019年</w:t>
            </w:r>
            <w:r>
              <w:rPr>
                <w:rFonts w:hint="eastAsia" w:ascii="宋体" w:hAnsi="宋体" w:eastAsia="宋体" w:cs="宋体"/>
                <w:sz w:val="21"/>
                <w:szCs w:val="21"/>
                <w:lang w:val="en-US" w:eastAsia="zh-CN"/>
              </w:rPr>
              <w:t>6</w:t>
            </w:r>
            <w:r>
              <w:rPr>
                <w:rFonts w:hint="eastAsia" w:ascii="宋体" w:hAnsi="宋体" w:eastAsia="宋体" w:cs="宋体"/>
                <w:sz w:val="21"/>
                <w:szCs w:val="21"/>
              </w:rPr>
              <w:t>月1日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体系运行一年多，未曾更改。</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查见《外来、受控清单》，登录有手册、程序、管理规定、生产现场管理制度、组装作业指导书等受控文件，包含了体系要求的成文信息，文件规定基本符合组织实际，满足标准要求。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查文件发放情况：</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提供了《文件发放/回收记录》，所有文件均由</w:t>
            </w:r>
            <w:r>
              <w:rPr>
                <w:rFonts w:hint="eastAsia" w:ascii="宋体" w:hAnsi="宋体" w:eastAsia="宋体" w:cs="宋体"/>
                <w:sz w:val="21"/>
                <w:szCs w:val="21"/>
                <w:lang w:val="en-US" w:eastAsia="zh-CN"/>
              </w:rPr>
              <w:t>综合管理</w:t>
            </w:r>
            <w:r>
              <w:rPr>
                <w:rFonts w:hint="eastAsia" w:ascii="宋体" w:hAnsi="宋体" w:eastAsia="宋体" w:cs="宋体"/>
                <w:sz w:val="21"/>
                <w:szCs w:val="21"/>
              </w:rPr>
              <w:t>发放，录有管理手册、程序、作业文件及标准、法律法规等外来文件。显示文件发放均有文件名称、编号、分发号、版本，发放/回收日期等。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查外来文件管理：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公司对外来文件及法律法规进行了收集、识别、分发、控制。外来文件采用了统一保管、借阅使用的方法进行控制。由</w:t>
            </w:r>
            <w:r>
              <w:rPr>
                <w:rFonts w:hint="eastAsia" w:ascii="宋体" w:hAnsi="宋体" w:eastAsia="宋体" w:cs="宋体"/>
                <w:sz w:val="21"/>
                <w:szCs w:val="21"/>
                <w:lang w:val="en-US" w:eastAsia="zh-CN"/>
              </w:rPr>
              <w:t>综合管理部</w:t>
            </w:r>
            <w:r>
              <w:rPr>
                <w:rFonts w:hint="eastAsia" w:ascii="宋体" w:hAnsi="宋体" w:eastAsia="宋体" w:cs="宋体"/>
                <w:sz w:val="21"/>
                <w:szCs w:val="21"/>
              </w:rPr>
              <w:t>负责通过到主管部门、网上收集、标准发布部门进行购买，并对外来文件的识别、跟踪、控制。查到：《法律法规清单》，有：</w:t>
            </w:r>
            <w:r>
              <w:rPr>
                <w:rFonts w:hint="eastAsia" w:ascii="宋体" w:hAnsi="宋体" w:eastAsia="宋体" w:cs="宋体"/>
                <w:sz w:val="21"/>
                <w:szCs w:val="21"/>
                <w:u w:val="none"/>
              </w:rPr>
              <w:t>环保法、消防法、节约能源法、危险废物贮存污染控制标准</w:t>
            </w:r>
            <w:r>
              <w:rPr>
                <w:rFonts w:hint="eastAsia" w:ascii="宋体" w:hAnsi="宋体" w:eastAsia="宋体" w:cs="宋体"/>
                <w:sz w:val="21"/>
                <w:szCs w:val="21"/>
              </w:rPr>
              <w:t>等法律法规和执行标准，外来文件管理符合要求。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查作废文件控制：体系文件运行以来文件未修改修订。</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现场查阅了记录：《采购计划》、《应急预案演练记录》、《内审报告》、《环境、安全检查记录》等体系运行记录，记录比较完整，内容规范全面，字迹清楚，有填表人、检查人等信息，易于检索，符合要求。</w:t>
            </w:r>
          </w:p>
          <w:p>
            <w:pPr>
              <w:spacing w:line="360" w:lineRule="auto"/>
              <w:rPr>
                <w:rFonts w:hint="eastAsia" w:ascii="宋体" w:hAnsi="宋体" w:eastAsia="宋体" w:cs="宋体"/>
                <w:sz w:val="21"/>
                <w:szCs w:val="21"/>
              </w:rPr>
            </w:pPr>
            <w:r>
              <w:rPr>
                <w:rFonts w:hint="eastAsia" w:ascii="宋体" w:hAnsi="宋体" w:eastAsia="宋体" w:cs="宋体"/>
                <w:sz w:val="21"/>
                <w:szCs w:val="21"/>
              </w:rPr>
              <w:t>　 现场察看记录存放处：各类记录分类存放，部门用记录由相关部门保管，置于文件夹或档案盒（袋）内，统一放置于文件资料柜中，干燥、通风、容易查询，记录保存方式和地点基本可以满足企业现有的体系运行需求。</w:t>
            </w:r>
          </w:p>
          <w:p>
            <w:pPr>
              <w:spacing w:line="360" w:lineRule="auto"/>
              <w:rPr>
                <w:rFonts w:hint="eastAsia" w:ascii="宋体" w:hAnsi="宋体" w:eastAsia="宋体" w:cs="宋体"/>
                <w:sz w:val="21"/>
                <w:szCs w:val="21"/>
              </w:rPr>
            </w:pPr>
            <w:r>
              <w:rPr>
                <w:rFonts w:hint="eastAsia" w:ascii="宋体" w:hAnsi="宋体" w:eastAsia="宋体" w:cs="宋体"/>
                <w:sz w:val="21"/>
                <w:szCs w:val="21"/>
              </w:rPr>
              <w:t>　　经了解，目前作废文件已销毁，由</w:t>
            </w:r>
            <w:r>
              <w:rPr>
                <w:rFonts w:hint="eastAsia" w:ascii="宋体" w:hAnsi="宋体" w:eastAsia="宋体" w:cs="宋体"/>
                <w:sz w:val="21"/>
                <w:szCs w:val="21"/>
                <w:lang w:val="en-US" w:eastAsia="zh-CN"/>
              </w:rPr>
              <w:t>综合管理部</w:t>
            </w:r>
            <w:r>
              <w:rPr>
                <w:rFonts w:hint="eastAsia" w:ascii="宋体" w:hAnsi="宋体" w:eastAsia="宋体" w:cs="宋体"/>
                <w:sz w:val="21"/>
                <w:szCs w:val="21"/>
              </w:rPr>
              <w:t>统一处理。</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总体来说，公司文件化信息控制基本有效。</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42" w:type="dxa"/>
            <w:vAlign w:val="center"/>
          </w:tcPr>
          <w:p>
            <w:pPr>
              <w:spacing w:line="360" w:lineRule="auto"/>
              <w:rPr>
                <w:rFonts w:hint="eastAsia" w:ascii="宋体" w:hAnsi="宋体" w:eastAsia="宋体" w:cs="宋体"/>
                <w:b/>
                <w:sz w:val="21"/>
                <w:szCs w:val="21"/>
              </w:rPr>
            </w:pPr>
            <w:r>
              <w:rPr>
                <w:rFonts w:hint="eastAsia" w:ascii="宋体" w:hAnsi="宋体" w:eastAsia="宋体" w:cs="宋体"/>
                <w:sz w:val="21"/>
                <w:szCs w:val="21"/>
              </w:rPr>
              <w:t>环境因素</w:t>
            </w:r>
          </w:p>
        </w:tc>
        <w:tc>
          <w:tcPr>
            <w:tcW w:w="1276" w:type="dxa"/>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sz w:val="21"/>
                <w:szCs w:val="21"/>
              </w:rPr>
            </w:pPr>
            <w:r>
              <w:rPr>
                <w:rFonts w:hint="eastAsia" w:ascii="宋体" w:hAnsi="宋体" w:eastAsia="宋体" w:cs="宋体"/>
                <w:bCs/>
                <w:sz w:val="21"/>
                <w:szCs w:val="21"/>
              </w:rPr>
              <w:t>E：</w:t>
            </w:r>
            <w:r>
              <w:rPr>
                <w:rFonts w:hint="eastAsia" w:ascii="宋体" w:hAnsi="宋体" w:eastAsia="宋体" w:cs="宋体"/>
                <w:sz w:val="21"/>
                <w:szCs w:val="21"/>
              </w:rPr>
              <w:t xml:space="preserve">6.1.2 </w:t>
            </w:r>
          </w:p>
          <w:p>
            <w:pPr>
              <w:spacing w:line="360" w:lineRule="auto"/>
              <w:rPr>
                <w:rFonts w:hint="eastAsia" w:ascii="宋体" w:hAnsi="宋体" w:eastAsia="宋体" w:cs="宋体"/>
                <w:sz w:val="21"/>
                <w:szCs w:val="21"/>
              </w:rPr>
            </w:pPr>
          </w:p>
        </w:tc>
        <w:tc>
          <w:tcPr>
            <w:tcW w:w="10606"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lang w:val="en-US" w:eastAsia="zh-CN"/>
              </w:rPr>
              <w:t>综合管理部</w:t>
            </w:r>
            <w:r>
              <w:rPr>
                <w:rFonts w:hint="eastAsia" w:ascii="宋体" w:hAnsi="宋体" w:eastAsia="宋体" w:cs="宋体"/>
                <w:bCs/>
                <w:sz w:val="21"/>
                <w:szCs w:val="21"/>
              </w:rPr>
              <w:t>作为环境管理体系的推进</w:t>
            </w:r>
            <w:r>
              <w:rPr>
                <w:rFonts w:hint="eastAsia" w:ascii="宋体" w:hAnsi="宋体" w:eastAsia="宋体" w:cs="宋体"/>
                <w:sz w:val="21"/>
                <w:szCs w:val="21"/>
              </w:rPr>
              <w:t>部门，主要统筹负责识别评价相关的环境因素。根据各部门识别及各办公、采购、生产、质检、销售过程环节识别，由</w:t>
            </w:r>
            <w:r>
              <w:rPr>
                <w:rFonts w:hint="eastAsia" w:ascii="宋体" w:hAnsi="宋体" w:eastAsia="宋体" w:cs="宋体"/>
                <w:sz w:val="21"/>
                <w:szCs w:val="21"/>
                <w:lang w:val="en-US" w:eastAsia="zh-CN"/>
              </w:rPr>
              <w:t>行政部</w:t>
            </w:r>
            <w:r>
              <w:rPr>
                <w:rFonts w:hint="eastAsia" w:ascii="宋体" w:hAnsi="宋体" w:eastAsia="宋体" w:cs="宋体"/>
                <w:sz w:val="21"/>
                <w:szCs w:val="21"/>
              </w:rPr>
              <w:t>汇总。</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环境因素登记及评价表”，识别考虑了正常、异常、紧急，过去、现在、未来三种时态，能考虑到产品生命周期观点。涉及办公室的环境因素有办公活动中生活垃圾排放、纸张等办公废品排放、废水排放、空调排放热气、汽车尾气排放、火灾事故发生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采取多因子评价法进行了评价，查到“重要环境因素清单”，评价出固体废弃物排放、火灾事故的发生、</w:t>
            </w:r>
            <w:r>
              <w:rPr>
                <w:rFonts w:hint="eastAsia" w:ascii="宋体" w:hAnsi="宋体" w:eastAsia="宋体" w:cs="宋体"/>
                <w:sz w:val="21"/>
                <w:szCs w:val="21"/>
                <w:lang w:val="en-US" w:eastAsia="zh-CN"/>
              </w:rPr>
              <w:t>电能消耗、资源消耗</w:t>
            </w:r>
            <w:r>
              <w:rPr>
                <w:rFonts w:hint="eastAsia" w:ascii="宋体" w:hAnsi="宋体" w:eastAsia="宋体" w:cs="宋体"/>
                <w:sz w:val="21"/>
                <w:szCs w:val="21"/>
              </w:rPr>
              <w:t>4项重要环境因素。</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经评价</w:t>
            </w:r>
            <w:r>
              <w:rPr>
                <w:rFonts w:hint="eastAsia" w:ascii="宋体" w:hAnsi="宋体" w:eastAsia="宋体" w:cs="宋体"/>
                <w:sz w:val="21"/>
                <w:szCs w:val="21"/>
                <w:lang w:val="en-US" w:eastAsia="zh-CN"/>
              </w:rPr>
              <w:t>行政部</w:t>
            </w:r>
            <w:r>
              <w:rPr>
                <w:rFonts w:hint="eastAsia" w:ascii="宋体" w:hAnsi="宋体" w:eastAsia="宋体" w:cs="宋体"/>
                <w:sz w:val="21"/>
                <w:szCs w:val="21"/>
              </w:rPr>
              <w:t>的重要环境因素为：日常办公过程中固体废弃物排放、火灾事故的发生。</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主要控制措施：生活垃圾分类存放、办公危废交耗材供应公司，垃圾由环卫部门拉走，加强日常培训，日常检查，配备消防器材等措施。</w:t>
            </w:r>
          </w:p>
          <w:p>
            <w:pPr>
              <w:spacing w:line="360" w:lineRule="auto"/>
              <w:rPr>
                <w:rFonts w:hint="eastAsia" w:ascii="宋体" w:hAnsi="宋体" w:eastAsia="宋体" w:cs="宋体"/>
                <w:sz w:val="21"/>
                <w:szCs w:val="21"/>
              </w:rPr>
            </w:pPr>
            <w:r>
              <w:rPr>
                <w:rFonts w:hint="eastAsia" w:ascii="宋体" w:hAnsi="宋体" w:eastAsia="宋体" w:cs="宋体"/>
                <w:sz w:val="21"/>
                <w:szCs w:val="21"/>
              </w:rPr>
              <w:t>具体控制措施见E8.1审核记录。</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42"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合规义务、法律法规和其他要求</w:t>
            </w:r>
          </w:p>
        </w:tc>
        <w:tc>
          <w:tcPr>
            <w:tcW w:w="127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E6.1.3 </w:t>
            </w:r>
          </w:p>
        </w:tc>
        <w:tc>
          <w:tcPr>
            <w:tcW w:w="10606"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编制了《法律法规和其他要求控制程序》，对法律法规的识别更新和应用进行规定，</w:t>
            </w:r>
            <w:r>
              <w:rPr>
                <w:rFonts w:hint="eastAsia" w:ascii="宋体" w:hAnsi="宋体" w:eastAsia="宋体" w:cs="宋体"/>
                <w:sz w:val="21"/>
                <w:szCs w:val="21"/>
                <w:lang w:val="en-US" w:eastAsia="zh-CN"/>
              </w:rPr>
              <w:t>行政部</w:t>
            </w:r>
            <w:r>
              <w:rPr>
                <w:rFonts w:hint="eastAsia" w:ascii="宋体" w:hAnsi="宋体" w:eastAsia="宋体" w:cs="宋体"/>
                <w:sz w:val="21"/>
                <w:szCs w:val="21"/>
              </w:rPr>
              <w:t>为主控部门。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部门人员介绍：主要通过网络、报纸杂志电视等新闻媒体、购买、上级下发等多种形式收集本公司适用的法律法规。提供了《适用的法律法规及其他要求一览表》，识别了企业相关环境法律法规、标准和其他要求。如《中华人民共和国环境影响评价法》、《中华人民共和国环境噪声污染防治法》、《中华人民共和国消防法》、《中华人民共和国大气污染防治法》、《国家危险废物名录》、《城市生活垃圾管理办法》、《</w:t>
            </w:r>
            <w:r>
              <w:rPr>
                <w:rFonts w:hint="eastAsia" w:ascii="宋体" w:hAnsi="宋体" w:eastAsia="宋体" w:cs="宋体"/>
                <w:sz w:val="21"/>
                <w:szCs w:val="21"/>
                <w:lang w:val="en-US" w:eastAsia="zh-CN"/>
              </w:rPr>
              <w:t>宝鸡</w:t>
            </w:r>
            <w:r>
              <w:rPr>
                <w:rFonts w:hint="eastAsia" w:ascii="宋体" w:hAnsi="宋体" w:eastAsia="宋体" w:cs="宋体"/>
                <w:sz w:val="21"/>
                <w:szCs w:val="21"/>
              </w:rPr>
              <w:t>市建设工程消防管理规定》、《</w:t>
            </w:r>
            <w:r>
              <w:rPr>
                <w:rFonts w:hint="eastAsia" w:ascii="宋体" w:hAnsi="宋体" w:eastAsia="宋体" w:cs="宋体"/>
                <w:sz w:val="21"/>
                <w:szCs w:val="21"/>
                <w:lang w:val="en-US" w:eastAsia="zh-CN"/>
              </w:rPr>
              <w:t>陕西</w:t>
            </w:r>
            <w:r>
              <w:rPr>
                <w:rFonts w:hint="eastAsia" w:ascii="宋体" w:hAnsi="宋体" w:eastAsia="宋体" w:cs="宋体"/>
                <w:sz w:val="21"/>
                <w:szCs w:val="21"/>
              </w:rPr>
              <w:t>省大气污染防治条例》等。</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已识别法律法规及其它要求的适用条款，并与环境因素进行了对应。</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公司法律、法规及其它要求都有现行文本，大部分为电子版本。各部门如有需要到</w:t>
            </w:r>
            <w:r>
              <w:rPr>
                <w:rFonts w:hint="eastAsia" w:ascii="宋体" w:hAnsi="宋体" w:eastAsia="宋体" w:cs="宋体"/>
                <w:sz w:val="21"/>
                <w:szCs w:val="21"/>
                <w:lang w:val="en-US" w:eastAsia="zh-CN"/>
              </w:rPr>
              <w:t>行政部</w:t>
            </w:r>
            <w:r>
              <w:rPr>
                <w:rFonts w:hint="eastAsia" w:ascii="宋体" w:hAnsi="宋体" w:eastAsia="宋体" w:cs="宋体"/>
                <w:sz w:val="21"/>
                <w:szCs w:val="21"/>
              </w:rPr>
              <w:t>查阅。公司通过培训、会议等方式向有关员工传达法律、法规及其它要求的相关要求。</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措施的策划</w:t>
            </w:r>
          </w:p>
        </w:tc>
        <w:tc>
          <w:tcPr>
            <w:tcW w:w="127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E6.1.4</w:t>
            </w:r>
          </w:p>
        </w:tc>
        <w:tc>
          <w:tcPr>
            <w:tcW w:w="10606"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根据环境因素和危险源的风险辨识结果，分别制定出《重要环境因素清单》，清单内明确了控制措施计划，通过具体的措施进行有效控制：目标、管理方案、管理制度运行控制、应急预案、日常检查、日常培训。</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每年对公司适用的合规义务进行识别更新并定期评价、检查。</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经组织评价，组织策划的措施基本能够满足风险和机遇应对需要，能够与识别的风险和机遇对产品符合性的潜在影响相适应，基本满足标准要求。</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合规性评价</w:t>
            </w:r>
          </w:p>
        </w:tc>
        <w:tc>
          <w:tcPr>
            <w:tcW w:w="1276" w:type="dxa"/>
            <w:vAlign w:val="center"/>
          </w:tcPr>
          <w:p>
            <w:pPr>
              <w:spacing w:line="360" w:lineRule="auto"/>
              <w:rPr>
                <w:rFonts w:hint="eastAsia" w:ascii="宋体" w:hAnsi="宋体" w:eastAsia="宋体" w:cs="宋体"/>
                <w:bCs/>
                <w:sz w:val="21"/>
                <w:szCs w:val="21"/>
              </w:rPr>
            </w:pPr>
            <w:r>
              <w:rPr>
                <w:rFonts w:hint="eastAsia" w:ascii="宋体" w:hAnsi="宋体" w:eastAsia="宋体" w:cs="宋体"/>
                <w:sz w:val="21"/>
                <w:szCs w:val="21"/>
              </w:rPr>
              <w:t>E:9.1.2</w:t>
            </w:r>
            <w:r>
              <w:rPr>
                <w:rFonts w:hint="eastAsia" w:ascii="宋体" w:hAnsi="宋体" w:eastAsia="宋体" w:cs="宋体"/>
                <w:bCs/>
                <w:sz w:val="21"/>
                <w:szCs w:val="21"/>
              </w:rPr>
              <w:t xml:space="preserve"> </w:t>
            </w:r>
          </w:p>
        </w:tc>
        <w:tc>
          <w:tcPr>
            <w:tcW w:w="10606" w:type="dxa"/>
            <w:vAlign w:val="center"/>
          </w:tcPr>
          <w:p>
            <w:pPr>
              <w:snapToGrid w:val="0"/>
              <w:spacing w:line="360" w:lineRule="auto"/>
              <w:ind w:right="392" w:firstLine="420" w:firstLineChars="200"/>
              <w:rPr>
                <w:rFonts w:hint="eastAsia" w:ascii="宋体" w:hAnsi="宋体" w:eastAsia="宋体" w:cs="宋体"/>
                <w:sz w:val="21"/>
                <w:szCs w:val="21"/>
              </w:rPr>
            </w:pPr>
            <w:r>
              <w:rPr>
                <w:rFonts w:hint="eastAsia" w:ascii="宋体" w:hAnsi="宋体" w:eastAsia="宋体" w:cs="宋体"/>
                <w:sz w:val="21"/>
                <w:szCs w:val="21"/>
              </w:rPr>
              <w:t>编制了《合规性评价程序》，其中规定了对本公司法规及其他要求的合规性评价的要求。</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现场提供了《法律、法规和其他要求符合性评价记录》、《合规性评价报告》,对公司适用的法律法规及其他要求的遵守情况进行了评价，评价结论：评价结果说明我公司对适用的法律、法规均已遵守。自公司建立管理体系以来，未发生任何破坏环境的现象；未发生任何顾客、周边居民因环境事故而投诉的现象。</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评价人：</w:t>
            </w:r>
            <w:r>
              <w:rPr>
                <w:rFonts w:hint="eastAsia" w:ascii="宋体" w:hAnsi="宋体" w:eastAsia="宋体" w:cs="宋体"/>
                <w:sz w:val="21"/>
                <w:szCs w:val="21"/>
                <w:lang w:val="en-US" w:eastAsia="zh-CN"/>
              </w:rPr>
              <w:t>赵晓伟、闫高强、曹勇杰、赵利峰、许侃祥、赵国宝</w:t>
            </w:r>
            <w:r>
              <w:rPr>
                <w:rFonts w:hint="eastAsia" w:ascii="宋体" w:hAnsi="宋体" w:eastAsia="宋体" w:cs="宋体"/>
                <w:sz w:val="21"/>
                <w:szCs w:val="21"/>
              </w:rPr>
              <w:t>，</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评价日期：20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1</w:t>
            </w:r>
            <w:r>
              <w:rPr>
                <w:rFonts w:hint="eastAsia" w:ascii="宋体" w:hAnsi="宋体" w:eastAsia="宋体" w:cs="宋体"/>
                <w:sz w:val="21"/>
                <w:szCs w:val="21"/>
              </w:rPr>
              <w:t>月</w:t>
            </w:r>
            <w:r>
              <w:rPr>
                <w:rFonts w:hint="eastAsia" w:ascii="宋体" w:hAnsi="宋体" w:eastAsia="宋体" w:cs="宋体"/>
                <w:sz w:val="21"/>
                <w:szCs w:val="21"/>
                <w:lang w:val="en-US" w:eastAsia="zh-CN"/>
              </w:rPr>
              <w:t>25</w:t>
            </w:r>
            <w:r>
              <w:rPr>
                <w:rFonts w:hint="eastAsia" w:ascii="宋体" w:hAnsi="宋体" w:eastAsia="宋体" w:cs="宋体"/>
                <w:sz w:val="21"/>
                <w:szCs w:val="21"/>
              </w:rPr>
              <w:t>日。</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部门已对有关法规及其他要求进行识别、评价，满足要求。</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监视、测量、分析和评价</w:t>
            </w:r>
          </w:p>
        </w:tc>
        <w:tc>
          <w:tcPr>
            <w:tcW w:w="1276" w:type="dxa"/>
            <w:vAlign w:val="center"/>
          </w:tcPr>
          <w:p>
            <w:pPr>
              <w:tabs>
                <w:tab w:val="left" w:pos="6597"/>
              </w:tabs>
              <w:spacing w:line="360" w:lineRule="auto"/>
              <w:rPr>
                <w:rFonts w:hint="eastAsia" w:ascii="宋体" w:hAnsi="宋体" w:eastAsia="宋体" w:cs="宋体"/>
                <w:bCs/>
                <w:sz w:val="21"/>
                <w:szCs w:val="21"/>
              </w:rPr>
            </w:pPr>
            <w:r>
              <w:rPr>
                <w:rFonts w:hint="eastAsia" w:ascii="宋体" w:hAnsi="宋体" w:eastAsia="宋体" w:cs="宋体"/>
                <w:sz w:val="21"/>
                <w:szCs w:val="21"/>
              </w:rPr>
              <w:t>E：9.1.1</w:t>
            </w:r>
            <w:r>
              <w:rPr>
                <w:rFonts w:hint="eastAsia" w:ascii="宋体" w:hAnsi="宋体" w:eastAsia="宋体" w:cs="宋体"/>
                <w:bCs/>
                <w:sz w:val="21"/>
                <w:szCs w:val="21"/>
              </w:rPr>
              <w:t xml:space="preserve"> </w:t>
            </w:r>
          </w:p>
        </w:tc>
        <w:tc>
          <w:tcPr>
            <w:tcW w:w="10606" w:type="dxa"/>
            <w:vAlign w:val="center"/>
          </w:tcPr>
          <w:p>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管理体系目标考核按季度进行，抽查到</w:t>
            </w:r>
            <w:r>
              <w:rPr>
                <w:rFonts w:hint="eastAsia" w:ascii="宋体" w:hAnsi="宋体" w:eastAsia="宋体" w:cs="宋体"/>
                <w:sz w:val="21"/>
                <w:szCs w:val="21"/>
                <w:lang w:val="en-US" w:eastAsia="zh-CN"/>
              </w:rPr>
              <w:t>2020.6.15日</w:t>
            </w:r>
            <w:r>
              <w:rPr>
                <w:rFonts w:hint="eastAsia" w:ascii="宋体" w:hAnsi="宋体" w:eastAsia="宋体" w:cs="宋体"/>
                <w:sz w:val="21"/>
                <w:szCs w:val="21"/>
              </w:rPr>
              <w:t>目标考核记录，经考核公司和分解各部门管理目标均已完成。</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查到“环境目标、指标目标与管理方案及</w:t>
            </w:r>
            <w:r>
              <w:rPr>
                <w:rFonts w:hint="eastAsia" w:ascii="宋体" w:hAnsi="宋体" w:eastAsia="宋体" w:cs="宋体"/>
                <w:sz w:val="21"/>
                <w:szCs w:val="21"/>
                <w:lang w:val="en-US" w:eastAsia="zh-CN"/>
              </w:rPr>
              <w:t>检查</w:t>
            </w:r>
            <w:r>
              <w:rPr>
                <w:rFonts w:hint="eastAsia" w:ascii="宋体" w:hAnsi="宋体" w:eastAsia="宋体" w:cs="宋体"/>
                <w:sz w:val="21"/>
                <w:szCs w:val="21"/>
              </w:rPr>
              <w:t>表”，检查考核</w:t>
            </w:r>
            <w:r>
              <w:rPr>
                <w:rFonts w:hint="eastAsia" w:ascii="宋体" w:hAnsi="宋体" w:eastAsia="宋体" w:cs="宋体"/>
                <w:sz w:val="21"/>
                <w:szCs w:val="21"/>
                <w:lang w:val="en-US" w:eastAsia="zh-CN"/>
              </w:rPr>
              <w:t>部分</w:t>
            </w:r>
            <w:r>
              <w:rPr>
                <w:rFonts w:hint="eastAsia" w:ascii="宋体" w:hAnsi="宋体" w:eastAsia="宋体" w:cs="宋体"/>
                <w:sz w:val="21"/>
                <w:szCs w:val="21"/>
              </w:rPr>
              <w:t>已完成，</w:t>
            </w:r>
            <w:r>
              <w:rPr>
                <w:rFonts w:hint="eastAsia" w:ascii="宋体" w:hAnsi="宋体" w:eastAsia="宋体" w:cs="宋体"/>
                <w:sz w:val="21"/>
                <w:szCs w:val="21"/>
                <w:lang w:val="en-US" w:eastAsia="zh-CN"/>
              </w:rPr>
              <w:t>其他的正在实施，</w:t>
            </w:r>
            <w:r>
              <w:rPr>
                <w:rFonts w:hint="eastAsia" w:ascii="宋体" w:hAnsi="宋体" w:eastAsia="宋体" w:cs="宋体"/>
                <w:sz w:val="21"/>
                <w:szCs w:val="21"/>
              </w:rPr>
              <w:t>考核人</w:t>
            </w:r>
            <w:r>
              <w:rPr>
                <w:rFonts w:hint="eastAsia" w:ascii="宋体" w:hAnsi="宋体" w:eastAsia="宋体" w:cs="宋体"/>
                <w:sz w:val="21"/>
                <w:szCs w:val="21"/>
                <w:lang w:val="en-US" w:eastAsia="zh-CN"/>
              </w:rPr>
              <w:t>许侃祥</w:t>
            </w:r>
            <w:r>
              <w:rPr>
                <w:rFonts w:hint="eastAsia" w:ascii="宋体" w:hAnsi="宋体" w:eastAsia="宋体" w:cs="宋体"/>
                <w:sz w:val="21"/>
                <w:szCs w:val="21"/>
              </w:rPr>
              <w:t>。</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查到《环境、安全检查记录》，检查项目内容涉及：</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车间</w:t>
            </w:r>
            <w:r>
              <w:rPr>
                <w:rFonts w:hint="eastAsia" w:ascii="宋体" w:hAnsi="宋体" w:eastAsia="宋体" w:cs="宋体"/>
                <w:sz w:val="21"/>
                <w:szCs w:val="21"/>
              </w:rPr>
              <w:t>/办公/生活区域卫生是否清理干净，危废收集情况；操作工是否配戴劳保用品情况；设备操作工是否按设备操作规程作业；</w:t>
            </w:r>
            <w:r>
              <w:rPr>
                <w:rFonts w:hint="eastAsia" w:ascii="宋体" w:hAnsi="宋体" w:eastAsia="宋体" w:cs="宋体"/>
                <w:sz w:val="21"/>
                <w:szCs w:val="21"/>
                <w:lang w:val="en-US" w:eastAsia="zh-CN"/>
              </w:rPr>
              <w:t>特殊</w:t>
            </w:r>
            <w:r>
              <w:rPr>
                <w:rFonts w:hint="eastAsia" w:ascii="宋体" w:hAnsi="宋体" w:eastAsia="宋体" w:cs="宋体"/>
                <w:sz w:val="21"/>
                <w:szCs w:val="21"/>
              </w:rPr>
              <w:t>工</w:t>
            </w:r>
            <w:r>
              <w:rPr>
                <w:rFonts w:hint="eastAsia" w:ascii="宋体" w:hAnsi="宋体" w:eastAsia="宋体" w:cs="宋体"/>
                <w:sz w:val="21"/>
                <w:szCs w:val="21"/>
                <w:lang w:val="en-US" w:eastAsia="zh-CN"/>
              </w:rPr>
              <w:t>种</w:t>
            </w:r>
            <w:r>
              <w:rPr>
                <w:rFonts w:hint="eastAsia" w:ascii="宋体" w:hAnsi="宋体" w:eastAsia="宋体" w:cs="宋体"/>
                <w:sz w:val="21"/>
                <w:szCs w:val="21"/>
              </w:rPr>
              <w:t>是否持证上岗；生产安全用电情况：消防设施是否完好，消防通道是否畅通等。</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抽查20</w:t>
            </w:r>
            <w:r>
              <w:rPr>
                <w:rFonts w:hint="eastAsia" w:ascii="宋体" w:hAnsi="宋体" w:eastAsia="宋体" w:cs="宋体"/>
                <w:sz w:val="21"/>
                <w:szCs w:val="21"/>
                <w:lang w:val="en-US" w:eastAsia="zh-CN"/>
              </w:rPr>
              <w:t>20年二季度</w:t>
            </w:r>
            <w:r>
              <w:rPr>
                <w:rFonts w:hint="eastAsia" w:ascii="宋体" w:hAnsi="宋体" w:eastAsia="宋体" w:cs="宋体"/>
                <w:sz w:val="21"/>
                <w:szCs w:val="21"/>
              </w:rPr>
              <w:t>、</w:t>
            </w:r>
            <w:r>
              <w:rPr>
                <w:rFonts w:hint="eastAsia" w:ascii="宋体" w:hAnsi="宋体" w:eastAsia="宋体" w:cs="宋体"/>
                <w:sz w:val="21"/>
                <w:szCs w:val="21"/>
                <w:lang w:val="en-US" w:eastAsia="zh-CN"/>
              </w:rPr>
              <w:t>三季度环保安全日常检查记录，</w:t>
            </w:r>
            <w:r>
              <w:rPr>
                <w:rFonts w:hint="eastAsia" w:ascii="宋体" w:hAnsi="宋体" w:eastAsia="宋体" w:cs="宋体"/>
                <w:sz w:val="21"/>
                <w:szCs w:val="21"/>
              </w:rPr>
              <w:t>检查结果均正常，检查人</w:t>
            </w:r>
            <w:r>
              <w:rPr>
                <w:rFonts w:hint="eastAsia" w:ascii="宋体" w:hAnsi="宋体" w:eastAsia="宋体" w:cs="宋体"/>
                <w:sz w:val="21"/>
                <w:szCs w:val="21"/>
                <w:lang w:val="en-US" w:eastAsia="zh-CN"/>
              </w:rPr>
              <w:t>闫高强</w:t>
            </w:r>
            <w:r>
              <w:rPr>
                <w:rFonts w:hint="eastAsia" w:ascii="宋体" w:hAnsi="宋体" w:eastAsia="宋体" w:cs="宋体"/>
                <w:sz w:val="21"/>
                <w:szCs w:val="21"/>
              </w:rPr>
              <w:t>。</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查到“</w:t>
            </w:r>
            <w:r>
              <w:rPr>
                <w:rFonts w:hint="eastAsia" w:ascii="宋体" w:hAnsi="宋体" w:eastAsia="宋体" w:cs="宋体"/>
                <w:sz w:val="21"/>
                <w:szCs w:val="21"/>
                <w:lang w:val="en-US" w:eastAsia="zh-CN"/>
              </w:rPr>
              <w:t>灭火器点检</w:t>
            </w:r>
            <w:r>
              <w:rPr>
                <w:rFonts w:hint="eastAsia" w:ascii="宋体" w:hAnsi="宋体" w:eastAsia="宋体" w:cs="宋体"/>
                <w:sz w:val="21"/>
                <w:szCs w:val="21"/>
              </w:rPr>
              <w:t>表”，检查项目内容涉及：</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消防安全制度的建立、消防安全管理、建筑物消防管理、建筑消防设施管理（灭火器、报警系统）、现场管理、火灾隐患的整改情况等。</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抽查20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1-11月</w:t>
            </w:r>
            <w:r>
              <w:rPr>
                <w:rFonts w:hint="eastAsia" w:ascii="宋体" w:hAnsi="宋体" w:eastAsia="宋体" w:cs="宋体"/>
                <w:sz w:val="21"/>
                <w:szCs w:val="21"/>
              </w:rPr>
              <w:t>检查结果均正常</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检查人：赵利峰</w:t>
            </w:r>
            <w:r>
              <w:rPr>
                <w:rFonts w:hint="eastAsia" w:ascii="宋体" w:hAnsi="宋体" w:eastAsia="宋体" w:cs="宋体"/>
                <w:sz w:val="21"/>
                <w:szCs w:val="21"/>
              </w:rPr>
              <w:t>。</w:t>
            </w:r>
          </w:p>
          <w:p>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未有上级主管部门的监督检查。</w:t>
            </w:r>
          </w:p>
          <w:p>
            <w:pPr>
              <w:pStyle w:val="8"/>
              <w:pBdr>
                <w:bottom w:val="none" w:color="auto" w:sz="0" w:space="0"/>
              </w:pBdr>
              <w:tabs>
                <w:tab w:val="center" w:pos="5737"/>
                <w:tab w:val="clear" w:pos="4153"/>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提供了2020.7.31陕西景泰蓝环境监测有限公司监测报告，检测项目：废气、噪，检测结果：合格。</w:t>
            </w:r>
          </w:p>
          <w:p>
            <w:pPr>
              <w:spacing w:line="360" w:lineRule="auto"/>
              <w:rPr>
                <w:rFonts w:hint="eastAsia" w:ascii="宋体" w:hAnsi="宋体" w:eastAsia="宋体" w:cs="宋体"/>
                <w:sz w:val="21"/>
                <w:szCs w:val="21"/>
              </w:rPr>
            </w:pPr>
            <w:r>
              <w:rPr>
                <w:rFonts w:hint="eastAsia" w:ascii="宋体" w:hAnsi="宋体" w:eastAsia="宋体" w:cs="宋体"/>
                <w:sz w:val="21"/>
                <w:szCs w:val="21"/>
              </w:rPr>
              <w:t>公司经营能遵守相关的法律法规，没有违反环境法律法规现象，近期没有发生环境事故。</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6"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运行策划和控制</w:t>
            </w:r>
          </w:p>
        </w:tc>
        <w:tc>
          <w:tcPr>
            <w:tcW w:w="1276" w:type="dxa"/>
            <w:vAlign w:val="center"/>
          </w:tcPr>
          <w:p>
            <w:pPr>
              <w:spacing w:line="360" w:lineRule="auto"/>
              <w:rPr>
                <w:rFonts w:hint="eastAsia" w:ascii="宋体" w:hAnsi="宋体" w:eastAsia="宋体" w:cs="宋体"/>
                <w:sz w:val="21"/>
                <w:szCs w:val="21"/>
              </w:rPr>
            </w:pPr>
            <w:r>
              <w:rPr>
                <w:rFonts w:hint="eastAsia" w:ascii="宋体" w:hAnsi="宋体" w:eastAsia="宋体" w:cs="宋体"/>
                <w:bCs/>
                <w:sz w:val="21"/>
                <w:szCs w:val="21"/>
              </w:rPr>
              <w:t>E</w:t>
            </w:r>
            <w:r>
              <w:rPr>
                <w:rFonts w:hint="eastAsia" w:ascii="宋体" w:hAnsi="宋体" w:eastAsia="宋体" w:cs="宋体"/>
                <w:sz w:val="21"/>
                <w:szCs w:val="21"/>
              </w:rPr>
              <w:t xml:space="preserve">8.1 </w:t>
            </w:r>
          </w:p>
          <w:p>
            <w:pPr>
              <w:spacing w:line="360" w:lineRule="auto"/>
              <w:rPr>
                <w:rFonts w:hint="eastAsia" w:ascii="宋体" w:hAnsi="宋体" w:eastAsia="宋体" w:cs="宋体"/>
                <w:sz w:val="21"/>
                <w:szCs w:val="21"/>
              </w:rPr>
            </w:pPr>
          </w:p>
        </w:tc>
        <w:tc>
          <w:tcPr>
            <w:tcW w:w="10606"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制定并实施了运行控制程序、废弃物控制程序、噪声控制程序、消防控制程序、资源能源控制程序、应急准备和响应控制程序、生产生活固废垃圾处理/利用作业指导书、应急预案等环境控制程序和管理制度。</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企业位于</w:t>
            </w:r>
            <w:bookmarkStart w:id="0" w:name="生产地址"/>
            <w:r>
              <w:rPr>
                <w:rFonts w:hint="eastAsia" w:ascii="宋体" w:hAnsi="宋体" w:eastAsia="宋体" w:cs="宋体"/>
                <w:sz w:val="21"/>
                <w:szCs w:val="21"/>
              </w:rPr>
              <w:t>陕西省宝鸡市高新开发区钓渭镇朱家滩村</w:t>
            </w:r>
            <w:bookmarkEnd w:id="0"/>
            <w:r>
              <w:rPr>
                <w:rFonts w:hint="eastAsia" w:ascii="宋体" w:hAnsi="宋体" w:eastAsia="宋体" w:cs="宋体"/>
                <w:sz w:val="21"/>
                <w:szCs w:val="21"/>
              </w:rPr>
              <w:t>，公司四周是其他企业或居民，无重大敏感区，根据体系运行的需要设置了车间、仓库、办公楼。</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提供201</w:t>
            </w:r>
            <w:r>
              <w:rPr>
                <w:rFonts w:hint="eastAsia" w:ascii="宋体" w:hAnsi="宋体" w:eastAsia="宋体" w:cs="宋体"/>
                <w:sz w:val="21"/>
                <w:szCs w:val="21"/>
                <w:lang w:val="en-US" w:eastAsia="zh-CN"/>
              </w:rPr>
              <w:t>6</w:t>
            </w:r>
            <w:r>
              <w:rPr>
                <w:rFonts w:hint="eastAsia" w:ascii="宋体" w:hAnsi="宋体" w:eastAsia="宋体" w:cs="宋体"/>
                <w:sz w:val="21"/>
                <w:szCs w:val="21"/>
              </w:rPr>
              <w:t>年</w:t>
            </w:r>
            <w:r>
              <w:rPr>
                <w:rFonts w:hint="eastAsia" w:ascii="宋体" w:hAnsi="宋体" w:eastAsia="宋体" w:cs="宋体"/>
                <w:sz w:val="21"/>
                <w:szCs w:val="21"/>
                <w:lang w:val="en-US" w:eastAsia="zh-CN"/>
              </w:rPr>
              <w:t>12</w:t>
            </w:r>
            <w:r>
              <w:rPr>
                <w:rFonts w:hint="eastAsia" w:ascii="宋体" w:hAnsi="宋体" w:eastAsia="宋体" w:cs="宋体"/>
                <w:sz w:val="21"/>
                <w:szCs w:val="21"/>
              </w:rPr>
              <w:t>月公司</w:t>
            </w:r>
            <w:r>
              <w:rPr>
                <w:rFonts w:hint="eastAsia" w:ascii="宋体" w:hAnsi="宋体" w:eastAsia="宋体" w:cs="宋体"/>
                <w:sz w:val="21"/>
                <w:szCs w:val="21"/>
                <w:lang w:val="en-US" w:eastAsia="zh-CN"/>
              </w:rPr>
              <w:t>年产2000吨齿轮锻件</w:t>
            </w:r>
            <w:r>
              <w:rPr>
                <w:rFonts w:hint="eastAsia" w:ascii="宋体" w:hAnsi="宋体" w:eastAsia="宋体" w:cs="宋体"/>
                <w:sz w:val="21"/>
                <w:szCs w:val="21"/>
              </w:rPr>
              <w:t>项目环境影响</w:t>
            </w:r>
            <w:r>
              <w:rPr>
                <w:rFonts w:hint="eastAsia" w:ascii="宋体" w:hAnsi="宋体" w:eastAsia="宋体" w:cs="宋体"/>
                <w:sz w:val="21"/>
                <w:szCs w:val="21"/>
                <w:lang w:val="en-US" w:eastAsia="zh-CN"/>
              </w:rPr>
              <w:t>评估</w:t>
            </w:r>
            <w:r>
              <w:rPr>
                <w:rFonts w:hint="eastAsia" w:ascii="宋体" w:hAnsi="宋体" w:eastAsia="宋体" w:cs="宋体"/>
                <w:sz w:val="21"/>
                <w:szCs w:val="21"/>
              </w:rPr>
              <w:t>报告表，</w:t>
            </w:r>
            <w:r>
              <w:rPr>
                <w:rFonts w:hint="eastAsia" w:ascii="宋体" w:hAnsi="宋体" w:eastAsia="宋体" w:cs="宋体"/>
                <w:sz w:val="21"/>
                <w:szCs w:val="21"/>
                <w:lang w:val="en-US" w:eastAsia="zh-CN"/>
              </w:rPr>
              <w:t>宝鸡市环境保护局高新分局高新环函（2016）249号“关于宝鸡市东兴锻造有限公司年产2000吨齿轮锻件</w:t>
            </w:r>
            <w:r>
              <w:rPr>
                <w:rFonts w:hint="eastAsia" w:ascii="宋体" w:hAnsi="宋体" w:eastAsia="宋体" w:cs="宋体"/>
                <w:sz w:val="21"/>
                <w:szCs w:val="21"/>
              </w:rPr>
              <w:t>项目环境影响</w:t>
            </w:r>
            <w:r>
              <w:rPr>
                <w:rFonts w:hint="eastAsia" w:ascii="宋体" w:hAnsi="宋体" w:eastAsia="宋体" w:cs="宋体"/>
                <w:sz w:val="21"/>
                <w:szCs w:val="21"/>
                <w:lang w:val="en-US" w:eastAsia="zh-CN"/>
              </w:rPr>
              <w:t>评估</w:t>
            </w:r>
            <w:r>
              <w:rPr>
                <w:rFonts w:hint="eastAsia" w:ascii="宋体" w:hAnsi="宋体" w:eastAsia="宋体" w:cs="宋体"/>
                <w:sz w:val="21"/>
                <w:szCs w:val="21"/>
              </w:rPr>
              <w:t>报告表</w:t>
            </w:r>
            <w:r>
              <w:rPr>
                <w:rFonts w:hint="eastAsia" w:ascii="宋体" w:hAnsi="宋体" w:eastAsia="宋体" w:cs="宋体"/>
                <w:sz w:val="21"/>
                <w:szCs w:val="21"/>
                <w:lang w:val="en-US" w:eastAsia="zh-CN"/>
              </w:rPr>
              <w:t>申请备案的意见”</w:t>
            </w:r>
            <w:r>
              <w:rPr>
                <w:rFonts w:hint="eastAsia" w:ascii="宋体" w:hAnsi="宋体" w:eastAsia="宋体" w:cs="宋体"/>
                <w:sz w:val="21"/>
                <w:szCs w:val="21"/>
              </w:rPr>
              <w:t>，企业环评已经过验收。</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2020年初改扩建新增用地1200m新建车间及办公楼。总占地面积由5000m增大至6200m',建筑面积由2500m增大至5000m,年加工生产齿轮5000t/a。</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提供2019.9,宝鸡市东兴锻造有限公司二期技改扩建项目《建设项目环境影响报告表》、2020年8月《宝鸡市东兴锻造有限公司二期技改扩建项目竣工环境保护验收监测报告》、宝鸡市环境保护局高新分局 高新环函（2020）110号“宝鸡市环境保护局高新分局关于宝鸡市东兴锻造有限公司二期技改扩建项目环境影响报告表的批复”。</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综合管理部</w:t>
            </w:r>
            <w:r>
              <w:rPr>
                <w:rFonts w:hint="eastAsia" w:ascii="宋体" w:hAnsi="宋体" w:eastAsia="宋体" w:cs="宋体"/>
                <w:sz w:val="21"/>
                <w:szCs w:val="21"/>
              </w:rPr>
              <w:t>定期组织环保知识培训，员工具备了基本的环保意识，见7.3条款审核记录。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按公司要求人走关灯，办公室电脑要求人走后电源切断。</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办公内主要是电的使用，电器有漏电保护器，经常对电路、电源进行检查，没有露电现象发生。</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办公室垃圾主要包含可回收垃圾、硒鼓、废纸。公司配置了垃圾箱，</w:t>
            </w:r>
            <w:r>
              <w:rPr>
                <w:rFonts w:hint="eastAsia" w:ascii="宋体" w:hAnsi="宋体" w:eastAsia="宋体" w:cs="宋体"/>
                <w:sz w:val="21"/>
                <w:szCs w:val="21"/>
                <w:lang w:val="en-US" w:eastAsia="zh-CN"/>
              </w:rPr>
              <w:t>综合管理部</w:t>
            </w:r>
            <w:r>
              <w:rPr>
                <w:rFonts w:hint="eastAsia" w:ascii="宋体" w:hAnsi="宋体" w:eastAsia="宋体" w:cs="宋体"/>
                <w:sz w:val="21"/>
                <w:szCs w:val="21"/>
              </w:rPr>
              <w:t>统一处理。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对可回收的固体废弃物，一部分由厂家回收，厂家不回收的公司统一回收再利用或由物资回收公司处理。不可回收的废弃物由公司</w:t>
            </w:r>
            <w:r>
              <w:rPr>
                <w:rFonts w:hint="eastAsia" w:ascii="宋体" w:hAnsi="宋体" w:eastAsia="宋体" w:cs="宋体"/>
                <w:sz w:val="21"/>
                <w:szCs w:val="21"/>
                <w:lang w:val="en-US" w:eastAsia="zh-CN"/>
              </w:rPr>
              <w:t>综合管理部</w:t>
            </w:r>
            <w:r>
              <w:rPr>
                <w:rFonts w:hint="eastAsia" w:ascii="宋体" w:hAnsi="宋体" w:eastAsia="宋体" w:cs="宋体"/>
                <w:sz w:val="21"/>
                <w:szCs w:val="21"/>
              </w:rPr>
              <w:t>统一处理，各部门不得单独处理。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为满足环境的运行，公司投入了环保资金，主要是购买消防设施、环保设施</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环评</w:t>
            </w:r>
            <w:r>
              <w:rPr>
                <w:rFonts w:hint="eastAsia" w:ascii="宋体" w:hAnsi="宋体" w:eastAsia="宋体" w:cs="宋体"/>
                <w:sz w:val="21"/>
                <w:szCs w:val="21"/>
              </w:rPr>
              <w:t>等，运行至今支出约</w:t>
            </w:r>
            <w:r>
              <w:rPr>
                <w:rFonts w:hint="eastAsia" w:ascii="宋体" w:hAnsi="宋体" w:eastAsia="宋体" w:cs="宋体"/>
                <w:sz w:val="21"/>
                <w:szCs w:val="21"/>
                <w:lang w:val="en-US" w:eastAsia="zh-CN"/>
              </w:rPr>
              <w:t>8</w:t>
            </w:r>
            <w:r>
              <w:rPr>
                <w:rFonts w:hint="eastAsia" w:ascii="宋体" w:hAnsi="宋体" w:eastAsia="宋体" w:cs="宋体"/>
                <w:sz w:val="21"/>
                <w:szCs w:val="21"/>
              </w:rPr>
              <w:t>万元。</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办公纸张尽量采取双面打印，人走灯灭，定期检查水管跑冒滴漏。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现场巡视办公区域配备了消防栓和灭火器，状况正常。</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提供2020.1.5总经理赵晓伟与公司责任单位、部门签订的安全环保责任书。</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提供废弃物登记和处理记录表，废金属由宝鸡市宏录物资有限公司处置、废机油等均由陕西宝鸡恒兴石化科技有限公司处置。</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提供废弃物登记和处理记录表、污水转移处理协议以及危险废物处置合同书。</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部门运行控制基本符合要求。</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应急准备和响应</w:t>
            </w:r>
          </w:p>
        </w:tc>
        <w:tc>
          <w:tcPr>
            <w:tcW w:w="1276" w:type="dxa"/>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E：</w:t>
            </w:r>
            <w:r>
              <w:rPr>
                <w:rFonts w:hint="eastAsia" w:ascii="宋体" w:hAnsi="宋体" w:eastAsia="宋体" w:cs="宋体"/>
                <w:sz w:val="21"/>
                <w:szCs w:val="21"/>
              </w:rPr>
              <w:t>8.2</w:t>
            </w:r>
            <w:r>
              <w:rPr>
                <w:rFonts w:hint="eastAsia" w:ascii="宋体" w:hAnsi="宋体" w:eastAsia="宋体" w:cs="宋体"/>
                <w:bCs/>
                <w:sz w:val="21"/>
                <w:szCs w:val="21"/>
              </w:rPr>
              <w:t xml:space="preserve"> </w:t>
            </w: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tc>
        <w:tc>
          <w:tcPr>
            <w:tcW w:w="10606" w:type="dxa"/>
          </w:tcPr>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宝鸡市东兴锻造有限公司突发环境事件应急预案》，《火灾专项应急预案》，包含有事件级别及不同级别事件的处理程序、事件处理组织机构及职责分工、通用及特殊处理程序、各岗位要求等。应急设施配置：在院内、办公场所内、车间内、仓库内均配备了灭火器、消防栓等消防设施，均在有效期内，状态良好。</w:t>
            </w:r>
          </w:p>
          <w:p>
            <w:pPr>
              <w:tabs>
                <w:tab w:val="left" w:pos="6597"/>
              </w:tabs>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提供</w:t>
            </w:r>
            <w:r>
              <w:rPr>
                <w:rFonts w:hint="eastAsia" w:ascii="宋体" w:hAnsi="宋体" w:eastAsia="宋体" w:cs="宋体"/>
                <w:color w:val="auto"/>
                <w:sz w:val="21"/>
                <w:szCs w:val="21"/>
              </w:rPr>
              <w:t>应急预案演练记录</w:t>
            </w:r>
            <w:r>
              <w:rPr>
                <w:rFonts w:hint="eastAsia" w:ascii="宋体" w:hAnsi="宋体" w:eastAsia="宋体" w:cs="宋体"/>
                <w:color w:val="auto"/>
                <w:sz w:val="21"/>
                <w:szCs w:val="21"/>
                <w:lang w:val="en-US" w:eastAsia="zh-CN"/>
              </w:rPr>
              <w:t>及照片</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2020.10.23进行</w:t>
            </w:r>
            <w:bookmarkStart w:id="1" w:name="_GoBack"/>
            <w:bookmarkEnd w:id="1"/>
            <w:r>
              <w:rPr>
                <w:rFonts w:hint="eastAsia" w:ascii="宋体" w:hAnsi="宋体" w:eastAsia="宋体" w:cs="宋体"/>
                <w:color w:val="auto"/>
                <w:sz w:val="21"/>
                <w:szCs w:val="21"/>
                <w:lang w:val="en-US" w:eastAsia="zh-CN"/>
              </w:rPr>
              <w:t>了消防应急演练，并进行了评价</w:t>
            </w:r>
            <w:r>
              <w:rPr>
                <w:rFonts w:hint="eastAsia" w:ascii="宋体" w:hAnsi="宋体" w:eastAsia="宋体" w:cs="宋体"/>
                <w:color w:val="auto"/>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评价：组织指挥有序，项目岗位配合较好，达到了预定目标，演练的效果较好。人员的速度较快，及时按照预定方案对事故处理人员进行保护。</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现场巡视办公区有灭火器，均有效；车间配有多个灭火器和消防栓，均有效</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环保设施运行正常</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生产车间内配有消防栓、水龙带、有干粉灭火器等消防设施。</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自体系运行以来尚未发生紧急情况。</w:t>
            </w:r>
          </w:p>
        </w:tc>
        <w:tc>
          <w:tcPr>
            <w:tcW w:w="1585"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sz w:val="21"/>
                <w:szCs w:val="21"/>
                <w:lang w:val="en-US" w:eastAsia="zh-CN"/>
              </w:rPr>
            </w:pPr>
          </w:p>
          <w:p>
            <w:pPr>
              <w:spacing w:line="360" w:lineRule="auto"/>
              <w:ind w:firstLine="210" w:firstLineChars="100"/>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内部审核</w:t>
            </w:r>
          </w:p>
        </w:tc>
        <w:tc>
          <w:tcPr>
            <w:tcW w:w="1276"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E9.2</w:t>
            </w:r>
          </w:p>
        </w:tc>
        <w:tc>
          <w:tcPr>
            <w:tcW w:w="10606"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由组长</w:t>
            </w:r>
            <w:r>
              <w:rPr>
                <w:rFonts w:hint="eastAsia" w:ascii="宋体" w:hAnsi="宋体" w:eastAsia="宋体" w:cs="宋体"/>
                <w:sz w:val="21"/>
                <w:szCs w:val="21"/>
                <w:lang w:val="en-US" w:eastAsia="zh-CN"/>
              </w:rPr>
              <w:t>闫高强</w:t>
            </w:r>
            <w:r>
              <w:rPr>
                <w:rFonts w:hint="eastAsia" w:ascii="宋体" w:hAnsi="宋体" w:eastAsia="宋体" w:cs="宋体"/>
                <w:sz w:val="21"/>
                <w:szCs w:val="21"/>
              </w:rPr>
              <w:t>组织内部审核，查年度审核计划：提供《内部审核计划》，其内容已包括了审核目的、范围、依据。</w:t>
            </w:r>
          </w:p>
          <w:p>
            <w:pPr>
              <w:spacing w:line="360" w:lineRule="auto"/>
              <w:rPr>
                <w:rFonts w:hint="eastAsia" w:ascii="宋体" w:hAnsi="宋体" w:eastAsia="宋体" w:cs="宋体"/>
                <w:sz w:val="21"/>
                <w:szCs w:val="21"/>
              </w:rPr>
            </w:pPr>
            <w:r>
              <w:rPr>
                <w:rFonts w:hint="eastAsia" w:ascii="宋体" w:hAnsi="宋体" w:eastAsia="宋体" w:cs="宋体"/>
                <w:sz w:val="21"/>
                <w:szCs w:val="21"/>
              </w:rPr>
              <w:t>审核组构成：组长</w:t>
            </w:r>
            <w:r>
              <w:rPr>
                <w:rFonts w:hint="eastAsia" w:ascii="宋体" w:hAnsi="宋体" w:eastAsia="宋体" w:cs="宋体"/>
                <w:sz w:val="21"/>
                <w:szCs w:val="21"/>
                <w:lang w:val="en-US" w:eastAsia="zh-CN"/>
              </w:rPr>
              <w:t>闫高强</w:t>
            </w:r>
            <w:r>
              <w:rPr>
                <w:rFonts w:hint="eastAsia" w:ascii="宋体" w:hAnsi="宋体" w:eastAsia="宋体" w:cs="宋体"/>
                <w:sz w:val="21"/>
                <w:szCs w:val="21"/>
              </w:rPr>
              <w:t>、组员</w:t>
            </w:r>
            <w:r>
              <w:rPr>
                <w:rFonts w:hint="eastAsia" w:ascii="宋体" w:hAnsi="宋体" w:eastAsia="宋体" w:cs="宋体"/>
                <w:sz w:val="21"/>
                <w:szCs w:val="21"/>
                <w:lang w:val="en-US" w:eastAsia="zh-CN"/>
              </w:rPr>
              <w:t>曹勇杰</w:t>
            </w:r>
            <w:r>
              <w:rPr>
                <w:rFonts w:hint="eastAsia" w:ascii="宋体" w:hAnsi="宋体" w:eastAsia="宋体" w:cs="宋体"/>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1. 审核时间</w:t>
            </w:r>
            <w:r>
              <w:rPr>
                <w:rFonts w:hint="eastAsia" w:ascii="宋体" w:hAnsi="宋体" w:eastAsia="宋体" w:cs="宋体"/>
                <w:sz w:val="21"/>
                <w:szCs w:val="21"/>
                <w:lang w:eastAsia="zh-CN"/>
              </w:rPr>
              <w:t>：</w:t>
            </w: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10</w:t>
            </w:r>
            <w:r>
              <w:rPr>
                <w:rFonts w:hint="eastAsia" w:ascii="宋体" w:hAnsi="宋体" w:eastAsia="宋体" w:cs="宋体"/>
                <w:sz w:val="21"/>
                <w:szCs w:val="21"/>
              </w:rPr>
              <w:t>月</w:t>
            </w:r>
            <w:r>
              <w:rPr>
                <w:rFonts w:hint="eastAsia" w:ascii="宋体" w:hAnsi="宋体" w:eastAsia="宋体" w:cs="宋体"/>
                <w:sz w:val="21"/>
                <w:szCs w:val="21"/>
                <w:lang w:val="en-US" w:eastAsia="zh-CN"/>
              </w:rPr>
              <w:t>15</w:t>
            </w:r>
            <w:r>
              <w:rPr>
                <w:rFonts w:hint="eastAsia" w:ascii="宋体" w:hAnsi="宋体" w:eastAsia="宋体" w:cs="宋体"/>
                <w:sz w:val="21"/>
                <w:szCs w:val="21"/>
              </w:rPr>
              <w:t>日</w:t>
            </w:r>
            <w:r>
              <w:rPr>
                <w:rFonts w:hint="eastAsia" w:ascii="宋体" w:hAnsi="宋体" w:eastAsia="宋体" w:cs="宋体"/>
                <w:sz w:val="21"/>
                <w:szCs w:val="21"/>
                <w:lang w:val="en-US" w:eastAsia="zh-CN"/>
              </w:rPr>
              <w:t>-</w:t>
            </w: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10</w:t>
            </w:r>
            <w:r>
              <w:rPr>
                <w:rFonts w:hint="eastAsia" w:ascii="宋体" w:hAnsi="宋体" w:eastAsia="宋体" w:cs="宋体"/>
                <w:sz w:val="21"/>
                <w:szCs w:val="21"/>
              </w:rPr>
              <w:t>月</w:t>
            </w:r>
            <w:r>
              <w:rPr>
                <w:rFonts w:hint="eastAsia" w:ascii="宋体" w:hAnsi="宋体" w:eastAsia="宋体" w:cs="宋体"/>
                <w:sz w:val="21"/>
                <w:szCs w:val="21"/>
                <w:lang w:val="en-US" w:eastAsia="zh-CN"/>
              </w:rPr>
              <w:t>16</w:t>
            </w:r>
            <w:r>
              <w:rPr>
                <w:rFonts w:hint="eastAsia" w:ascii="宋体" w:hAnsi="宋体" w:eastAsia="宋体" w:cs="宋体"/>
                <w:sz w:val="21"/>
                <w:szCs w:val="21"/>
              </w:rPr>
              <w:t>日，</w:t>
            </w:r>
          </w:p>
          <w:p>
            <w:pPr>
              <w:spacing w:line="360" w:lineRule="auto"/>
              <w:rPr>
                <w:rFonts w:hint="eastAsia" w:ascii="宋体" w:hAnsi="宋体" w:eastAsia="宋体" w:cs="宋体"/>
                <w:sz w:val="21"/>
                <w:szCs w:val="21"/>
              </w:rPr>
            </w:pPr>
            <w:r>
              <w:rPr>
                <w:rFonts w:hint="eastAsia" w:ascii="宋体" w:hAnsi="宋体" w:eastAsia="宋体" w:cs="宋体"/>
                <w:sz w:val="21"/>
                <w:szCs w:val="21"/>
              </w:rPr>
              <w:t>2.审核按计划进行，抽查检查表</w:t>
            </w:r>
            <w:r>
              <w:rPr>
                <w:rFonts w:hint="eastAsia" w:ascii="宋体" w:hAnsi="宋体" w:eastAsia="宋体" w:cs="宋体"/>
                <w:sz w:val="21"/>
                <w:szCs w:val="21"/>
                <w:lang w:val="en-US" w:eastAsia="zh-CN"/>
              </w:rPr>
              <w:t>质量技术</w:t>
            </w:r>
            <w:r>
              <w:rPr>
                <w:rFonts w:hint="eastAsia" w:ascii="宋体" w:hAnsi="宋体" w:eastAsia="宋体" w:cs="宋体"/>
                <w:sz w:val="21"/>
                <w:szCs w:val="21"/>
              </w:rPr>
              <w:t>部、生产部审核记录与计划相一致，内审员经内部培训合格，能力还需加强；</w:t>
            </w:r>
          </w:p>
          <w:p>
            <w:pPr>
              <w:spacing w:line="360" w:lineRule="auto"/>
              <w:rPr>
                <w:rFonts w:hint="eastAsia" w:ascii="宋体" w:hAnsi="宋体" w:eastAsia="宋体" w:cs="宋体"/>
                <w:sz w:val="21"/>
                <w:szCs w:val="21"/>
              </w:rPr>
            </w:pPr>
            <w:r>
              <w:rPr>
                <w:rFonts w:hint="eastAsia" w:ascii="宋体" w:hAnsi="宋体" w:eastAsia="宋体" w:cs="宋体"/>
                <w:sz w:val="21"/>
                <w:szCs w:val="21"/>
              </w:rPr>
              <w:t>审核计划已考虑到互查的公正性，无审核员审核本部门的工作，计划内容涉及各部门，条款覆盖整个体系。本次内审发现1个一般不符合项，针对不合格，责任部门已分析了原因并采取了纠正措施，按要求进行了整改，最后内审员进行了验证，纠正措施实施有效。</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内部审核结论：提供了《内部审核报告》，对现场审核进行了综述，对质量环境安全管理体系进行了符合性的综合评价，最后结论为：公司的质量环境安全管理体系基本符合标准要求，运行有效。</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24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不合格和纠正措施</w:t>
            </w:r>
          </w:p>
        </w:tc>
        <w:tc>
          <w:tcPr>
            <w:tcW w:w="1276"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E10.2</w:t>
            </w:r>
          </w:p>
          <w:p>
            <w:pPr>
              <w:spacing w:line="360" w:lineRule="auto"/>
              <w:rPr>
                <w:rFonts w:hint="eastAsia" w:ascii="宋体" w:hAnsi="宋体" w:eastAsia="宋体" w:cs="宋体"/>
                <w:sz w:val="21"/>
                <w:szCs w:val="21"/>
              </w:rPr>
            </w:pPr>
          </w:p>
        </w:tc>
        <w:tc>
          <w:tcPr>
            <w:tcW w:w="10606"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保持实施《纠正措施和预防措施控制程序》、《事故调查处置控制程序》，对纠正预防措施识别、评审、验证，事故事件报告、调查、处理等作了规定，其内容符合组织实际及标准要求。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内审中提出不合格项进行了原因分析,并制定、实施了纠正措施，并由内审员对所采取的纠正措施进行了验证，纠正措施有效，管理评审中发现的薄弱环节，分析了原因，采取了纠正措施（参见管理评审记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企业纠正和预防措施的管理符合标准规定要求。</w:t>
            </w:r>
          </w:p>
        </w:tc>
        <w:tc>
          <w:tcPr>
            <w:tcW w:w="1585" w:type="dxa"/>
          </w:tcPr>
          <w:p>
            <w:pPr>
              <w:spacing w:line="360" w:lineRule="auto"/>
              <w:rPr>
                <w:rFonts w:hint="eastAsia" w:ascii="宋体" w:hAnsi="宋体" w:eastAsia="宋体" w:cs="宋体"/>
                <w:sz w:val="21"/>
                <w:szCs w:val="21"/>
              </w:rPr>
            </w:pP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pStyle w:val="7"/>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ook Antiqua">
    <w:altName w:val="Segoe Print"/>
    <w:panose1 w:val="02040602050305030304"/>
    <w:charset w:val="00"/>
    <w:family w:val="roman"/>
    <w:pitch w:val="default"/>
    <w:sig w:usb0="00000000" w:usb1="00000000" w:usb2="00000000" w:usb3="00000000" w:csb0="0000009F"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D ISC-B-II-12管理体系审核记录表-(03版)</w:t>
                </w:r>
              </w:p>
            </w:txbxContent>
          </v:textbox>
        </v:shape>
      </w:pict>
    </w:r>
    <w:r>
      <w:rPr>
        <w:rStyle w:val="16"/>
        <w:rFonts w:hint="default"/>
      </w:rPr>
      <w:t xml:space="preserve">        </w:t>
    </w:r>
    <w:r>
      <w:rPr>
        <w:rStyle w:val="16"/>
        <w:rFonts w:hint="default"/>
        <w:w w:val="90"/>
      </w:rPr>
      <w:t>Beijing International Standard united Certification Co.,Ltd.</w:t>
    </w:r>
    <w:r>
      <w:rPr>
        <w:rStyle w:val="16"/>
        <w:rFonts w:hint="default"/>
        <w:w w:val="90"/>
        <w:szCs w:val="21"/>
      </w:rPr>
      <w:t xml:space="preserve">  </w:t>
    </w:r>
    <w:r>
      <w:rPr>
        <w:rStyle w:val="16"/>
        <w:rFonts w:hint="default"/>
        <w:w w:val="90"/>
        <w:sz w:val="20"/>
      </w:rPr>
      <w:t xml:space="preserve"> </w:t>
    </w:r>
    <w:r>
      <w:rPr>
        <w:rStyle w:val="16"/>
        <w:rFonts w:hint="default"/>
        <w:w w:val="90"/>
      </w:rPr>
      <w:t xml:space="preserve">                   </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817"/>
    <w:rsid w:val="00005351"/>
    <w:rsid w:val="000146B2"/>
    <w:rsid w:val="00014A12"/>
    <w:rsid w:val="000214B6"/>
    <w:rsid w:val="00023EF2"/>
    <w:rsid w:val="00024498"/>
    <w:rsid w:val="0002531E"/>
    <w:rsid w:val="000277D0"/>
    <w:rsid w:val="0003138C"/>
    <w:rsid w:val="000313D2"/>
    <w:rsid w:val="0003373A"/>
    <w:rsid w:val="00035EE6"/>
    <w:rsid w:val="00035FB9"/>
    <w:rsid w:val="000412F6"/>
    <w:rsid w:val="0005199E"/>
    <w:rsid w:val="00052202"/>
    <w:rsid w:val="00053F56"/>
    <w:rsid w:val="0005697E"/>
    <w:rsid w:val="000579CF"/>
    <w:rsid w:val="00060270"/>
    <w:rsid w:val="00061F6E"/>
    <w:rsid w:val="00082216"/>
    <w:rsid w:val="00082398"/>
    <w:rsid w:val="000849D2"/>
    <w:rsid w:val="00084DAD"/>
    <w:rsid w:val="000870FB"/>
    <w:rsid w:val="00094791"/>
    <w:rsid w:val="000A067A"/>
    <w:rsid w:val="000A30F9"/>
    <w:rsid w:val="000A5E44"/>
    <w:rsid w:val="000B1394"/>
    <w:rsid w:val="000B2F9B"/>
    <w:rsid w:val="000B40BD"/>
    <w:rsid w:val="000B69C3"/>
    <w:rsid w:val="000B6EAD"/>
    <w:rsid w:val="000C123B"/>
    <w:rsid w:val="000C2D5B"/>
    <w:rsid w:val="000D4F09"/>
    <w:rsid w:val="000D5401"/>
    <w:rsid w:val="000D697A"/>
    <w:rsid w:val="000D7C2E"/>
    <w:rsid w:val="000E2B69"/>
    <w:rsid w:val="000E355F"/>
    <w:rsid w:val="000E4402"/>
    <w:rsid w:val="000E7EF7"/>
    <w:rsid w:val="000F35F1"/>
    <w:rsid w:val="000F7D53"/>
    <w:rsid w:val="000F7DB7"/>
    <w:rsid w:val="001022F1"/>
    <w:rsid w:val="001037D5"/>
    <w:rsid w:val="001068A0"/>
    <w:rsid w:val="00106F20"/>
    <w:rsid w:val="00110E50"/>
    <w:rsid w:val="0011531E"/>
    <w:rsid w:val="00123A35"/>
    <w:rsid w:val="00126D95"/>
    <w:rsid w:val="00132572"/>
    <w:rsid w:val="00135F92"/>
    <w:rsid w:val="00145688"/>
    <w:rsid w:val="001456CB"/>
    <w:rsid w:val="00147EDB"/>
    <w:rsid w:val="001677C1"/>
    <w:rsid w:val="00170B6A"/>
    <w:rsid w:val="00174C08"/>
    <w:rsid w:val="00176B5D"/>
    <w:rsid w:val="001825AD"/>
    <w:rsid w:val="00187C5A"/>
    <w:rsid w:val="001918ED"/>
    <w:rsid w:val="00192A7F"/>
    <w:rsid w:val="00194D96"/>
    <w:rsid w:val="00194E5B"/>
    <w:rsid w:val="001972C0"/>
    <w:rsid w:val="001A2D7F"/>
    <w:rsid w:val="001A3DF8"/>
    <w:rsid w:val="001A572D"/>
    <w:rsid w:val="001B1B11"/>
    <w:rsid w:val="001B324E"/>
    <w:rsid w:val="001B6887"/>
    <w:rsid w:val="001B6E5E"/>
    <w:rsid w:val="001B700E"/>
    <w:rsid w:val="001C0776"/>
    <w:rsid w:val="001C2BC9"/>
    <w:rsid w:val="001C39CB"/>
    <w:rsid w:val="001C3F50"/>
    <w:rsid w:val="001C51A9"/>
    <w:rsid w:val="001C7693"/>
    <w:rsid w:val="001D1D7C"/>
    <w:rsid w:val="001D4AD8"/>
    <w:rsid w:val="001D54FF"/>
    <w:rsid w:val="001D5787"/>
    <w:rsid w:val="001E1974"/>
    <w:rsid w:val="001E72C1"/>
    <w:rsid w:val="001F71E8"/>
    <w:rsid w:val="00202BC2"/>
    <w:rsid w:val="0021168C"/>
    <w:rsid w:val="00214113"/>
    <w:rsid w:val="00215081"/>
    <w:rsid w:val="00222532"/>
    <w:rsid w:val="00235ED5"/>
    <w:rsid w:val="00237445"/>
    <w:rsid w:val="00245047"/>
    <w:rsid w:val="002555AC"/>
    <w:rsid w:val="002651A6"/>
    <w:rsid w:val="002715B5"/>
    <w:rsid w:val="002760CB"/>
    <w:rsid w:val="0027659A"/>
    <w:rsid w:val="002769EB"/>
    <w:rsid w:val="0029464B"/>
    <w:rsid w:val="002973F0"/>
    <w:rsid w:val="002975C1"/>
    <w:rsid w:val="002A0E6E"/>
    <w:rsid w:val="002A33CC"/>
    <w:rsid w:val="002B1808"/>
    <w:rsid w:val="002C1ACE"/>
    <w:rsid w:val="002C3E0D"/>
    <w:rsid w:val="002D41FB"/>
    <w:rsid w:val="002E0587"/>
    <w:rsid w:val="002E1E1D"/>
    <w:rsid w:val="002F030C"/>
    <w:rsid w:val="002F1DCE"/>
    <w:rsid w:val="003002BB"/>
    <w:rsid w:val="003120F5"/>
    <w:rsid w:val="00313F8D"/>
    <w:rsid w:val="00317401"/>
    <w:rsid w:val="00317FAF"/>
    <w:rsid w:val="0032112D"/>
    <w:rsid w:val="00325BFD"/>
    <w:rsid w:val="003264F9"/>
    <w:rsid w:val="00326FC1"/>
    <w:rsid w:val="00327EB6"/>
    <w:rsid w:val="00330DBC"/>
    <w:rsid w:val="00337922"/>
    <w:rsid w:val="00340867"/>
    <w:rsid w:val="00341CA5"/>
    <w:rsid w:val="00342857"/>
    <w:rsid w:val="003504E8"/>
    <w:rsid w:val="00351CD4"/>
    <w:rsid w:val="003608CB"/>
    <w:rsid w:val="003627B6"/>
    <w:rsid w:val="003675FE"/>
    <w:rsid w:val="003708D5"/>
    <w:rsid w:val="0037587D"/>
    <w:rsid w:val="0038061A"/>
    <w:rsid w:val="0038063B"/>
    <w:rsid w:val="00380837"/>
    <w:rsid w:val="00382EDD"/>
    <w:rsid w:val="003836CA"/>
    <w:rsid w:val="00386171"/>
    <w:rsid w:val="00386A98"/>
    <w:rsid w:val="00392D5A"/>
    <w:rsid w:val="003A1E9C"/>
    <w:rsid w:val="003A57BB"/>
    <w:rsid w:val="003A5B31"/>
    <w:rsid w:val="003B4391"/>
    <w:rsid w:val="003B63F4"/>
    <w:rsid w:val="003B686D"/>
    <w:rsid w:val="003B6EB8"/>
    <w:rsid w:val="003C7699"/>
    <w:rsid w:val="003D1723"/>
    <w:rsid w:val="003D470D"/>
    <w:rsid w:val="003D6BE3"/>
    <w:rsid w:val="003E0907"/>
    <w:rsid w:val="003E0E52"/>
    <w:rsid w:val="003E2C93"/>
    <w:rsid w:val="003F20A5"/>
    <w:rsid w:val="003F6B8B"/>
    <w:rsid w:val="00400B96"/>
    <w:rsid w:val="00405D5F"/>
    <w:rsid w:val="00410914"/>
    <w:rsid w:val="00415AA3"/>
    <w:rsid w:val="00420650"/>
    <w:rsid w:val="00420C60"/>
    <w:rsid w:val="00430432"/>
    <w:rsid w:val="00432E49"/>
    <w:rsid w:val="00433759"/>
    <w:rsid w:val="0043494E"/>
    <w:rsid w:val="004414A5"/>
    <w:rsid w:val="00441B50"/>
    <w:rsid w:val="0044209C"/>
    <w:rsid w:val="004428CE"/>
    <w:rsid w:val="00450792"/>
    <w:rsid w:val="00456697"/>
    <w:rsid w:val="00463AD4"/>
    <w:rsid w:val="00463F22"/>
    <w:rsid w:val="00465FE1"/>
    <w:rsid w:val="00475491"/>
    <w:rsid w:val="004869FB"/>
    <w:rsid w:val="00487DDC"/>
    <w:rsid w:val="00491735"/>
    <w:rsid w:val="00493760"/>
    <w:rsid w:val="00494A46"/>
    <w:rsid w:val="00497CEF"/>
    <w:rsid w:val="004A1070"/>
    <w:rsid w:val="004A38FC"/>
    <w:rsid w:val="004A4739"/>
    <w:rsid w:val="004A7106"/>
    <w:rsid w:val="004B217F"/>
    <w:rsid w:val="004B3E7F"/>
    <w:rsid w:val="004C07FE"/>
    <w:rsid w:val="004C3A73"/>
    <w:rsid w:val="004C5731"/>
    <w:rsid w:val="004C5BFE"/>
    <w:rsid w:val="004C5C5A"/>
    <w:rsid w:val="004C78A9"/>
    <w:rsid w:val="004D3E4C"/>
    <w:rsid w:val="004D55E7"/>
    <w:rsid w:val="004D62EF"/>
    <w:rsid w:val="004D7A97"/>
    <w:rsid w:val="004E5609"/>
    <w:rsid w:val="004E61BC"/>
    <w:rsid w:val="004F185D"/>
    <w:rsid w:val="005052B3"/>
    <w:rsid w:val="005056ED"/>
    <w:rsid w:val="00505819"/>
    <w:rsid w:val="005064D2"/>
    <w:rsid w:val="00515C94"/>
    <w:rsid w:val="00517E4C"/>
    <w:rsid w:val="00521CF0"/>
    <w:rsid w:val="00527341"/>
    <w:rsid w:val="0053208B"/>
    <w:rsid w:val="0053404C"/>
    <w:rsid w:val="00534814"/>
    <w:rsid w:val="00535EB3"/>
    <w:rsid w:val="00536930"/>
    <w:rsid w:val="00541AE2"/>
    <w:rsid w:val="00546D5F"/>
    <w:rsid w:val="00552785"/>
    <w:rsid w:val="00552BDE"/>
    <w:rsid w:val="005571F6"/>
    <w:rsid w:val="005577AD"/>
    <w:rsid w:val="00560A2A"/>
    <w:rsid w:val="00564E53"/>
    <w:rsid w:val="005652DC"/>
    <w:rsid w:val="005675B7"/>
    <w:rsid w:val="005706CE"/>
    <w:rsid w:val="00576C70"/>
    <w:rsid w:val="00580B9E"/>
    <w:rsid w:val="00583277"/>
    <w:rsid w:val="00592C3E"/>
    <w:rsid w:val="005978E6"/>
    <w:rsid w:val="005A000F"/>
    <w:rsid w:val="005A5268"/>
    <w:rsid w:val="005B173D"/>
    <w:rsid w:val="005B6888"/>
    <w:rsid w:val="005D1D88"/>
    <w:rsid w:val="005D59EB"/>
    <w:rsid w:val="005F6C65"/>
    <w:rsid w:val="00600F02"/>
    <w:rsid w:val="00604098"/>
    <w:rsid w:val="0060444D"/>
    <w:rsid w:val="00611393"/>
    <w:rsid w:val="00615924"/>
    <w:rsid w:val="006223EE"/>
    <w:rsid w:val="00624222"/>
    <w:rsid w:val="00633AC5"/>
    <w:rsid w:val="00642776"/>
    <w:rsid w:val="00644FE2"/>
    <w:rsid w:val="00645FB8"/>
    <w:rsid w:val="00651986"/>
    <w:rsid w:val="006545E8"/>
    <w:rsid w:val="006629CC"/>
    <w:rsid w:val="00664736"/>
    <w:rsid w:val="00665980"/>
    <w:rsid w:val="006676DD"/>
    <w:rsid w:val="0067640C"/>
    <w:rsid w:val="00681DFF"/>
    <w:rsid w:val="006836D9"/>
    <w:rsid w:val="00683914"/>
    <w:rsid w:val="0068548D"/>
    <w:rsid w:val="00686182"/>
    <w:rsid w:val="00692812"/>
    <w:rsid w:val="006946B4"/>
    <w:rsid w:val="00695256"/>
    <w:rsid w:val="00695570"/>
    <w:rsid w:val="006969F1"/>
    <w:rsid w:val="00696AF1"/>
    <w:rsid w:val="006A3B31"/>
    <w:rsid w:val="006A68F3"/>
    <w:rsid w:val="006A7352"/>
    <w:rsid w:val="006B182C"/>
    <w:rsid w:val="006B4127"/>
    <w:rsid w:val="006C058B"/>
    <w:rsid w:val="006C24BF"/>
    <w:rsid w:val="006C36AB"/>
    <w:rsid w:val="006C40B9"/>
    <w:rsid w:val="006C4CFB"/>
    <w:rsid w:val="006D265F"/>
    <w:rsid w:val="006D4DF7"/>
    <w:rsid w:val="006D5BDA"/>
    <w:rsid w:val="006E678B"/>
    <w:rsid w:val="006F2682"/>
    <w:rsid w:val="0070367F"/>
    <w:rsid w:val="00710655"/>
    <w:rsid w:val="00712F3C"/>
    <w:rsid w:val="007170AA"/>
    <w:rsid w:val="007175F5"/>
    <w:rsid w:val="0072638A"/>
    <w:rsid w:val="00726642"/>
    <w:rsid w:val="00732B66"/>
    <w:rsid w:val="007378E4"/>
    <w:rsid w:val="00737C8F"/>
    <w:rsid w:val="007406DE"/>
    <w:rsid w:val="00743E79"/>
    <w:rsid w:val="00744BEA"/>
    <w:rsid w:val="00751532"/>
    <w:rsid w:val="00751C37"/>
    <w:rsid w:val="00754C46"/>
    <w:rsid w:val="0075769B"/>
    <w:rsid w:val="007618BC"/>
    <w:rsid w:val="00772340"/>
    <w:rsid w:val="007757F3"/>
    <w:rsid w:val="007815DC"/>
    <w:rsid w:val="007839F5"/>
    <w:rsid w:val="00783C4A"/>
    <w:rsid w:val="00787C80"/>
    <w:rsid w:val="00790D5E"/>
    <w:rsid w:val="00790FC6"/>
    <w:rsid w:val="00794D01"/>
    <w:rsid w:val="00795FA6"/>
    <w:rsid w:val="007A2C5A"/>
    <w:rsid w:val="007A47FB"/>
    <w:rsid w:val="007A6299"/>
    <w:rsid w:val="007B106B"/>
    <w:rsid w:val="007B275D"/>
    <w:rsid w:val="007C24A1"/>
    <w:rsid w:val="007E03E9"/>
    <w:rsid w:val="007E6AEB"/>
    <w:rsid w:val="007E7C11"/>
    <w:rsid w:val="007F01EC"/>
    <w:rsid w:val="007F0EA0"/>
    <w:rsid w:val="007F1DD4"/>
    <w:rsid w:val="007F3AD5"/>
    <w:rsid w:val="007F6A62"/>
    <w:rsid w:val="007F7DF2"/>
    <w:rsid w:val="00803706"/>
    <w:rsid w:val="0080433F"/>
    <w:rsid w:val="008079FA"/>
    <w:rsid w:val="00810D58"/>
    <w:rsid w:val="00812C6B"/>
    <w:rsid w:val="00815AF5"/>
    <w:rsid w:val="008160E3"/>
    <w:rsid w:val="00827CD6"/>
    <w:rsid w:val="008343CB"/>
    <w:rsid w:val="00834F70"/>
    <w:rsid w:val="00835B31"/>
    <w:rsid w:val="00850591"/>
    <w:rsid w:val="008638DE"/>
    <w:rsid w:val="00863B20"/>
    <w:rsid w:val="008646DE"/>
    <w:rsid w:val="00864902"/>
    <w:rsid w:val="00864BE7"/>
    <w:rsid w:val="00865200"/>
    <w:rsid w:val="00871695"/>
    <w:rsid w:val="0088174B"/>
    <w:rsid w:val="00881C64"/>
    <w:rsid w:val="00885631"/>
    <w:rsid w:val="00886006"/>
    <w:rsid w:val="00891C25"/>
    <w:rsid w:val="00894200"/>
    <w:rsid w:val="008973EE"/>
    <w:rsid w:val="008A4AC0"/>
    <w:rsid w:val="008A7C7E"/>
    <w:rsid w:val="008B028C"/>
    <w:rsid w:val="008B21BA"/>
    <w:rsid w:val="008B4EE2"/>
    <w:rsid w:val="008B7990"/>
    <w:rsid w:val="008C199E"/>
    <w:rsid w:val="008C1CA5"/>
    <w:rsid w:val="008C53BD"/>
    <w:rsid w:val="008D089D"/>
    <w:rsid w:val="008E792C"/>
    <w:rsid w:val="008F0B04"/>
    <w:rsid w:val="008F6DB9"/>
    <w:rsid w:val="008F7C55"/>
    <w:rsid w:val="00901BAF"/>
    <w:rsid w:val="0091272B"/>
    <w:rsid w:val="00930694"/>
    <w:rsid w:val="00932193"/>
    <w:rsid w:val="0093521F"/>
    <w:rsid w:val="0093786C"/>
    <w:rsid w:val="00945677"/>
    <w:rsid w:val="0095571F"/>
    <w:rsid w:val="00955B84"/>
    <w:rsid w:val="0095689B"/>
    <w:rsid w:val="00962F78"/>
    <w:rsid w:val="00965A0E"/>
    <w:rsid w:val="0096609F"/>
    <w:rsid w:val="00971600"/>
    <w:rsid w:val="00984342"/>
    <w:rsid w:val="00993632"/>
    <w:rsid w:val="00996B0D"/>
    <w:rsid w:val="009973B4"/>
    <w:rsid w:val="009A1279"/>
    <w:rsid w:val="009A4B5C"/>
    <w:rsid w:val="009A6F79"/>
    <w:rsid w:val="009B16F4"/>
    <w:rsid w:val="009B4D68"/>
    <w:rsid w:val="009B6785"/>
    <w:rsid w:val="009B6AB3"/>
    <w:rsid w:val="009B7EB8"/>
    <w:rsid w:val="009C131F"/>
    <w:rsid w:val="009D1075"/>
    <w:rsid w:val="009D1A3F"/>
    <w:rsid w:val="009D2F66"/>
    <w:rsid w:val="009D57CF"/>
    <w:rsid w:val="009E2238"/>
    <w:rsid w:val="009E30DA"/>
    <w:rsid w:val="009E3D68"/>
    <w:rsid w:val="009E3FDC"/>
    <w:rsid w:val="009E6193"/>
    <w:rsid w:val="009E7DD1"/>
    <w:rsid w:val="009F6386"/>
    <w:rsid w:val="009F7BFC"/>
    <w:rsid w:val="009F7EED"/>
    <w:rsid w:val="00A0721A"/>
    <w:rsid w:val="00A138EC"/>
    <w:rsid w:val="00A378F6"/>
    <w:rsid w:val="00A41F32"/>
    <w:rsid w:val="00A50B4B"/>
    <w:rsid w:val="00A57E86"/>
    <w:rsid w:val="00A64722"/>
    <w:rsid w:val="00A743CD"/>
    <w:rsid w:val="00A801DE"/>
    <w:rsid w:val="00A80C1F"/>
    <w:rsid w:val="00A81FD7"/>
    <w:rsid w:val="00A86BDD"/>
    <w:rsid w:val="00A90A22"/>
    <w:rsid w:val="00A969B9"/>
    <w:rsid w:val="00A97734"/>
    <w:rsid w:val="00AA1858"/>
    <w:rsid w:val="00AA5451"/>
    <w:rsid w:val="00AA6131"/>
    <w:rsid w:val="00AA6A45"/>
    <w:rsid w:val="00AA7F40"/>
    <w:rsid w:val="00AB41FC"/>
    <w:rsid w:val="00AB7D2F"/>
    <w:rsid w:val="00AC1D8B"/>
    <w:rsid w:val="00AC24B1"/>
    <w:rsid w:val="00AC260E"/>
    <w:rsid w:val="00AD145D"/>
    <w:rsid w:val="00AD20E6"/>
    <w:rsid w:val="00AD6F34"/>
    <w:rsid w:val="00AE020D"/>
    <w:rsid w:val="00AF0AAB"/>
    <w:rsid w:val="00AF156F"/>
    <w:rsid w:val="00AF616B"/>
    <w:rsid w:val="00B034AD"/>
    <w:rsid w:val="00B0685B"/>
    <w:rsid w:val="00B0721E"/>
    <w:rsid w:val="00B14B87"/>
    <w:rsid w:val="00B22D22"/>
    <w:rsid w:val="00B23030"/>
    <w:rsid w:val="00B237B9"/>
    <w:rsid w:val="00B23CAA"/>
    <w:rsid w:val="00B2489D"/>
    <w:rsid w:val="00B410EE"/>
    <w:rsid w:val="00B427EC"/>
    <w:rsid w:val="00B546C0"/>
    <w:rsid w:val="00B565BF"/>
    <w:rsid w:val="00B73843"/>
    <w:rsid w:val="00B73B0E"/>
    <w:rsid w:val="00B73EA8"/>
    <w:rsid w:val="00B8202D"/>
    <w:rsid w:val="00B91271"/>
    <w:rsid w:val="00B91605"/>
    <w:rsid w:val="00B929FD"/>
    <w:rsid w:val="00B95B99"/>
    <w:rsid w:val="00B95F69"/>
    <w:rsid w:val="00BA5B19"/>
    <w:rsid w:val="00BC0122"/>
    <w:rsid w:val="00BC2015"/>
    <w:rsid w:val="00BC71B0"/>
    <w:rsid w:val="00BD3E2B"/>
    <w:rsid w:val="00BD4E08"/>
    <w:rsid w:val="00BD6DBC"/>
    <w:rsid w:val="00BE512D"/>
    <w:rsid w:val="00BF597E"/>
    <w:rsid w:val="00C03098"/>
    <w:rsid w:val="00C10EF3"/>
    <w:rsid w:val="00C14685"/>
    <w:rsid w:val="00C31C73"/>
    <w:rsid w:val="00C31C8D"/>
    <w:rsid w:val="00C431C9"/>
    <w:rsid w:val="00C513CB"/>
    <w:rsid w:val="00C51A36"/>
    <w:rsid w:val="00C548BE"/>
    <w:rsid w:val="00C55228"/>
    <w:rsid w:val="00C619C1"/>
    <w:rsid w:val="00C62031"/>
    <w:rsid w:val="00C67E19"/>
    <w:rsid w:val="00C67E47"/>
    <w:rsid w:val="00C71E85"/>
    <w:rsid w:val="00C750BE"/>
    <w:rsid w:val="00C76A3E"/>
    <w:rsid w:val="00C85E49"/>
    <w:rsid w:val="00C86F9B"/>
    <w:rsid w:val="00C87FEE"/>
    <w:rsid w:val="00C90930"/>
    <w:rsid w:val="00C920A9"/>
    <w:rsid w:val="00C93340"/>
    <w:rsid w:val="00C9447D"/>
    <w:rsid w:val="00CB0154"/>
    <w:rsid w:val="00CB0D49"/>
    <w:rsid w:val="00CB127F"/>
    <w:rsid w:val="00CB1FBC"/>
    <w:rsid w:val="00CB260B"/>
    <w:rsid w:val="00CB3729"/>
    <w:rsid w:val="00CB43FE"/>
    <w:rsid w:val="00CC0969"/>
    <w:rsid w:val="00CC2A01"/>
    <w:rsid w:val="00CC3BF9"/>
    <w:rsid w:val="00CD394A"/>
    <w:rsid w:val="00CD68C2"/>
    <w:rsid w:val="00CD6C83"/>
    <w:rsid w:val="00CE0AA5"/>
    <w:rsid w:val="00CE2A9E"/>
    <w:rsid w:val="00CE315A"/>
    <w:rsid w:val="00CE4B8A"/>
    <w:rsid w:val="00CE7BE1"/>
    <w:rsid w:val="00CF147A"/>
    <w:rsid w:val="00CF1726"/>
    <w:rsid w:val="00CF5473"/>
    <w:rsid w:val="00CF6C5C"/>
    <w:rsid w:val="00D004F0"/>
    <w:rsid w:val="00D06F59"/>
    <w:rsid w:val="00D071AB"/>
    <w:rsid w:val="00D3392D"/>
    <w:rsid w:val="00D379ED"/>
    <w:rsid w:val="00D37D1B"/>
    <w:rsid w:val="00D41F5E"/>
    <w:rsid w:val="00D429D7"/>
    <w:rsid w:val="00D42D53"/>
    <w:rsid w:val="00D548EE"/>
    <w:rsid w:val="00D55E69"/>
    <w:rsid w:val="00D562F6"/>
    <w:rsid w:val="00D74FBF"/>
    <w:rsid w:val="00D75463"/>
    <w:rsid w:val="00D75EFF"/>
    <w:rsid w:val="00D80770"/>
    <w:rsid w:val="00D83050"/>
    <w:rsid w:val="00D8388C"/>
    <w:rsid w:val="00D97182"/>
    <w:rsid w:val="00DA0DF0"/>
    <w:rsid w:val="00DA657E"/>
    <w:rsid w:val="00DB2382"/>
    <w:rsid w:val="00DB756E"/>
    <w:rsid w:val="00DC330A"/>
    <w:rsid w:val="00DD10DC"/>
    <w:rsid w:val="00DD1C8E"/>
    <w:rsid w:val="00DD1D21"/>
    <w:rsid w:val="00DD48B3"/>
    <w:rsid w:val="00DE146D"/>
    <w:rsid w:val="00DE2D80"/>
    <w:rsid w:val="00DE33EC"/>
    <w:rsid w:val="00DE6FCE"/>
    <w:rsid w:val="00DF6570"/>
    <w:rsid w:val="00DF76DB"/>
    <w:rsid w:val="00DF7D02"/>
    <w:rsid w:val="00E01EE2"/>
    <w:rsid w:val="00E038E4"/>
    <w:rsid w:val="00E0521C"/>
    <w:rsid w:val="00E11CD7"/>
    <w:rsid w:val="00E13D9A"/>
    <w:rsid w:val="00E14BA9"/>
    <w:rsid w:val="00E221C3"/>
    <w:rsid w:val="00E32D13"/>
    <w:rsid w:val="00E34F47"/>
    <w:rsid w:val="00E420B7"/>
    <w:rsid w:val="00E43822"/>
    <w:rsid w:val="00E54035"/>
    <w:rsid w:val="00E5717A"/>
    <w:rsid w:val="00E62996"/>
    <w:rsid w:val="00E63714"/>
    <w:rsid w:val="00E64A51"/>
    <w:rsid w:val="00E676F9"/>
    <w:rsid w:val="00E7279B"/>
    <w:rsid w:val="00E84C02"/>
    <w:rsid w:val="00E90BBC"/>
    <w:rsid w:val="00E910C0"/>
    <w:rsid w:val="00E95637"/>
    <w:rsid w:val="00E97424"/>
    <w:rsid w:val="00EA04FF"/>
    <w:rsid w:val="00EA55F7"/>
    <w:rsid w:val="00EB0164"/>
    <w:rsid w:val="00EB5DF5"/>
    <w:rsid w:val="00EB65F7"/>
    <w:rsid w:val="00EB7607"/>
    <w:rsid w:val="00EC3DBA"/>
    <w:rsid w:val="00EC42F5"/>
    <w:rsid w:val="00EC6620"/>
    <w:rsid w:val="00ED0F62"/>
    <w:rsid w:val="00ED7F2E"/>
    <w:rsid w:val="00EE5CD9"/>
    <w:rsid w:val="00EE6713"/>
    <w:rsid w:val="00EE71F4"/>
    <w:rsid w:val="00EF29B6"/>
    <w:rsid w:val="00EF36E7"/>
    <w:rsid w:val="00F06B25"/>
    <w:rsid w:val="00F06D09"/>
    <w:rsid w:val="00F11201"/>
    <w:rsid w:val="00F115BF"/>
    <w:rsid w:val="00F14D99"/>
    <w:rsid w:val="00F2038C"/>
    <w:rsid w:val="00F25AFF"/>
    <w:rsid w:val="00F31E8A"/>
    <w:rsid w:val="00F32CB9"/>
    <w:rsid w:val="00F33729"/>
    <w:rsid w:val="00F3372A"/>
    <w:rsid w:val="00F35CD7"/>
    <w:rsid w:val="00F3666E"/>
    <w:rsid w:val="00F44D4E"/>
    <w:rsid w:val="00F46C3F"/>
    <w:rsid w:val="00F47508"/>
    <w:rsid w:val="00F47878"/>
    <w:rsid w:val="00F55DB9"/>
    <w:rsid w:val="00F606E1"/>
    <w:rsid w:val="00F60CA3"/>
    <w:rsid w:val="00F6739D"/>
    <w:rsid w:val="00F83639"/>
    <w:rsid w:val="00F840C3"/>
    <w:rsid w:val="00F856F5"/>
    <w:rsid w:val="00F8598C"/>
    <w:rsid w:val="00F956F5"/>
    <w:rsid w:val="00F97087"/>
    <w:rsid w:val="00FA0833"/>
    <w:rsid w:val="00FA2467"/>
    <w:rsid w:val="00FA25E4"/>
    <w:rsid w:val="00FA2988"/>
    <w:rsid w:val="00FA350D"/>
    <w:rsid w:val="00FB03C3"/>
    <w:rsid w:val="00FB5A65"/>
    <w:rsid w:val="00FB6C45"/>
    <w:rsid w:val="00FC01AB"/>
    <w:rsid w:val="00FD2869"/>
    <w:rsid w:val="00FD3F5E"/>
    <w:rsid w:val="00FD5EE5"/>
    <w:rsid w:val="00FD72A6"/>
    <w:rsid w:val="00FE09C9"/>
    <w:rsid w:val="00FE1887"/>
    <w:rsid w:val="00FE3DB1"/>
    <w:rsid w:val="08A61E5E"/>
    <w:rsid w:val="0D4757CF"/>
    <w:rsid w:val="0FC90975"/>
    <w:rsid w:val="101C679D"/>
    <w:rsid w:val="108219C2"/>
    <w:rsid w:val="11244A4F"/>
    <w:rsid w:val="15DB77AE"/>
    <w:rsid w:val="16645E7C"/>
    <w:rsid w:val="19B948A2"/>
    <w:rsid w:val="19D00607"/>
    <w:rsid w:val="1C4342E4"/>
    <w:rsid w:val="21782CF5"/>
    <w:rsid w:val="2481550B"/>
    <w:rsid w:val="27927A63"/>
    <w:rsid w:val="294B6CAF"/>
    <w:rsid w:val="2D39602A"/>
    <w:rsid w:val="320B56C1"/>
    <w:rsid w:val="335D1C5D"/>
    <w:rsid w:val="34834C15"/>
    <w:rsid w:val="39E33113"/>
    <w:rsid w:val="401624FA"/>
    <w:rsid w:val="43223F59"/>
    <w:rsid w:val="4A124191"/>
    <w:rsid w:val="4F3B4B55"/>
    <w:rsid w:val="50A242C0"/>
    <w:rsid w:val="519E1AF0"/>
    <w:rsid w:val="53322D5A"/>
    <w:rsid w:val="569129EC"/>
    <w:rsid w:val="56AE391F"/>
    <w:rsid w:val="5EA12B9A"/>
    <w:rsid w:val="5F3953E0"/>
    <w:rsid w:val="5FE97E22"/>
    <w:rsid w:val="63701629"/>
    <w:rsid w:val="63CD6F63"/>
    <w:rsid w:val="6B7935B7"/>
    <w:rsid w:val="70F63BBC"/>
    <w:rsid w:val="7CB06A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link w:val="20"/>
    <w:unhideWhenUsed/>
    <w:qFormat/>
    <w:uiPriority w:val="99"/>
    <w:pPr>
      <w:spacing w:line="420" w:lineRule="exact"/>
    </w:pPr>
    <w:rPr>
      <w:sz w:val="24"/>
    </w:rPr>
  </w:style>
  <w:style w:type="paragraph" w:styleId="5">
    <w:name w:val="Plain Text"/>
    <w:basedOn w:val="1"/>
    <w:link w:val="22"/>
    <w:qFormat/>
    <w:uiPriority w:val="0"/>
    <w:rPr>
      <w:rFonts w:ascii="宋体" w:hAnsi="Courier New"/>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link w:val="23"/>
    <w:qFormat/>
    <w:uiPriority w:val="0"/>
    <w:pPr>
      <w:widowControl/>
      <w:jc w:val="center"/>
    </w:pPr>
    <w:rPr>
      <w:rFonts w:ascii="Book Antiqua" w:hAnsi="Book Antiqua"/>
      <w:b/>
      <w:kern w:val="0"/>
      <w:sz w:val="31"/>
      <w:szCs w:val="31"/>
      <w:u w:val="single"/>
      <w:lang w:eastAsia="en-US"/>
    </w:rPr>
  </w:style>
  <w:style w:type="table" w:styleId="11">
    <w:name w:val="Table Grid"/>
    <w:basedOn w:val="10"/>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8"/>
    <w:qFormat/>
    <w:uiPriority w:val="99"/>
    <w:rPr>
      <w:rFonts w:ascii="Times New Roman" w:hAnsi="Times New Roman" w:eastAsia="宋体" w:cs="Times New Roman"/>
      <w:sz w:val="18"/>
      <w:szCs w:val="18"/>
    </w:rPr>
  </w:style>
  <w:style w:type="character" w:customStyle="1" w:styleId="14">
    <w:name w:val="页脚 Char"/>
    <w:basedOn w:val="12"/>
    <w:link w:val="7"/>
    <w:qFormat/>
    <w:uiPriority w:val="99"/>
    <w:rPr>
      <w:rFonts w:ascii="Times New Roman" w:hAnsi="Times New Roman" w:eastAsia="宋体" w:cs="Times New Roman"/>
      <w:sz w:val="18"/>
      <w:szCs w:val="18"/>
    </w:rPr>
  </w:style>
  <w:style w:type="character" w:customStyle="1" w:styleId="15">
    <w:name w:val="批注框文本 Char"/>
    <w:basedOn w:val="12"/>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fontstyle01"/>
    <w:basedOn w:val="12"/>
    <w:qFormat/>
    <w:uiPriority w:val="0"/>
    <w:rPr>
      <w:rFonts w:hint="eastAsia" w:ascii="宋体" w:hAnsi="宋体" w:eastAsia="宋体"/>
      <w:color w:val="000000"/>
      <w:sz w:val="24"/>
      <w:szCs w:val="24"/>
    </w:rPr>
  </w:style>
  <w:style w:type="character" w:customStyle="1" w:styleId="18">
    <w:name w:val="fontstyle21"/>
    <w:basedOn w:val="12"/>
    <w:qFormat/>
    <w:uiPriority w:val="0"/>
    <w:rPr>
      <w:rFonts w:hint="default" w:ascii="Times New Roman" w:hAnsi="Times New Roman" w:cs="Times New Roman"/>
      <w:color w:val="000000"/>
      <w:sz w:val="24"/>
      <w:szCs w:val="24"/>
    </w:rPr>
  </w:style>
  <w:style w:type="character" w:customStyle="1" w:styleId="19">
    <w:name w:val="标题 2 Char"/>
    <w:basedOn w:val="12"/>
    <w:link w:val="2"/>
    <w:qFormat/>
    <w:uiPriority w:val="9"/>
    <w:rPr>
      <w:rFonts w:asciiTheme="majorHAnsi" w:hAnsiTheme="majorHAnsi" w:eastAsiaTheme="majorEastAsia" w:cstheme="majorBidi"/>
      <w:b/>
      <w:bCs/>
      <w:kern w:val="2"/>
      <w:sz w:val="32"/>
      <w:szCs w:val="32"/>
    </w:rPr>
  </w:style>
  <w:style w:type="character" w:customStyle="1" w:styleId="20">
    <w:name w:val="正文文本 Char"/>
    <w:basedOn w:val="12"/>
    <w:link w:val="4"/>
    <w:qFormat/>
    <w:uiPriority w:val="99"/>
    <w:rPr>
      <w:rFonts w:ascii="Times New Roman" w:hAnsi="Times New Roman" w:eastAsia="宋体" w:cs="Times New Roman"/>
      <w:kern w:val="2"/>
      <w:sz w:val="24"/>
    </w:rPr>
  </w:style>
  <w:style w:type="paragraph" w:customStyle="1" w:styleId="21">
    <w:name w:val="表格文字"/>
    <w:basedOn w:val="1"/>
    <w:qFormat/>
    <w:uiPriority w:val="0"/>
    <w:pPr>
      <w:spacing w:before="25" w:after="25"/>
    </w:pPr>
    <w:rPr>
      <w:bCs/>
      <w:spacing w:val="10"/>
    </w:rPr>
  </w:style>
  <w:style w:type="character" w:customStyle="1" w:styleId="22">
    <w:name w:val="纯文本 Char"/>
    <w:basedOn w:val="12"/>
    <w:link w:val="5"/>
    <w:qFormat/>
    <w:uiPriority w:val="0"/>
    <w:rPr>
      <w:rFonts w:ascii="宋体" w:hAnsi="Courier New" w:eastAsia="宋体" w:cs="Times New Roman"/>
      <w:kern w:val="2"/>
      <w:sz w:val="21"/>
    </w:rPr>
  </w:style>
  <w:style w:type="character" w:customStyle="1" w:styleId="23">
    <w:name w:val="标题 Char"/>
    <w:basedOn w:val="12"/>
    <w:link w:val="9"/>
    <w:qFormat/>
    <w:uiPriority w:val="0"/>
    <w:rPr>
      <w:rFonts w:ascii="Book Antiqua" w:hAnsi="Book Antiqua" w:eastAsia="宋体" w:cs="Times New Roman"/>
      <w:b/>
      <w:sz w:val="31"/>
      <w:szCs w:val="31"/>
      <w:u w:val="single"/>
      <w:lang w:eastAsia="en-US"/>
    </w:rPr>
  </w:style>
  <w:style w:type="paragraph" w:styleId="2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1492</Words>
  <Characters>8506</Characters>
  <Lines>70</Lines>
  <Paragraphs>19</Paragraphs>
  <TotalTime>5</TotalTime>
  <ScaleCrop>false</ScaleCrop>
  <LinksUpToDate>false</LinksUpToDate>
  <CharactersWithSpaces>9979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2020-12-13T01:31:16Z</dcterms:modified>
  <cp:revision>857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