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供销</w:t>
            </w:r>
            <w:r>
              <w:rPr>
                <w:rFonts w:hint="eastAsia" w:ascii="楷体" w:hAnsi="楷体" w:eastAsia="楷体"/>
                <w:sz w:val="24"/>
                <w:szCs w:val="24"/>
              </w:rPr>
              <w:t>部</w:t>
            </w:r>
            <w:r>
              <w:rPr>
                <w:rFonts w:ascii="楷体" w:hAnsi="楷体" w:eastAsia="楷体"/>
                <w:sz w:val="24"/>
                <w:szCs w:val="24"/>
              </w:rPr>
              <w:t xml:space="preserve">  </w:t>
            </w:r>
            <w:r>
              <w:rPr>
                <w:rFonts w:hint="eastAsia" w:ascii="楷体" w:hAnsi="楷体" w:eastAsia="楷体"/>
                <w:sz w:val="24"/>
                <w:szCs w:val="24"/>
              </w:rPr>
              <w:t xml:space="preserve">   主管领导：</w:t>
            </w:r>
            <w:r>
              <w:rPr>
                <w:rFonts w:hint="eastAsia" w:ascii="楷体" w:hAnsi="楷体" w:eastAsia="楷体"/>
                <w:sz w:val="24"/>
                <w:szCs w:val="24"/>
                <w:lang w:val="en-US" w:eastAsia="zh-CN"/>
              </w:rPr>
              <w:t>曹红国</w:t>
            </w:r>
            <w:r>
              <w:rPr>
                <w:rFonts w:ascii="楷体" w:hAnsi="楷体" w:eastAsia="楷体"/>
                <w:sz w:val="24"/>
                <w:szCs w:val="24"/>
              </w:rPr>
              <w:t xml:space="preserve"> </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闫高强</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ascii="楷体" w:hAnsi="楷体" w:eastAsia="楷体"/>
                <w:sz w:val="24"/>
                <w:szCs w:val="24"/>
              </w:rPr>
              <w:t xml:space="preserve">    </w:t>
            </w:r>
            <w:r>
              <w:rPr>
                <w:rFonts w:hint="eastAsia" w:ascii="楷体" w:hAnsi="楷体" w:eastAsia="楷体"/>
                <w:sz w:val="24"/>
                <w:szCs w:val="24"/>
              </w:rPr>
              <w:t>审核时间：</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12</w:t>
            </w:r>
            <w:r>
              <w:rPr>
                <w:rFonts w:ascii="楷体" w:hAnsi="楷体" w:eastAsia="楷体"/>
                <w:sz w:val="24"/>
                <w:szCs w:val="24"/>
              </w:rPr>
              <w:t>.</w:t>
            </w:r>
            <w:r>
              <w:rPr>
                <w:rFonts w:hint="eastAsia" w:ascii="楷体" w:hAnsi="楷体" w:eastAsia="楷体"/>
                <w:sz w:val="24"/>
                <w:szCs w:val="24"/>
                <w:lang w:val="en-US" w:eastAsia="zh-CN"/>
              </w:rPr>
              <w:t>13</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rPr>
                <w:rFonts w:hint="eastAsia" w:ascii="楷体" w:hAnsi="楷体" w:eastAsia="楷体"/>
                <w:sz w:val="24"/>
                <w:szCs w:val="24"/>
              </w:rPr>
            </w:pPr>
            <w:r>
              <w:rPr>
                <w:rFonts w:hint="eastAsia" w:ascii="楷体" w:hAnsi="楷体" w:eastAsia="楷体"/>
                <w:sz w:val="24"/>
                <w:szCs w:val="24"/>
              </w:rPr>
              <w:t>审核条款：</w:t>
            </w:r>
          </w:p>
          <w:p>
            <w:pPr>
              <w:rPr>
                <w:rFonts w:ascii="楷体" w:hAnsi="楷体" w:eastAsia="楷体"/>
                <w:sz w:val="24"/>
                <w:szCs w:val="24"/>
              </w:rPr>
            </w:pPr>
            <w:r>
              <w:rPr>
                <w:rFonts w:hint="eastAsia" w:ascii="宋体" w:hAnsi="宋体"/>
                <w:kern w:val="0"/>
                <w:sz w:val="21"/>
                <w:szCs w:val="21"/>
              </w:rPr>
              <w:t>5.3组织的岗位、职责和权限、6.2环境目标、6.1.2环境因素、8.1运行策划和控制、8.2应急准备和响应，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宋体" w:hAnsi="宋体" w:cs="Arial"/>
                <w:szCs w:val="21"/>
              </w:rPr>
              <w:t>组织的岗位、职责和权限</w:t>
            </w:r>
          </w:p>
        </w:tc>
        <w:tc>
          <w:tcPr>
            <w:tcW w:w="1311" w:type="dxa"/>
          </w:tcPr>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 xml:space="preserve"> 5.3</w:t>
            </w:r>
          </w:p>
        </w:tc>
        <w:tc>
          <w:tcPr>
            <w:tcW w:w="10004" w:type="dxa"/>
          </w:tcPr>
          <w:p>
            <w:pPr>
              <w:spacing w:line="360" w:lineRule="auto"/>
              <w:ind w:firstLine="420" w:firstLineChars="200"/>
              <w:rPr>
                <w:rFonts w:ascii="宋体" w:cs="宋体"/>
                <w:szCs w:val="21"/>
              </w:rPr>
            </w:pPr>
            <w:r>
              <w:rPr>
                <w:rFonts w:hint="eastAsia" w:ascii="宋体" w:hAnsi="宋体" w:cs="宋体"/>
                <w:szCs w:val="21"/>
              </w:rPr>
              <w:t>现场审核过程了解到部门主要负责：市场调研与开发，招投标、商务谈判及合同评审、供方选择及能力评价与调查，顾客档案建立，售后服务及顾客满意度评价与分析，采购管理控制，</w:t>
            </w:r>
            <w:r>
              <w:rPr>
                <w:rFonts w:hint="eastAsia"/>
                <w:szCs w:val="21"/>
              </w:rPr>
              <w:t>负责宣传影响主要供应商及外包方等相关方的环境行为</w:t>
            </w:r>
            <w:r>
              <w:rPr>
                <w:rFonts w:hint="eastAsia"/>
                <w:szCs w:val="21"/>
                <w:lang w:eastAsia="zh-CN"/>
              </w:rPr>
              <w:t>，</w:t>
            </w:r>
            <w:r>
              <w:rPr>
                <w:rFonts w:hint="eastAsia" w:ascii="宋体" w:hAnsi="宋体" w:cs="宋体"/>
                <w:szCs w:val="21"/>
              </w:rPr>
              <w:t>本部门环境因素识别控制</w:t>
            </w:r>
            <w:r>
              <w:rPr>
                <w:rFonts w:hint="eastAsia" w:ascii="宋体" w:hAnsi="宋体" w:cs="宋体"/>
                <w:szCs w:val="21"/>
                <w:lang w:eastAsia="zh-CN"/>
              </w:rPr>
              <w:t>、</w:t>
            </w:r>
            <w:r>
              <w:rPr>
                <w:rFonts w:hint="eastAsia" w:ascii="宋体" w:hAnsi="宋体" w:cs="宋体"/>
                <w:szCs w:val="21"/>
              </w:rPr>
              <w:t>目标制定与实施，与相关方做好沟通，对供方环境因素等进行控制或施加影响等。</w:t>
            </w:r>
          </w:p>
          <w:p>
            <w:pPr>
              <w:tabs>
                <w:tab w:val="left" w:pos="6597"/>
              </w:tabs>
              <w:spacing w:line="360" w:lineRule="auto"/>
              <w:ind w:firstLine="420" w:firstLineChars="200"/>
              <w:rPr>
                <w:rFonts w:ascii="宋体"/>
                <w:szCs w:val="21"/>
              </w:rPr>
            </w:pPr>
            <w:r>
              <w:rPr>
                <w:rFonts w:hint="eastAsia" w:ascii="宋体" w:hAnsi="宋体" w:cs="宋体"/>
                <w:szCs w:val="21"/>
              </w:rPr>
              <w:t>经与经理交流发现其对部门职责权限基本掌握，部门职责得到合理分配，未发现因职责不清责任不明而造成体系运行失效的情况。</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ascii="宋体" w:cs="Arial"/>
                <w:szCs w:val="21"/>
              </w:rPr>
            </w:pPr>
            <w:r>
              <w:rPr>
                <w:rFonts w:hint="eastAsia" w:ascii="宋体" w:hAnsi="宋体" w:cs="Arial"/>
                <w:szCs w:val="21"/>
              </w:rPr>
              <w:t>目标</w:t>
            </w:r>
            <w:r>
              <w:rPr>
                <w:rFonts w:ascii="宋体" w:hAnsi="宋体" w:cs="Arial"/>
                <w:szCs w:val="21"/>
              </w:rPr>
              <w:t xml:space="preserve"> </w:t>
            </w:r>
          </w:p>
        </w:tc>
        <w:tc>
          <w:tcPr>
            <w:tcW w:w="1311" w:type="dxa"/>
            <w:vAlign w:val="center"/>
          </w:tcPr>
          <w:p>
            <w:pPr>
              <w:spacing w:line="360" w:lineRule="auto"/>
              <w:rPr>
                <w:rFonts w:ascii="宋体" w:cs="Arial"/>
                <w:szCs w:val="21"/>
              </w:rPr>
            </w:pPr>
            <w:r>
              <w:rPr>
                <w:rFonts w:ascii="宋体" w:hAnsi="宋体" w:cs="Arial"/>
                <w:szCs w:val="21"/>
              </w:rPr>
              <w:t>E:6.2</w:t>
            </w:r>
          </w:p>
        </w:tc>
        <w:tc>
          <w:tcPr>
            <w:tcW w:w="10004" w:type="dxa"/>
            <w:vAlign w:val="center"/>
          </w:tcPr>
          <w:p>
            <w:pPr>
              <w:spacing w:line="360" w:lineRule="auto"/>
              <w:rPr>
                <w:rFonts w:ascii="宋体" w:cs="Arial"/>
                <w:szCs w:val="21"/>
              </w:rPr>
            </w:pPr>
            <w:r>
              <w:rPr>
                <w:rFonts w:hint="eastAsia" w:ascii="宋体" w:hAnsi="宋体" w:cs="Arial"/>
                <w:szCs w:val="21"/>
              </w:rPr>
              <w:t>部门目标：</w:t>
            </w:r>
            <w:r>
              <w:rPr>
                <w:rFonts w:ascii="宋体" w:hAnsi="宋体" w:cs="Arial"/>
                <w:szCs w:val="21"/>
              </w:rPr>
              <w:t xml:space="preserve">                 </w:t>
            </w:r>
          </w:p>
          <w:p>
            <w:pPr>
              <w:pStyle w:val="13"/>
              <w:spacing w:line="360" w:lineRule="auto"/>
              <w:jc w:val="left"/>
              <w:rPr>
                <w:rFonts w:ascii="宋体" w:cs="Arial"/>
                <w:szCs w:val="21"/>
              </w:rPr>
            </w:pPr>
            <w:r>
              <w:rPr>
                <w:rFonts w:hint="eastAsia" w:ascii="宋体" w:hAnsi="宋体"/>
                <w:color w:val="000000"/>
                <w:szCs w:val="21"/>
              </w:rPr>
              <w:t>合同</w:t>
            </w:r>
            <w:r>
              <w:rPr>
                <w:rFonts w:hint="eastAsia" w:ascii="宋体" w:hAnsi="宋体"/>
                <w:color w:val="000000"/>
                <w:szCs w:val="21"/>
                <w:lang w:val="en-US" w:eastAsia="zh-CN"/>
              </w:rPr>
              <w:t>评审</w:t>
            </w:r>
            <w:r>
              <w:rPr>
                <w:rFonts w:hint="eastAsia" w:ascii="宋体" w:hAnsi="宋体"/>
                <w:color w:val="000000"/>
                <w:szCs w:val="21"/>
              </w:rPr>
              <w:t>率达</w:t>
            </w:r>
            <w:r>
              <w:rPr>
                <w:rFonts w:ascii="宋体" w:hAnsi="宋体"/>
                <w:color w:val="000000"/>
                <w:szCs w:val="21"/>
              </w:rPr>
              <w:t>100%</w:t>
            </w:r>
            <w:r>
              <w:rPr>
                <w:rFonts w:hint="eastAsia" w:ascii="宋体" w:hAnsi="宋体" w:cs="Arial"/>
                <w:szCs w:val="21"/>
              </w:rPr>
              <w:t>；</w:t>
            </w:r>
          </w:p>
          <w:p>
            <w:pPr>
              <w:pStyle w:val="13"/>
              <w:spacing w:line="360" w:lineRule="auto"/>
              <w:jc w:val="left"/>
              <w:rPr>
                <w:rFonts w:ascii="宋体" w:cs="Arial"/>
                <w:szCs w:val="21"/>
              </w:rPr>
            </w:pPr>
            <w:r>
              <w:rPr>
                <w:rFonts w:hint="eastAsia" w:ascii="宋体" w:hAnsi="宋体" w:cs="Arial"/>
                <w:szCs w:val="21"/>
                <w:lang w:val="en-US" w:eastAsia="zh-CN"/>
              </w:rPr>
              <w:t>供应商、外包方考核评价率100</w:t>
            </w:r>
            <w:r>
              <w:rPr>
                <w:rFonts w:ascii="宋体" w:hAnsi="宋体" w:cs="Arial"/>
                <w:szCs w:val="21"/>
              </w:rPr>
              <w:t>%</w:t>
            </w:r>
            <w:r>
              <w:rPr>
                <w:rFonts w:hint="eastAsia" w:ascii="宋体" w:hAnsi="宋体" w:cs="Arial"/>
                <w:szCs w:val="21"/>
              </w:rPr>
              <w:t>；</w:t>
            </w:r>
          </w:p>
          <w:p>
            <w:pPr>
              <w:pStyle w:val="13"/>
              <w:spacing w:line="360" w:lineRule="auto"/>
              <w:jc w:val="left"/>
              <w:rPr>
                <w:rFonts w:ascii="宋体" w:cs="Arial"/>
                <w:szCs w:val="21"/>
              </w:rPr>
            </w:pPr>
            <w:r>
              <w:rPr>
                <w:rFonts w:hint="eastAsia" w:ascii="宋体" w:hAnsi="宋体" w:cs="Arial"/>
                <w:szCs w:val="21"/>
                <w:lang w:val="en-US" w:eastAsia="zh-CN"/>
              </w:rPr>
              <w:t>相关方施加影响</w:t>
            </w:r>
            <w:r>
              <w:rPr>
                <w:rFonts w:hint="eastAsia" w:ascii="宋体" w:hAnsi="宋体" w:cs="Arial"/>
                <w:szCs w:val="21"/>
              </w:rPr>
              <w:t>率</w:t>
            </w:r>
            <w:r>
              <w:rPr>
                <w:rFonts w:ascii="宋体" w:hAnsi="宋体" w:cs="Arial"/>
                <w:szCs w:val="21"/>
              </w:rPr>
              <w:t>100%</w:t>
            </w:r>
            <w:r>
              <w:rPr>
                <w:rFonts w:hint="eastAsia" w:ascii="宋体" w:hAnsi="宋体" w:cs="Arial"/>
                <w:szCs w:val="21"/>
              </w:rPr>
              <w:t>；</w:t>
            </w:r>
          </w:p>
          <w:p>
            <w:pPr>
              <w:spacing w:line="360" w:lineRule="auto"/>
              <w:rPr>
                <w:rFonts w:ascii="宋体" w:cs="Arial"/>
                <w:szCs w:val="21"/>
              </w:rPr>
            </w:pPr>
            <w:r>
              <w:rPr>
                <w:rFonts w:hint="eastAsia" w:ascii="宋体" w:hAnsi="宋体" w:eastAsia="宋体" w:cs="宋体"/>
                <w:color w:val="000000" w:themeColor="text1"/>
                <w:sz w:val="21"/>
                <w:szCs w:val="21"/>
                <w:lang w:val="en-US" w:eastAsia="zh-CN"/>
              </w:rPr>
              <w:t>经</w:t>
            </w:r>
            <w:r>
              <w:rPr>
                <w:rFonts w:hint="eastAsia" w:ascii="宋体" w:hAnsi="宋体" w:cs="宋体"/>
                <w:color w:val="000000" w:themeColor="text1"/>
                <w:sz w:val="21"/>
                <w:szCs w:val="21"/>
                <w:lang w:val="en-US" w:eastAsia="zh-CN"/>
              </w:rPr>
              <w:t>2020.6.15</w:t>
            </w:r>
            <w:r>
              <w:rPr>
                <w:rFonts w:hint="eastAsia" w:ascii="宋体" w:hAnsi="宋体" w:eastAsia="宋体" w:cs="宋体"/>
                <w:color w:val="000000" w:themeColor="text1"/>
                <w:sz w:val="21"/>
                <w:szCs w:val="21"/>
                <w:lang w:val="en-US" w:eastAsia="zh-CN"/>
              </w:rPr>
              <w:t>日</w:t>
            </w:r>
            <w:r>
              <w:rPr>
                <w:rFonts w:hint="eastAsia" w:ascii="宋体" w:hAnsi="宋体" w:eastAsia="宋体" w:cs="宋体"/>
                <w:color w:val="000000" w:themeColor="text1"/>
                <w:sz w:val="21"/>
                <w:szCs w:val="21"/>
              </w:rPr>
              <w:t>考核</w:t>
            </w:r>
            <w:r>
              <w:rPr>
                <w:rFonts w:hint="eastAsia" w:ascii="宋体" w:hAnsi="宋体" w:eastAsia="宋体" w:cs="宋体"/>
                <w:color w:val="000000" w:themeColor="text1"/>
                <w:sz w:val="21"/>
                <w:szCs w:val="21"/>
                <w:lang w:val="en-US" w:eastAsia="zh-CN"/>
              </w:rPr>
              <w:t>均</w:t>
            </w:r>
            <w:r>
              <w:rPr>
                <w:rFonts w:hint="eastAsia" w:ascii="宋体" w:hAnsi="宋体" w:eastAsia="宋体" w:cs="宋体"/>
                <w:color w:val="000000" w:themeColor="text1"/>
                <w:sz w:val="21"/>
                <w:szCs w:val="21"/>
              </w:rPr>
              <w:t>已完成。</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环境因素辨识与评价</w:t>
            </w:r>
          </w:p>
        </w:tc>
        <w:tc>
          <w:tcPr>
            <w:tcW w:w="1311" w:type="dxa"/>
          </w:tcPr>
          <w:p>
            <w:pPr>
              <w:spacing w:line="360" w:lineRule="auto"/>
              <w:rPr>
                <w:rFonts w:ascii="宋体" w:hAns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6.1.2</w:t>
            </w:r>
          </w:p>
        </w:tc>
        <w:tc>
          <w:tcPr>
            <w:tcW w:w="10004" w:type="dxa"/>
          </w:tcPr>
          <w:p>
            <w:pPr>
              <w:spacing w:line="360" w:lineRule="auto"/>
              <w:ind w:firstLine="420" w:firstLineChars="200"/>
              <w:rPr>
                <w:rFonts w:ascii="宋体" w:cs="楷体"/>
                <w:szCs w:val="21"/>
              </w:rPr>
            </w:pPr>
            <w:r>
              <w:rPr>
                <w:rFonts w:hint="eastAsia" w:ascii="宋体" w:hAnsi="宋体" w:cs="楷体"/>
                <w:szCs w:val="21"/>
              </w:rPr>
              <w:t>查供销部的“环境因素识别评价汇总表”，识别了本部门在办公、</w:t>
            </w:r>
            <w:r>
              <w:rPr>
                <w:rFonts w:hint="eastAsia" w:ascii="宋体" w:hAnsi="宋体" w:cs="楷体"/>
                <w:szCs w:val="21"/>
                <w:lang w:val="en-US" w:eastAsia="zh-CN"/>
              </w:rPr>
              <w:t>业务</w:t>
            </w:r>
            <w:r>
              <w:rPr>
                <w:rFonts w:hint="eastAsia" w:ascii="宋体" w:hAnsi="宋体" w:cs="楷体"/>
                <w:szCs w:val="21"/>
              </w:rPr>
              <w:t>、相关方等各有关过程的环境因素，包括电脑使用用电消耗、办公纸张消耗、车辆尾气排放、废包装物排放等环境因素，识别时能考虑产品生命周期观点。</w:t>
            </w:r>
          </w:p>
          <w:p>
            <w:pPr>
              <w:spacing w:line="360" w:lineRule="auto"/>
              <w:ind w:firstLine="420" w:firstLineChars="200"/>
              <w:rPr>
                <w:rFonts w:ascii="宋体" w:cs="楷体"/>
                <w:szCs w:val="21"/>
              </w:rPr>
            </w:pPr>
            <w:r>
              <w:rPr>
                <w:rFonts w:hint="eastAsia" w:ascii="宋体" w:hAnsi="宋体" w:cs="楷体"/>
                <w:szCs w:val="21"/>
              </w:rPr>
              <w:t>查《重要环境因素清单》，涉及</w:t>
            </w:r>
            <w:r>
              <w:rPr>
                <w:rFonts w:hint="eastAsia" w:ascii="宋体" w:hAnsi="宋体" w:cs="楷体"/>
                <w:szCs w:val="21"/>
                <w:lang w:val="en-US" w:eastAsia="zh-CN"/>
              </w:rPr>
              <w:t>业务</w:t>
            </w:r>
            <w:r>
              <w:rPr>
                <w:rFonts w:hint="eastAsia" w:ascii="宋体" w:hAnsi="宋体" w:cs="楷体"/>
                <w:szCs w:val="21"/>
              </w:rPr>
              <w:t>部有</w:t>
            </w:r>
            <w:r>
              <w:rPr>
                <w:rFonts w:ascii="宋体" w:hAnsi="宋体" w:cs="楷体"/>
                <w:szCs w:val="21"/>
              </w:rPr>
              <w:t>2</w:t>
            </w:r>
            <w:r>
              <w:rPr>
                <w:rFonts w:hint="eastAsia" w:ascii="宋体" w:hAnsi="宋体" w:cs="楷体"/>
                <w:szCs w:val="21"/>
              </w:rPr>
              <w:t>项重要环境因素，包括：火灾、固体废弃物的排放。</w:t>
            </w:r>
          </w:p>
          <w:p>
            <w:pPr>
              <w:spacing w:line="360" w:lineRule="auto"/>
              <w:ind w:firstLine="420" w:firstLineChars="200"/>
              <w:rPr>
                <w:rFonts w:ascii="宋体" w:cs="楷体"/>
                <w:szCs w:val="21"/>
              </w:rPr>
            </w:pPr>
            <w:r>
              <w:rPr>
                <w:rFonts w:hint="eastAsia" w:ascii="宋体" w:hAnsi="宋体" w:cs="楷体"/>
                <w:szCs w:val="21"/>
              </w:rPr>
              <w:t>控制措施：固废分类存放、垃圾等由办公室负责按规定处置，包装物分类</w:t>
            </w:r>
            <w:r>
              <w:rPr>
                <w:rFonts w:hint="eastAsia" w:ascii="宋体" w:hAnsi="宋体" w:cs="楷体"/>
                <w:szCs w:val="21"/>
                <w:lang w:val="en-US" w:eastAsia="zh-CN"/>
              </w:rPr>
              <w:t>收集按规定处置</w:t>
            </w:r>
            <w:r>
              <w:rPr>
                <w:rFonts w:hint="eastAsia" w:ascii="宋体" w:hAnsi="宋体" w:cs="楷体"/>
                <w:szCs w:val="21"/>
              </w:rPr>
              <w:t>，日常检查、培训教育，配备有消防器材、制定应急预案等措施。</w:t>
            </w:r>
          </w:p>
          <w:p>
            <w:pPr>
              <w:spacing w:line="360" w:lineRule="auto"/>
              <w:ind w:firstLine="420" w:firstLineChars="200"/>
              <w:rPr>
                <w:rFonts w:ascii="宋体"/>
                <w:szCs w:val="21"/>
              </w:rPr>
            </w:pPr>
            <w:r>
              <w:rPr>
                <w:rFonts w:hint="eastAsia" w:ascii="宋体" w:hAnsi="宋体" w:cs="楷体"/>
                <w:szCs w:val="21"/>
              </w:rPr>
              <w:t>部门识别和评价基本充分，符合规定要求。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运行策划和控制</w:t>
            </w:r>
          </w:p>
        </w:tc>
        <w:tc>
          <w:tcPr>
            <w:tcW w:w="1311" w:type="dxa"/>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 xml:space="preserve"> 8.1</w:t>
            </w:r>
          </w:p>
        </w:tc>
        <w:tc>
          <w:tcPr>
            <w:tcW w:w="10004" w:type="dxa"/>
          </w:tcPr>
          <w:p>
            <w:pPr>
              <w:spacing w:line="360" w:lineRule="auto"/>
              <w:rPr>
                <w:rFonts w:ascii="宋体" w:cs="楷体"/>
                <w:sz w:val="21"/>
                <w:szCs w:val="21"/>
              </w:rPr>
            </w:pPr>
            <w:r>
              <w:rPr>
                <w:rFonts w:ascii="宋体" w:hAnsi="宋体" w:cs="楷体"/>
                <w:sz w:val="21"/>
                <w:szCs w:val="21"/>
              </w:rPr>
              <w:t>1.</w:t>
            </w:r>
            <w:r>
              <w:rPr>
                <w:rFonts w:hint="eastAsia" w:ascii="宋体" w:hAnsi="宋体" w:cs="楷体"/>
                <w:sz w:val="21"/>
                <w:szCs w:val="21"/>
              </w:rPr>
              <w:t>编制并实施了环境控制程序和管理制度。</w:t>
            </w:r>
          </w:p>
          <w:p>
            <w:pPr>
              <w:spacing w:line="360" w:lineRule="auto"/>
              <w:rPr>
                <w:rFonts w:ascii="宋体" w:cs="楷体"/>
                <w:sz w:val="21"/>
                <w:szCs w:val="21"/>
              </w:rPr>
            </w:pPr>
            <w:r>
              <w:rPr>
                <w:rFonts w:ascii="宋体" w:hAnsi="宋体" w:cs="楷体"/>
                <w:sz w:val="21"/>
                <w:szCs w:val="21"/>
              </w:rPr>
              <w:t>2.</w:t>
            </w:r>
            <w:r>
              <w:rPr>
                <w:rFonts w:hint="eastAsia" w:ascii="宋体" w:hAnsi="宋体" w:cs="楷体"/>
                <w:sz w:val="21"/>
                <w:szCs w:val="21"/>
              </w:rPr>
              <w:t>公司目前销售的主要产品有：</w:t>
            </w:r>
            <w:bookmarkStart w:id="0" w:name="审核范围"/>
            <w:r>
              <w:rPr>
                <w:rFonts w:hint="eastAsia" w:ascii="宋体" w:hAnsi="宋体" w:cs="楷体"/>
                <w:sz w:val="21"/>
                <w:szCs w:val="21"/>
              </w:rPr>
              <w:t>汽车变速箱用齿轮、轴类产品的锻造和机械加工</w:t>
            </w:r>
            <w:bookmarkEnd w:id="0"/>
            <w:r>
              <w:rPr>
                <w:rFonts w:hint="eastAsia" w:ascii="宋体" w:hAnsi="宋体" w:cs="楷体"/>
                <w:sz w:val="21"/>
                <w:szCs w:val="21"/>
              </w:rPr>
              <w:t>。</w:t>
            </w:r>
          </w:p>
          <w:p>
            <w:pPr>
              <w:spacing w:line="360" w:lineRule="auto"/>
              <w:rPr>
                <w:rFonts w:ascii="宋体" w:cs="楷体"/>
                <w:sz w:val="21"/>
                <w:szCs w:val="21"/>
              </w:rPr>
            </w:pPr>
            <w:r>
              <w:rPr>
                <w:rFonts w:hint="eastAsia" w:ascii="宋体" w:hAnsi="宋体" w:cs="楷体"/>
                <w:sz w:val="21"/>
                <w:szCs w:val="21"/>
              </w:rPr>
              <w:t>3</w:t>
            </w:r>
            <w:r>
              <w:rPr>
                <w:rFonts w:ascii="宋体" w:hAnsi="宋体" w:cs="楷体"/>
                <w:sz w:val="21"/>
                <w:szCs w:val="21"/>
              </w:rPr>
              <w:t>.</w:t>
            </w:r>
            <w:r>
              <w:rPr>
                <w:rFonts w:hint="eastAsia" w:ascii="宋体" w:hAnsi="宋体" w:cs="楷体"/>
                <w:sz w:val="21"/>
                <w:szCs w:val="21"/>
              </w:rPr>
              <w:t>对可回收的固体废弃物，一部分由厂家回收，厂家不回收的公司统一回收再利用或由物资回收公司处理，不可回收的废弃物由公司办公室统一处理，部门不单独处理。</w:t>
            </w:r>
          </w:p>
          <w:p>
            <w:pPr>
              <w:snapToGrid w:val="0"/>
              <w:spacing w:line="360" w:lineRule="auto"/>
              <w:rPr>
                <w:rFonts w:ascii="宋体" w:cs="楷体"/>
                <w:sz w:val="21"/>
                <w:szCs w:val="21"/>
              </w:rPr>
            </w:pPr>
            <w:r>
              <w:rPr>
                <w:rFonts w:hint="eastAsia" w:ascii="宋体" w:hAnsi="宋体" w:cs="楷体"/>
                <w:sz w:val="21"/>
                <w:szCs w:val="21"/>
              </w:rPr>
              <w:t>4</w:t>
            </w:r>
            <w:r>
              <w:rPr>
                <w:rFonts w:ascii="宋体" w:hAnsi="宋体" w:cs="楷体"/>
                <w:sz w:val="21"/>
                <w:szCs w:val="21"/>
              </w:rPr>
              <w:t>.</w:t>
            </w:r>
            <w:r>
              <w:rPr>
                <w:rFonts w:hint="eastAsia" w:ascii="宋体" w:hAnsi="宋体" w:cs="楷体"/>
                <w:sz w:val="21"/>
                <w:szCs w:val="21"/>
              </w:rPr>
              <w:t>办公室和仓库内主要是电的使用，电器有漏电保护器，经常对电路、电源进行检查，没有露电现象发生，查见有消除安全检查记录，</w:t>
            </w:r>
            <w:r>
              <w:rPr>
                <w:rFonts w:ascii="宋体" w:hAnsi="宋体" w:cs="楷体"/>
                <w:sz w:val="21"/>
                <w:szCs w:val="21"/>
              </w:rPr>
              <w:t>20</w:t>
            </w:r>
            <w:r>
              <w:rPr>
                <w:rFonts w:hint="eastAsia" w:ascii="宋体" w:hAnsi="宋体" w:cs="楷体"/>
                <w:sz w:val="21"/>
                <w:szCs w:val="21"/>
                <w:lang w:val="en-US" w:eastAsia="zh-CN"/>
              </w:rPr>
              <w:t>20</w:t>
            </w:r>
            <w:r>
              <w:rPr>
                <w:rFonts w:ascii="宋体" w:cs="楷体"/>
                <w:sz w:val="21"/>
                <w:szCs w:val="21"/>
              </w:rPr>
              <w:t>.</w:t>
            </w:r>
            <w:r>
              <w:rPr>
                <w:rFonts w:hint="eastAsia" w:ascii="宋体" w:hAnsi="宋体" w:cs="楷体"/>
                <w:sz w:val="21"/>
                <w:szCs w:val="21"/>
                <w:lang w:val="en-US" w:eastAsia="zh-CN"/>
              </w:rPr>
              <w:t>1</w:t>
            </w:r>
            <w:r>
              <w:rPr>
                <w:rFonts w:hint="eastAsia" w:ascii="宋体" w:hAnsi="宋体" w:cs="楷体"/>
                <w:sz w:val="21"/>
                <w:szCs w:val="21"/>
              </w:rPr>
              <w:t>月</w:t>
            </w:r>
            <w:r>
              <w:rPr>
                <w:rFonts w:ascii="宋体" w:hAnsi="宋体" w:cs="楷体"/>
                <w:sz w:val="21"/>
                <w:szCs w:val="21"/>
              </w:rPr>
              <w:t>---20</w:t>
            </w:r>
            <w:r>
              <w:rPr>
                <w:rFonts w:hint="eastAsia" w:ascii="宋体" w:hAnsi="宋体" w:cs="楷体"/>
                <w:sz w:val="21"/>
                <w:szCs w:val="21"/>
                <w:lang w:val="en-US" w:eastAsia="zh-CN"/>
              </w:rPr>
              <w:t>20</w:t>
            </w:r>
            <w:r>
              <w:rPr>
                <w:rFonts w:ascii="宋体" w:hAnsi="宋体" w:cs="楷体"/>
                <w:sz w:val="21"/>
                <w:szCs w:val="21"/>
              </w:rPr>
              <w:t>.</w:t>
            </w:r>
            <w:r>
              <w:rPr>
                <w:rFonts w:hint="eastAsia" w:ascii="宋体" w:hAnsi="宋体" w:cs="楷体"/>
                <w:sz w:val="21"/>
                <w:szCs w:val="21"/>
                <w:lang w:val="en-US" w:eastAsia="zh-CN"/>
              </w:rPr>
              <w:t>11</w:t>
            </w:r>
            <w:r>
              <w:rPr>
                <w:rFonts w:hint="eastAsia" w:ascii="宋体" w:hAnsi="宋体" w:cs="楷体"/>
                <w:sz w:val="21"/>
                <w:szCs w:val="21"/>
              </w:rPr>
              <w:t>月份检查结果正常，检查人曹红国 。</w:t>
            </w:r>
          </w:p>
          <w:p>
            <w:pPr>
              <w:spacing w:line="360" w:lineRule="auto"/>
              <w:rPr>
                <w:rFonts w:ascii="宋体" w:cs="楷体"/>
                <w:sz w:val="21"/>
                <w:szCs w:val="21"/>
              </w:rPr>
            </w:pPr>
            <w:r>
              <w:rPr>
                <w:rFonts w:hint="eastAsia" w:ascii="宋体" w:hAnsi="宋体" w:cs="楷体"/>
                <w:sz w:val="21"/>
                <w:szCs w:val="21"/>
              </w:rPr>
              <w:t>5</w:t>
            </w:r>
            <w:r>
              <w:rPr>
                <w:rFonts w:ascii="宋体" w:hAnsi="宋体" w:cs="楷体"/>
                <w:sz w:val="21"/>
                <w:szCs w:val="21"/>
              </w:rPr>
              <w:t>.</w:t>
            </w:r>
            <w:r>
              <w:rPr>
                <w:rFonts w:hint="eastAsia" w:ascii="宋体" w:hAnsi="宋体" w:cs="楷体"/>
                <w:sz w:val="21"/>
                <w:szCs w:val="21"/>
              </w:rPr>
              <w:t>在产品装车时，要求装运人员必须穿戴劳动防护用品，合理使用搬运工具。</w:t>
            </w:r>
          </w:p>
          <w:p>
            <w:pPr>
              <w:spacing w:line="360" w:lineRule="auto"/>
              <w:rPr>
                <w:rFonts w:hint="eastAsia" w:ascii="宋体" w:hAnsi="宋体" w:cs="楷体"/>
                <w:sz w:val="21"/>
                <w:szCs w:val="21"/>
              </w:rPr>
            </w:pPr>
            <w:r>
              <w:rPr>
                <w:rFonts w:hint="eastAsia" w:ascii="宋体" w:hAnsi="宋体" w:cs="楷体"/>
                <w:sz w:val="21"/>
                <w:szCs w:val="21"/>
              </w:rPr>
              <w:t>6</w:t>
            </w:r>
            <w:r>
              <w:rPr>
                <w:rFonts w:ascii="宋体" w:cs="楷体"/>
                <w:sz w:val="21"/>
                <w:szCs w:val="21"/>
              </w:rPr>
              <w:t>.</w:t>
            </w:r>
            <w:r>
              <w:rPr>
                <w:rFonts w:hint="eastAsia" w:ascii="宋体" w:hAnsi="宋体" w:cs="楷体"/>
                <w:sz w:val="21"/>
                <w:szCs w:val="21"/>
              </w:rPr>
              <w:t>对外招投标和业务洽谈时明确承诺公司产品环保、无毒无害。</w:t>
            </w:r>
          </w:p>
          <w:p>
            <w:pPr>
              <w:spacing w:line="360" w:lineRule="auto"/>
              <w:rPr>
                <w:rFonts w:ascii="宋体" w:cs="楷体"/>
                <w:sz w:val="21"/>
                <w:szCs w:val="21"/>
              </w:rPr>
            </w:pPr>
            <w:r>
              <w:rPr>
                <w:rFonts w:hint="eastAsia" w:ascii="宋体" w:hAnsi="宋体" w:cs="楷体"/>
                <w:sz w:val="21"/>
                <w:szCs w:val="21"/>
                <w:lang w:val="en-US" w:eastAsia="zh-CN"/>
              </w:rPr>
              <w:t>7</w:t>
            </w:r>
            <w:r>
              <w:rPr>
                <w:rFonts w:ascii="宋体" w:hAnsi="宋体" w:cs="楷体"/>
                <w:sz w:val="21"/>
                <w:szCs w:val="21"/>
              </w:rPr>
              <w:t>.</w:t>
            </w:r>
            <w:r>
              <w:rPr>
                <w:rFonts w:hint="eastAsia" w:ascii="宋体" w:hAnsi="宋体" w:cs="楷体"/>
                <w:sz w:val="21"/>
                <w:szCs w:val="21"/>
              </w:rPr>
              <w:t>公司通过各部门申报采购计划批准后进行采购，流程是申报计划→评审→总经理批准→签订合同→采购。</w:t>
            </w:r>
          </w:p>
          <w:p>
            <w:pPr>
              <w:spacing w:line="360" w:lineRule="auto"/>
              <w:rPr>
                <w:rFonts w:hint="eastAsia" w:ascii="宋体" w:hAnsi="宋体" w:cs="楷体"/>
                <w:bCs/>
                <w:sz w:val="21"/>
                <w:szCs w:val="21"/>
              </w:rPr>
            </w:pPr>
            <w:r>
              <w:rPr>
                <w:rFonts w:hint="eastAsia" w:ascii="宋体" w:hAnsi="宋体" w:cs="楷体"/>
                <w:sz w:val="21"/>
                <w:szCs w:val="21"/>
                <w:lang w:val="en-US" w:eastAsia="zh-CN"/>
              </w:rPr>
              <w:t>8</w:t>
            </w:r>
            <w:r>
              <w:rPr>
                <w:rFonts w:ascii="宋体" w:hAnsi="宋体" w:cs="楷体"/>
                <w:sz w:val="21"/>
                <w:szCs w:val="21"/>
              </w:rPr>
              <w:t>.</w:t>
            </w:r>
            <w:r>
              <w:rPr>
                <w:rFonts w:hint="eastAsia" w:ascii="宋体" w:hAnsi="宋体" w:cs="楷体"/>
                <w:sz w:val="21"/>
                <w:szCs w:val="21"/>
              </w:rPr>
              <w:t>公司目前采购的主要原材料有</w:t>
            </w:r>
            <w:r>
              <w:rPr>
                <w:rFonts w:hint="eastAsia" w:ascii="宋体" w:hAnsi="宋体" w:cs="楷体"/>
                <w:bCs/>
                <w:sz w:val="21"/>
                <w:szCs w:val="21"/>
              </w:rPr>
              <w:t>：</w:t>
            </w:r>
            <w:r>
              <w:rPr>
                <w:rFonts w:hint="eastAsia" w:ascii="宋体" w:hAnsi="宋体"/>
                <w:sz w:val="21"/>
                <w:szCs w:val="21"/>
                <w:lang w:val="en-US" w:eastAsia="zh-CN"/>
              </w:rPr>
              <w:t>各种圆钢</w:t>
            </w:r>
            <w:r>
              <w:rPr>
                <w:rFonts w:hint="eastAsia" w:ascii="宋体" w:hAnsi="宋体" w:cs="宋体"/>
                <w:sz w:val="21"/>
                <w:szCs w:val="21"/>
              </w:rPr>
              <w:t>等</w:t>
            </w:r>
            <w:r>
              <w:rPr>
                <w:rFonts w:hint="eastAsia" w:ascii="宋体" w:hAnsi="宋体" w:cs="宋体"/>
                <w:sz w:val="21"/>
                <w:szCs w:val="21"/>
                <w:lang w:eastAsia="zh-CN"/>
              </w:rPr>
              <w:t>，</w:t>
            </w:r>
            <w:r>
              <w:rPr>
                <w:rFonts w:hint="eastAsia" w:ascii="宋体" w:hAnsi="宋体" w:cs="楷体"/>
                <w:bCs/>
                <w:sz w:val="21"/>
                <w:szCs w:val="21"/>
              </w:rPr>
              <w:t>产品全部由厂家提供，均有合格证和使用说明以及检验报告。</w:t>
            </w:r>
          </w:p>
          <w:p>
            <w:pPr>
              <w:spacing w:line="360" w:lineRule="auto"/>
              <w:ind w:firstLine="210" w:firstLineChars="100"/>
              <w:rPr>
                <w:rFonts w:hint="default" w:ascii="宋体" w:hAnsi="宋体" w:eastAsia="宋体" w:cs="楷体"/>
                <w:bCs/>
                <w:sz w:val="21"/>
                <w:szCs w:val="21"/>
                <w:lang w:val="en-US" w:eastAsia="zh-CN"/>
              </w:rPr>
            </w:pPr>
            <w:r>
              <w:rPr>
                <w:rFonts w:hint="eastAsia" w:ascii="宋体" w:hAnsi="宋体" w:cs="楷体"/>
                <w:bCs/>
                <w:sz w:val="21"/>
                <w:szCs w:val="21"/>
                <w:lang w:val="en-US" w:eastAsia="zh-CN"/>
              </w:rPr>
              <w:t>提供了5家合格供应商名录，采购的材料有：</w:t>
            </w:r>
            <w:r>
              <w:rPr>
                <w:rFonts w:ascii="宋体" w:hAnsi="宋体" w:cs="宋体"/>
                <w:sz w:val="21"/>
                <w:szCs w:val="21"/>
              </w:rPr>
              <w:t>钢材</w:t>
            </w:r>
            <w:r>
              <w:rPr>
                <w:rFonts w:hint="eastAsia" w:ascii="宋体" w:hAnsi="宋体" w:cs="宋体"/>
                <w:sz w:val="21"/>
                <w:szCs w:val="21"/>
                <w:lang w:eastAsia="zh-CN"/>
              </w:rPr>
              <w:t>、</w:t>
            </w:r>
            <w:r>
              <w:rPr>
                <w:rFonts w:ascii="宋体" w:hAnsi="宋体" w:cs="宋体"/>
                <w:sz w:val="21"/>
                <w:szCs w:val="21"/>
              </w:rPr>
              <w:t>柴油</w:t>
            </w:r>
            <w:r>
              <w:rPr>
                <w:rFonts w:hint="eastAsia" w:ascii="宋体" w:hAnsi="宋体" w:cs="宋体"/>
                <w:sz w:val="21"/>
                <w:szCs w:val="21"/>
                <w:lang w:eastAsia="zh-CN"/>
              </w:rPr>
              <w:t>、</w:t>
            </w:r>
            <w:r>
              <w:rPr>
                <w:rFonts w:ascii="宋体" w:hAnsi="宋体" w:cs="宋体"/>
                <w:sz w:val="21"/>
                <w:szCs w:val="21"/>
              </w:rPr>
              <w:t>钢丸</w:t>
            </w:r>
            <w:r>
              <w:rPr>
                <w:rFonts w:hint="eastAsia" w:ascii="宋体" w:hAnsi="宋体" w:cs="宋体"/>
                <w:sz w:val="21"/>
                <w:szCs w:val="21"/>
                <w:lang w:eastAsia="zh-CN"/>
              </w:rPr>
              <w:t>、</w:t>
            </w:r>
            <w:r>
              <w:rPr>
                <w:rFonts w:ascii="宋体" w:hAnsi="宋体" w:cs="宋体"/>
                <w:sz w:val="21"/>
                <w:szCs w:val="21"/>
              </w:rPr>
              <w:t>润滑油</w:t>
            </w:r>
            <w:r>
              <w:rPr>
                <w:rFonts w:hint="eastAsia" w:ascii="宋体" w:hAnsi="宋体" w:cs="宋体"/>
                <w:sz w:val="21"/>
                <w:szCs w:val="21"/>
              </w:rPr>
              <w:t>、</w:t>
            </w:r>
            <w:r>
              <w:rPr>
                <w:rFonts w:ascii="宋体" w:hAnsi="宋体" w:cs="宋体"/>
                <w:sz w:val="21"/>
                <w:szCs w:val="21"/>
              </w:rPr>
              <w:t>液压油</w:t>
            </w:r>
            <w:r>
              <w:rPr>
                <w:rFonts w:hint="eastAsia" w:ascii="宋体" w:hAnsi="宋体" w:cs="宋体"/>
                <w:sz w:val="21"/>
                <w:szCs w:val="21"/>
                <w:lang w:eastAsia="zh-CN"/>
              </w:rPr>
              <w:t>、</w:t>
            </w:r>
            <w:r>
              <w:rPr>
                <w:rFonts w:hint="eastAsia" w:ascii="宋体" w:hAnsi="宋体" w:cs="宋体"/>
                <w:color w:val="000000"/>
                <w:kern w:val="0"/>
                <w:sz w:val="21"/>
                <w:szCs w:val="21"/>
                <w:lang w:val="en-US" w:eastAsia="zh-CN"/>
              </w:rPr>
              <w:t>刀具等。</w:t>
            </w:r>
          </w:p>
          <w:p>
            <w:pPr>
              <w:spacing w:line="360" w:lineRule="auto"/>
              <w:rPr>
                <w:rFonts w:ascii="宋体" w:cs="楷体"/>
                <w:sz w:val="21"/>
                <w:szCs w:val="21"/>
              </w:rPr>
            </w:pPr>
            <w:r>
              <w:rPr>
                <w:rFonts w:hint="eastAsia" w:ascii="宋体" w:hAnsi="宋体" w:cs="楷体"/>
                <w:sz w:val="21"/>
                <w:szCs w:val="21"/>
                <w:lang w:val="en-US" w:eastAsia="zh-CN"/>
              </w:rPr>
              <w:t>9</w:t>
            </w:r>
            <w:r>
              <w:rPr>
                <w:rFonts w:ascii="宋体" w:hAnsi="宋体" w:cs="楷体"/>
                <w:sz w:val="21"/>
                <w:szCs w:val="21"/>
              </w:rPr>
              <w:t>.</w:t>
            </w:r>
            <w:r>
              <w:rPr>
                <w:rFonts w:hint="eastAsia" w:ascii="宋体" w:hAnsi="宋体" w:cs="楷体"/>
                <w:sz w:val="21"/>
                <w:szCs w:val="21"/>
                <w:lang w:val="en-US" w:eastAsia="zh-CN"/>
              </w:rPr>
              <w:t>提供</w:t>
            </w:r>
            <w:r>
              <w:rPr>
                <w:rFonts w:hint="eastAsia" w:ascii="宋体" w:hAnsi="宋体" w:cs="楷体"/>
                <w:sz w:val="21"/>
                <w:szCs w:val="21"/>
              </w:rPr>
              <w:t>向供应商发放《相关方告之书》</w:t>
            </w:r>
            <w:r>
              <w:rPr>
                <w:rFonts w:hint="eastAsia" w:ascii="宋体" w:hAnsi="宋体" w:cs="楷体"/>
                <w:sz w:val="21"/>
                <w:szCs w:val="21"/>
                <w:lang w:val="en-US" w:eastAsia="zh-CN"/>
              </w:rPr>
              <w:t>的相关证据</w:t>
            </w:r>
            <w:r>
              <w:rPr>
                <w:rFonts w:hint="eastAsia" w:ascii="宋体" w:hAnsi="宋体" w:cs="楷体"/>
                <w:sz w:val="21"/>
                <w:szCs w:val="21"/>
              </w:rPr>
              <w:t>，</w:t>
            </w:r>
            <w:r>
              <w:rPr>
                <w:rFonts w:hint="eastAsia" w:ascii="宋体" w:hAnsi="宋体" w:cs="楷体"/>
                <w:sz w:val="21"/>
                <w:szCs w:val="21"/>
                <w:lang w:val="en-US" w:eastAsia="zh-CN"/>
              </w:rPr>
              <w:t>告之书</w:t>
            </w:r>
            <w:r>
              <w:rPr>
                <w:rFonts w:hint="eastAsia" w:ascii="宋体" w:hAnsi="宋体" w:cs="楷体"/>
                <w:sz w:val="21"/>
                <w:szCs w:val="21"/>
              </w:rPr>
              <w:t>的内容中包括本公司采购产品的理化性能造成的环境影响或可能造成的影响，对使用该种物料的员工的要求，供应商在运输这些物料所使用的贮存容器、运输方式对环境和职业健康的影响，到本公司减速慢行、运输路上每</w:t>
            </w:r>
            <w:r>
              <w:rPr>
                <w:rFonts w:ascii="宋体" w:hAnsi="宋体" w:cs="楷体"/>
                <w:sz w:val="21"/>
                <w:szCs w:val="21"/>
              </w:rPr>
              <w:t>4</w:t>
            </w:r>
            <w:r>
              <w:rPr>
                <w:rFonts w:hint="eastAsia" w:ascii="宋体" w:hAnsi="宋体" w:cs="楷体"/>
                <w:sz w:val="21"/>
                <w:szCs w:val="21"/>
              </w:rPr>
              <w:t>个小时休息</w:t>
            </w:r>
            <w:r>
              <w:rPr>
                <w:rFonts w:ascii="宋体" w:hAnsi="宋体" w:cs="楷体"/>
                <w:sz w:val="21"/>
                <w:szCs w:val="21"/>
              </w:rPr>
              <w:t>1</w:t>
            </w:r>
            <w:r>
              <w:rPr>
                <w:rFonts w:hint="eastAsia" w:ascii="宋体" w:hAnsi="宋体" w:cs="楷体"/>
                <w:sz w:val="21"/>
                <w:szCs w:val="21"/>
              </w:rPr>
              <w:t>次等。</w:t>
            </w:r>
          </w:p>
          <w:p>
            <w:pPr>
              <w:spacing w:line="360" w:lineRule="auto"/>
              <w:rPr>
                <w:rFonts w:ascii="宋体" w:hAnsi="宋体" w:cs="楷体"/>
                <w:sz w:val="21"/>
                <w:szCs w:val="21"/>
              </w:rPr>
            </w:pPr>
            <w:r>
              <w:rPr>
                <w:rFonts w:hint="eastAsia" w:ascii="宋体" w:hAnsi="宋体" w:cs="楷体"/>
                <w:sz w:val="21"/>
                <w:szCs w:val="21"/>
                <w:lang w:val="en-US" w:eastAsia="zh-CN"/>
              </w:rPr>
              <w:t>10</w:t>
            </w:r>
            <w:r>
              <w:rPr>
                <w:rFonts w:ascii="宋体" w:hAnsi="宋体" w:cs="楷体"/>
                <w:sz w:val="21"/>
                <w:szCs w:val="21"/>
              </w:rPr>
              <w:t>.</w:t>
            </w:r>
            <w:r>
              <w:rPr>
                <w:rFonts w:hint="eastAsia" w:ascii="宋体" w:hAnsi="宋体" w:cs="楷体"/>
                <w:sz w:val="21"/>
                <w:szCs w:val="21"/>
              </w:rPr>
              <w:t>对供应商施加影响还包括在评定供应商时，获取质量、环境、职业健康安全管理体系证书则优先，产品必须用环保无毒无害材料、无尖角毛刺等措施。</w:t>
            </w:r>
          </w:p>
          <w:p>
            <w:pPr>
              <w:tabs>
                <w:tab w:val="left" w:pos="6597"/>
              </w:tabs>
              <w:spacing w:line="360" w:lineRule="auto"/>
              <w:rPr>
                <w:rFonts w:ascii="宋体"/>
                <w:szCs w:val="21"/>
              </w:rPr>
            </w:pPr>
            <w:r>
              <w:rPr>
                <w:rFonts w:hint="eastAsia" w:ascii="宋体" w:hAnsi="宋体" w:cs="楷体"/>
                <w:sz w:val="21"/>
                <w:szCs w:val="21"/>
              </w:rPr>
              <w:t>部门运行控制能结合产品生命周期方法，基本符合策划要求。</w:t>
            </w:r>
          </w:p>
        </w:tc>
        <w:tc>
          <w:tcPr>
            <w:tcW w:w="1585"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应急准备和响应</w:t>
            </w:r>
          </w:p>
        </w:tc>
        <w:tc>
          <w:tcPr>
            <w:tcW w:w="1311" w:type="dxa"/>
          </w:tcPr>
          <w:p>
            <w:pPr>
              <w:spacing w:line="360" w:lineRule="auto"/>
              <w:rPr>
                <w:rFonts w:ascii="宋体" w:hAnsi="宋体" w:cs="Arial"/>
                <w:szCs w:val="21"/>
              </w:rPr>
            </w:pPr>
          </w:p>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8.2</w:t>
            </w:r>
          </w:p>
        </w:tc>
        <w:tc>
          <w:tcPr>
            <w:tcW w:w="10004" w:type="dxa"/>
          </w:tcPr>
          <w:p>
            <w:pPr>
              <w:spacing w:line="360" w:lineRule="auto"/>
              <w:rPr>
                <w:rFonts w:ascii="宋体" w:cs="楷体"/>
                <w:szCs w:val="21"/>
              </w:rPr>
            </w:pPr>
            <w:r>
              <w:rPr>
                <w:rFonts w:hint="eastAsia" w:ascii="宋体" w:hAnsi="宋体" w:cs="楷体"/>
                <w:szCs w:val="21"/>
              </w:rPr>
              <w:t>制定实施了《应急准备和响应控制程序》，制定了火灾等应急预案。内容包括：目的、适用范围、职责、应急处理细则、演习、必备资料等。</w:t>
            </w:r>
          </w:p>
          <w:p>
            <w:pPr>
              <w:spacing w:line="360" w:lineRule="auto"/>
              <w:ind w:firstLine="315" w:firstLineChars="150"/>
              <w:rPr>
                <w:rFonts w:ascii="宋体" w:cs="楷体"/>
                <w:szCs w:val="21"/>
              </w:rPr>
            </w:pPr>
            <w:r>
              <w:rPr>
                <w:rFonts w:hint="eastAsia" w:ascii="宋体" w:hAnsi="宋体" w:cs="楷体"/>
                <w:szCs w:val="21"/>
              </w:rPr>
              <w:t>现场巡视</w:t>
            </w:r>
            <w:r>
              <w:rPr>
                <w:rFonts w:hint="eastAsia" w:ascii="宋体" w:hAnsi="宋体" w:cs="楷体"/>
                <w:szCs w:val="21"/>
                <w:lang w:val="en-US" w:eastAsia="zh-CN"/>
              </w:rPr>
              <w:t>原材料和</w:t>
            </w:r>
            <w:r>
              <w:rPr>
                <w:rFonts w:hint="eastAsia" w:ascii="宋体" w:hAnsi="宋体" w:cs="楷体"/>
                <w:szCs w:val="21"/>
              </w:rPr>
              <w:t>产品</w:t>
            </w:r>
            <w:r>
              <w:rPr>
                <w:rFonts w:hint="eastAsia" w:ascii="宋体" w:hAnsi="宋体" w:cs="楷体"/>
                <w:szCs w:val="21"/>
                <w:lang w:val="en-US" w:eastAsia="zh-CN"/>
              </w:rPr>
              <w:t>仓库，均</w:t>
            </w:r>
            <w:r>
              <w:rPr>
                <w:rFonts w:hint="eastAsia" w:ascii="宋体" w:hAnsi="宋体" w:cs="楷体"/>
                <w:szCs w:val="21"/>
              </w:rPr>
              <w:t>按规格堆放，</w:t>
            </w:r>
            <w:r>
              <w:rPr>
                <w:rFonts w:hint="eastAsia" w:ascii="宋体" w:hAnsi="宋体" w:cs="楷体"/>
                <w:szCs w:val="21"/>
                <w:lang w:val="en-US" w:eastAsia="zh-CN"/>
              </w:rPr>
              <w:t>并贴有标识，符合要求</w:t>
            </w:r>
            <w:r>
              <w:rPr>
                <w:rFonts w:hint="eastAsia" w:ascii="宋体" w:hAnsi="宋体" w:cs="楷体"/>
                <w:szCs w:val="21"/>
              </w:rPr>
              <w:t>。</w:t>
            </w:r>
          </w:p>
          <w:p>
            <w:pPr>
              <w:tabs>
                <w:tab w:val="left" w:pos="6597"/>
              </w:tabs>
              <w:spacing w:line="360" w:lineRule="auto"/>
              <w:ind w:firstLine="420" w:firstLineChars="200"/>
              <w:rPr>
                <w:rFonts w:ascii="宋体"/>
                <w:szCs w:val="21"/>
              </w:rPr>
            </w:pPr>
            <w:r>
              <w:rPr>
                <w:rFonts w:hint="eastAsia" w:ascii="宋体" w:hAnsi="宋体" w:cs="楷体"/>
                <w:szCs w:val="21"/>
                <w:lang w:val="en-US" w:eastAsia="zh-CN"/>
              </w:rPr>
              <w:t>综合管理部</w:t>
            </w:r>
            <w:r>
              <w:rPr>
                <w:rFonts w:hint="eastAsia" w:ascii="宋体" w:hAnsi="宋体" w:cs="楷体"/>
                <w:szCs w:val="21"/>
              </w:rPr>
              <w:t>负责每月巡查消防设施管理和线路安全情况，查见</w:t>
            </w:r>
            <w:r>
              <w:rPr>
                <w:rFonts w:ascii="宋体" w:hAnsi="宋体" w:cs="楷体"/>
                <w:szCs w:val="21"/>
              </w:rPr>
              <w:t>20</w:t>
            </w:r>
            <w:r>
              <w:rPr>
                <w:rFonts w:hint="eastAsia" w:ascii="宋体" w:hAnsi="宋体" w:cs="楷体"/>
                <w:szCs w:val="21"/>
                <w:lang w:val="en-US" w:eastAsia="zh-CN"/>
              </w:rPr>
              <w:t>20</w:t>
            </w:r>
            <w:r>
              <w:rPr>
                <w:rFonts w:ascii="宋体" w:cs="楷体"/>
                <w:szCs w:val="21"/>
              </w:rPr>
              <w:t>.</w:t>
            </w:r>
            <w:r>
              <w:rPr>
                <w:rFonts w:hint="eastAsia" w:ascii="宋体" w:hAnsi="宋体" w:cs="楷体"/>
                <w:szCs w:val="21"/>
                <w:lang w:val="en-US" w:eastAsia="zh-CN"/>
              </w:rPr>
              <w:t>1</w:t>
            </w:r>
            <w:r>
              <w:rPr>
                <w:rFonts w:hint="eastAsia" w:ascii="宋体" w:hAnsi="宋体" w:cs="楷体"/>
                <w:szCs w:val="21"/>
              </w:rPr>
              <w:t>月份</w:t>
            </w:r>
            <w:r>
              <w:rPr>
                <w:rFonts w:hint="eastAsia" w:ascii="宋体" w:hAnsi="宋体" w:cs="楷体"/>
                <w:szCs w:val="21"/>
                <w:lang w:val="en-US" w:eastAsia="zh-CN"/>
              </w:rPr>
              <w:t>-</w:t>
            </w:r>
            <w:r>
              <w:rPr>
                <w:rFonts w:ascii="宋体" w:hAnsi="宋体" w:cs="楷体"/>
                <w:szCs w:val="21"/>
              </w:rPr>
              <w:t>20</w:t>
            </w:r>
            <w:r>
              <w:rPr>
                <w:rFonts w:hint="eastAsia" w:ascii="宋体" w:hAnsi="宋体" w:cs="楷体"/>
                <w:szCs w:val="21"/>
                <w:lang w:val="en-US" w:eastAsia="zh-CN"/>
              </w:rPr>
              <w:t>20</w:t>
            </w:r>
            <w:bookmarkStart w:id="1" w:name="_GoBack"/>
            <w:bookmarkEnd w:id="1"/>
            <w:r>
              <w:rPr>
                <w:rFonts w:ascii="宋体" w:hAnsi="宋体" w:cs="楷体"/>
                <w:szCs w:val="21"/>
              </w:rPr>
              <w:t>.</w:t>
            </w:r>
            <w:r>
              <w:rPr>
                <w:rFonts w:hint="eastAsia" w:ascii="宋体" w:hAnsi="宋体" w:cs="楷体"/>
                <w:szCs w:val="21"/>
                <w:lang w:val="en-US" w:eastAsia="zh-CN"/>
              </w:rPr>
              <w:t>11</w:t>
            </w:r>
            <w:r>
              <w:rPr>
                <w:rFonts w:hint="eastAsia" w:ascii="宋体" w:hAnsi="宋体" w:cs="楷体"/>
                <w:szCs w:val="21"/>
              </w:rPr>
              <w:t>月份消除安全检查记录，未发现异常。</w:t>
            </w:r>
          </w:p>
        </w:tc>
        <w:tc>
          <w:tcPr>
            <w:tcW w:w="1585" w:type="dxa"/>
          </w:tcPr>
          <w:p>
            <w:pPr>
              <w:rPr>
                <w:rFonts w:ascii="楷体" w:hAnsi="楷体" w:eastAsia="楷体"/>
                <w:sz w:val="24"/>
                <w:szCs w:val="24"/>
              </w:rPr>
            </w:pPr>
          </w:p>
        </w:tc>
      </w:tr>
    </w:tbl>
    <w:p>
      <w:pPr>
        <w:jc w:val="center"/>
        <w:rPr>
          <w:rFonts w:ascii="楷体" w:hAnsi="楷体" w:eastAsia="楷体"/>
        </w:rPr>
      </w:pPr>
    </w:p>
    <w:p>
      <w:pPr>
        <w:jc w:val="center"/>
        <w:rPr>
          <w:rFonts w:ascii="楷体" w:hAnsi="楷体" w:eastAsia="楷体"/>
        </w:rPr>
      </w:pPr>
    </w:p>
    <w:p>
      <w:pPr>
        <w:pStyle w:val="3"/>
        <w:rPr>
          <w:rFonts w:ascii="楷体" w:hAnsi="楷体" w:eastAsia="楷体"/>
        </w:rPr>
      </w:pPr>
      <w:r>
        <w:rPr>
          <w:rFonts w:hint="eastAsia" w:ascii="楷体" w:hAnsi="楷体" w:eastAsia="楷体"/>
        </w:rPr>
        <w:t>说明：不符合标注</w:t>
      </w:r>
      <w:r>
        <w:rPr>
          <w:rFonts w:ascii="楷体" w:hAnsi="楷体" w:eastAsia="楷体"/>
        </w:rPr>
        <w:t>N</w:t>
      </w:r>
    </w:p>
    <w:p>
      <w:pPr>
        <w:pStyle w:val="3"/>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w:t>
    </w:r>
    <w:r>
      <w:rPr>
        <w:b/>
      </w:rPr>
      <w:fldChar w:fldCharType="begin"/>
    </w:r>
    <w:r>
      <w:rPr>
        <w:b/>
      </w:rPr>
      <w:instrText xml:space="preserve">NUMPAGES</w:instrText>
    </w:r>
    <w:r>
      <w:rPr>
        <w:b/>
      </w:rPr>
      <w:fldChar w:fldCharType="separate"/>
    </w:r>
    <w:r>
      <w:rPr>
        <w:b/>
      </w:rPr>
      <w:t>6</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26.25pt;margin-top:2.2pt;height:20.2pt;width:200.5pt;z-index:1024;mso-width-relative:page;mso-height-relative:page;" fillcolor="#FFFFFF" filled="t" stroked="f" coordsize="21600,21600">
          <v:path arrowok="t"/>
          <v:fill on="t" color2="#FFFFFF" focussize="0,0"/>
          <v:stroke on="f"/>
          <v:imagedata o:title=""/>
          <o:lock v:ext="edit" aspectratio="f"/>
          <v:textbox>
            <w:txbxContent>
              <w:p>
                <w:r>
                  <w:rPr>
                    <w:rFonts w:hint="eastAsia"/>
                  </w:rPr>
                  <w:t>D ISC-B-II-12管理体系审核记录表-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4817"/>
    <w:rsid w:val="000214B6"/>
    <w:rsid w:val="0002531E"/>
    <w:rsid w:val="0003373A"/>
    <w:rsid w:val="000412F6"/>
    <w:rsid w:val="0005199E"/>
    <w:rsid w:val="00053861"/>
    <w:rsid w:val="00054863"/>
    <w:rsid w:val="0005697E"/>
    <w:rsid w:val="000579CF"/>
    <w:rsid w:val="000602FA"/>
    <w:rsid w:val="0007023B"/>
    <w:rsid w:val="000803D0"/>
    <w:rsid w:val="00082216"/>
    <w:rsid w:val="00082398"/>
    <w:rsid w:val="00082817"/>
    <w:rsid w:val="000849D2"/>
    <w:rsid w:val="00086F5D"/>
    <w:rsid w:val="00095FE1"/>
    <w:rsid w:val="000A5E44"/>
    <w:rsid w:val="000B1394"/>
    <w:rsid w:val="000B40BD"/>
    <w:rsid w:val="000B51BD"/>
    <w:rsid w:val="000C0F8E"/>
    <w:rsid w:val="000C123B"/>
    <w:rsid w:val="000C6B55"/>
    <w:rsid w:val="000D5401"/>
    <w:rsid w:val="000D697A"/>
    <w:rsid w:val="000E2B69"/>
    <w:rsid w:val="000E7EF7"/>
    <w:rsid w:val="000F35F1"/>
    <w:rsid w:val="000F7D53"/>
    <w:rsid w:val="001022F1"/>
    <w:rsid w:val="0010278D"/>
    <w:rsid w:val="001037D5"/>
    <w:rsid w:val="001149C9"/>
    <w:rsid w:val="00121EA6"/>
    <w:rsid w:val="00142A5B"/>
    <w:rsid w:val="0014561D"/>
    <w:rsid w:val="00145688"/>
    <w:rsid w:val="001677C1"/>
    <w:rsid w:val="001918ED"/>
    <w:rsid w:val="00192A7F"/>
    <w:rsid w:val="00194706"/>
    <w:rsid w:val="00197C93"/>
    <w:rsid w:val="001A2D7F"/>
    <w:rsid w:val="001A3DF8"/>
    <w:rsid w:val="001A572D"/>
    <w:rsid w:val="001B5FE9"/>
    <w:rsid w:val="001D4AD8"/>
    <w:rsid w:val="001D54FF"/>
    <w:rsid w:val="001E1974"/>
    <w:rsid w:val="001E4FED"/>
    <w:rsid w:val="00202BC2"/>
    <w:rsid w:val="00207191"/>
    <w:rsid w:val="00214113"/>
    <w:rsid w:val="00215081"/>
    <w:rsid w:val="00217F1D"/>
    <w:rsid w:val="00222532"/>
    <w:rsid w:val="00237445"/>
    <w:rsid w:val="00257930"/>
    <w:rsid w:val="002651A6"/>
    <w:rsid w:val="00272C8B"/>
    <w:rsid w:val="00287A2B"/>
    <w:rsid w:val="002973F0"/>
    <w:rsid w:val="002975C1"/>
    <w:rsid w:val="002A0E6E"/>
    <w:rsid w:val="002A33CC"/>
    <w:rsid w:val="002B0BF6"/>
    <w:rsid w:val="002B1808"/>
    <w:rsid w:val="002C1ACE"/>
    <w:rsid w:val="002C3E0D"/>
    <w:rsid w:val="002D38C3"/>
    <w:rsid w:val="002D41FB"/>
    <w:rsid w:val="002E0587"/>
    <w:rsid w:val="002E1E1D"/>
    <w:rsid w:val="002E7E5D"/>
    <w:rsid w:val="002F77F9"/>
    <w:rsid w:val="003023CC"/>
    <w:rsid w:val="00317401"/>
    <w:rsid w:val="00326FC1"/>
    <w:rsid w:val="00337922"/>
    <w:rsid w:val="00340867"/>
    <w:rsid w:val="00341208"/>
    <w:rsid w:val="00342857"/>
    <w:rsid w:val="00343857"/>
    <w:rsid w:val="00347CB2"/>
    <w:rsid w:val="003608CB"/>
    <w:rsid w:val="003627B6"/>
    <w:rsid w:val="003634F1"/>
    <w:rsid w:val="00366FA6"/>
    <w:rsid w:val="003708D5"/>
    <w:rsid w:val="0038061A"/>
    <w:rsid w:val="0038063B"/>
    <w:rsid w:val="00380837"/>
    <w:rsid w:val="00381BEB"/>
    <w:rsid w:val="00382EDD"/>
    <w:rsid w:val="003836CA"/>
    <w:rsid w:val="003844E1"/>
    <w:rsid w:val="00384A69"/>
    <w:rsid w:val="00386A98"/>
    <w:rsid w:val="00390345"/>
    <w:rsid w:val="003A1E9C"/>
    <w:rsid w:val="003C0FC6"/>
    <w:rsid w:val="003D0F55"/>
    <w:rsid w:val="003D6BE3"/>
    <w:rsid w:val="003E0E52"/>
    <w:rsid w:val="003F20A5"/>
    <w:rsid w:val="003F5AFC"/>
    <w:rsid w:val="00400B96"/>
    <w:rsid w:val="00405D5F"/>
    <w:rsid w:val="00410914"/>
    <w:rsid w:val="00414A26"/>
    <w:rsid w:val="00415AA3"/>
    <w:rsid w:val="00420C60"/>
    <w:rsid w:val="00422783"/>
    <w:rsid w:val="00430432"/>
    <w:rsid w:val="00433759"/>
    <w:rsid w:val="0043494E"/>
    <w:rsid w:val="004414A5"/>
    <w:rsid w:val="00456697"/>
    <w:rsid w:val="0046133E"/>
    <w:rsid w:val="00465FE1"/>
    <w:rsid w:val="00475491"/>
    <w:rsid w:val="004869FB"/>
    <w:rsid w:val="00491735"/>
    <w:rsid w:val="00494A46"/>
    <w:rsid w:val="00494F89"/>
    <w:rsid w:val="004A2955"/>
    <w:rsid w:val="004B217F"/>
    <w:rsid w:val="004B3E7F"/>
    <w:rsid w:val="004B549E"/>
    <w:rsid w:val="004C07FE"/>
    <w:rsid w:val="004C2A19"/>
    <w:rsid w:val="004C6045"/>
    <w:rsid w:val="004D22E0"/>
    <w:rsid w:val="004D391C"/>
    <w:rsid w:val="004D3E4C"/>
    <w:rsid w:val="004D41EE"/>
    <w:rsid w:val="004D7519"/>
    <w:rsid w:val="004E27B4"/>
    <w:rsid w:val="004F185D"/>
    <w:rsid w:val="004F3F59"/>
    <w:rsid w:val="005056ED"/>
    <w:rsid w:val="00511BA6"/>
    <w:rsid w:val="00517E4C"/>
    <w:rsid w:val="0052007E"/>
    <w:rsid w:val="00521CF0"/>
    <w:rsid w:val="005247CE"/>
    <w:rsid w:val="0053208B"/>
    <w:rsid w:val="005331FF"/>
    <w:rsid w:val="00534814"/>
    <w:rsid w:val="00536930"/>
    <w:rsid w:val="00551AE7"/>
    <w:rsid w:val="00560A2A"/>
    <w:rsid w:val="00564E53"/>
    <w:rsid w:val="00583277"/>
    <w:rsid w:val="00592C3E"/>
    <w:rsid w:val="005A000F"/>
    <w:rsid w:val="005B173D"/>
    <w:rsid w:val="005B6888"/>
    <w:rsid w:val="005D2643"/>
    <w:rsid w:val="005D7FAE"/>
    <w:rsid w:val="005E28A0"/>
    <w:rsid w:val="005F6C65"/>
    <w:rsid w:val="00600F02"/>
    <w:rsid w:val="0060444D"/>
    <w:rsid w:val="00622EE3"/>
    <w:rsid w:val="00642776"/>
    <w:rsid w:val="00644FE2"/>
    <w:rsid w:val="00645FB8"/>
    <w:rsid w:val="00651986"/>
    <w:rsid w:val="006545E8"/>
    <w:rsid w:val="00664736"/>
    <w:rsid w:val="00665980"/>
    <w:rsid w:val="006737A3"/>
    <w:rsid w:val="0067640C"/>
    <w:rsid w:val="006836D9"/>
    <w:rsid w:val="00695256"/>
    <w:rsid w:val="006954CE"/>
    <w:rsid w:val="00695570"/>
    <w:rsid w:val="00696AF1"/>
    <w:rsid w:val="006A3B31"/>
    <w:rsid w:val="006A68F3"/>
    <w:rsid w:val="006A6A80"/>
    <w:rsid w:val="006B4127"/>
    <w:rsid w:val="006C24BF"/>
    <w:rsid w:val="006C40B9"/>
    <w:rsid w:val="006D08DD"/>
    <w:rsid w:val="006E678B"/>
    <w:rsid w:val="0070367F"/>
    <w:rsid w:val="00712F3C"/>
    <w:rsid w:val="0071390C"/>
    <w:rsid w:val="007170AA"/>
    <w:rsid w:val="00732B6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B768F"/>
    <w:rsid w:val="007E6AEB"/>
    <w:rsid w:val="007E77A0"/>
    <w:rsid w:val="007F01EC"/>
    <w:rsid w:val="007F7DF2"/>
    <w:rsid w:val="007F7DF4"/>
    <w:rsid w:val="008079FA"/>
    <w:rsid w:val="00810D58"/>
    <w:rsid w:val="008150B9"/>
    <w:rsid w:val="00835B31"/>
    <w:rsid w:val="00847F60"/>
    <w:rsid w:val="00853BC9"/>
    <w:rsid w:val="008646DE"/>
    <w:rsid w:val="00864902"/>
    <w:rsid w:val="00864BE7"/>
    <w:rsid w:val="00865200"/>
    <w:rsid w:val="00871695"/>
    <w:rsid w:val="00891C25"/>
    <w:rsid w:val="008973EE"/>
    <w:rsid w:val="00897B67"/>
    <w:rsid w:val="008B6F0D"/>
    <w:rsid w:val="008C0A5A"/>
    <w:rsid w:val="008D089D"/>
    <w:rsid w:val="008E24A5"/>
    <w:rsid w:val="008F0B04"/>
    <w:rsid w:val="008F4ED3"/>
    <w:rsid w:val="008F63B8"/>
    <w:rsid w:val="008F7C55"/>
    <w:rsid w:val="00924567"/>
    <w:rsid w:val="00926BFD"/>
    <w:rsid w:val="00930694"/>
    <w:rsid w:val="0093521F"/>
    <w:rsid w:val="00945677"/>
    <w:rsid w:val="00955B84"/>
    <w:rsid w:val="00962F78"/>
    <w:rsid w:val="00965C9D"/>
    <w:rsid w:val="0096609F"/>
    <w:rsid w:val="00971600"/>
    <w:rsid w:val="00984342"/>
    <w:rsid w:val="009973B4"/>
    <w:rsid w:val="009A1B11"/>
    <w:rsid w:val="009A3AF9"/>
    <w:rsid w:val="009A4A41"/>
    <w:rsid w:val="009B7EB8"/>
    <w:rsid w:val="009E2444"/>
    <w:rsid w:val="009E30DA"/>
    <w:rsid w:val="009E6193"/>
    <w:rsid w:val="009E7DD1"/>
    <w:rsid w:val="009F7EED"/>
    <w:rsid w:val="00A138EC"/>
    <w:rsid w:val="00A3649D"/>
    <w:rsid w:val="00A36D0F"/>
    <w:rsid w:val="00A411EF"/>
    <w:rsid w:val="00A619FC"/>
    <w:rsid w:val="00A66648"/>
    <w:rsid w:val="00A801DE"/>
    <w:rsid w:val="00A90A22"/>
    <w:rsid w:val="00A97734"/>
    <w:rsid w:val="00AA7F40"/>
    <w:rsid w:val="00AB05B9"/>
    <w:rsid w:val="00AB41FC"/>
    <w:rsid w:val="00AB7D2F"/>
    <w:rsid w:val="00AD6F34"/>
    <w:rsid w:val="00AF0AAB"/>
    <w:rsid w:val="00AF156F"/>
    <w:rsid w:val="00AF616B"/>
    <w:rsid w:val="00B0685B"/>
    <w:rsid w:val="00B22D22"/>
    <w:rsid w:val="00B23030"/>
    <w:rsid w:val="00B237B9"/>
    <w:rsid w:val="00B23CAA"/>
    <w:rsid w:val="00B25189"/>
    <w:rsid w:val="00B410EE"/>
    <w:rsid w:val="00B43963"/>
    <w:rsid w:val="00B565AA"/>
    <w:rsid w:val="00B75064"/>
    <w:rsid w:val="00B8202D"/>
    <w:rsid w:val="00B83AEA"/>
    <w:rsid w:val="00B86D9C"/>
    <w:rsid w:val="00B929FD"/>
    <w:rsid w:val="00B95B99"/>
    <w:rsid w:val="00B95F69"/>
    <w:rsid w:val="00B97F9D"/>
    <w:rsid w:val="00BA4598"/>
    <w:rsid w:val="00BB13A7"/>
    <w:rsid w:val="00BB19A9"/>
    <w:rsid w:val="00BB385E"/>
    <w:rsid w:val="00BC2015"/>
    <w:rsid w:val="00BC71B0"/>
    <w:rsid w:val="00BF4732"/>
    <w:rsid w:val="00BF597E"/>
    <w:rsid w:val="00C03098"/>
    <w:rsid w:val="00C14685"/>
    <w:rsid w:val="00C31C73"/>
    <w:rsid w:val="00C326AE"/>
    <w:rsid w:val="00C438C2"/>
    <w:rsid w:val="00C51A36"/>
    <w:rsid w:val="00C548BE"/>
    <w:rsid w:val="00C55228"/>
    <w:rsid w:val="00C67E19"/>
    <w:rsid w:val="00C67E47"/>
    <w:rsid w:val="00C71E85"/>
    <w:rsid w:val="00C86F9B"/>
    <w:rsid w:val="00C87FEE"/>
    <w:rsid w:val="00C920A9"/>
    <w:rsid w:val="00CA659B"/>
    <w:rsid w:val="00CB260B"/>
    <w:rsid w:val="00CB66CD"/>
    <w:rsid w:val="00CD7004"/>
    <w:rsid w:val="00CE2A9E"/>
    <w:rsid w:val="00CE315A"/>
    <w:rsid w:val="00CE5B47"/>
    <w:rsid w:val="00CE7BE1"/>
    <w:rsid w:val="00CF147A"/>
    <w:rsid w:val="00CF1726"/>
    <w:rsid w:val="00CF6C5C"/>
    <w:rsid w:val="00CF701E"/>
    <w:rsid w:val="00D06F59"/>
    <w:rsid w:val="00D12FC9"/>
    <w:rsid w:val="00D16BBF"/>
    <w:rsid w:val="00D3392D"/>
    <w:rsid w:val="00D429D7"/>
    <w:rsid w:val="00D445C2"/>
    <w:rsid w:val="00D55E69"/>
    <w:rsid w:val="00D562F6"/>
    <w:rsid w:val="00D8388C"/>
    <w:rsid w:val="00D8660F"/>
    <w:rsid w:val="00D87853"/>
    <w:rsid w:val="00DA0DF0"/>
    <w:rsid w:val="00DD1C8E"/>
    <w:rsid w:val="00DE146D"/>
    <w:rsid w:val="00DE2197"/>
    <w:rsid w:val="00DE2D80"/>
    <w:rsid w:val="00DE6FCE"/>
    <w:rsid w:val="00DF76DB"/>
    <w:rsid w:val="00E038E4"/>
    <w:rsid w:val="00E13D9A"/>
    <w:rsid w:val="00E32D13"/>
    <w:rsid w:val="00E43186"/>
    <w:rsid w:val="00E43822"/>
    <w:rsid w:val="00E54035"/>
    <w:rsid w:val="00E62996"/>
    <w:rsid w:val="00E63714"/>
    <w:rsid w:val="00E64A51"/>
    <w:rsid w:val="00E660EA"/>
    <w:rsid w:val="00E676F9"/>
    <w:rsid w:val="00E730E1"/>
    <w:rsid w:val="00E75612"/>
    <w:rsid w:val="00E910C0"/>
    <w:rsid w:val="00E96A78"/>
    <w:rsid w:val="00E97424"/>
    <w:rsid w:val="00EA0B70"/>
    <w:rsid w:val="00EA55F7"/>
    <w:rsid w:val="00EB0164"/>
    <w:rsid w:val="00EB1030"/>
    <w:rsid w:val="00EB5DF5"/>
    <w:rsid w:val="00EB656A"/>
    <w:rsid w:val="00EB65F7"/>
    <w:rsid w:val="00EC42F5"/>
    <w:rsid w:val="00ED0F62"/>
    <w:rsid w:val="00EE6AB8"/>
    <w:rsid w:val="00EF2867"/>
    <w:rsid w:val="00EF2EAF"/>
    <w:rsid w:val="00EF36E7"/>
    <w:rsid w:val="00F024A7"/>
    <w:rsid w:val="00F06D09"/>
    <w:rsid w:val="00F11201"/>
    <w:rsid w:val="00F14D99"/>
    <w:rsid w:val="00F27D9A"/>
    <w:rsid w:val="00F311D6"/>
    <w:rsid w:val="00F32CB9"/>
    <w:rsid w:val="00F33729"/>
    <w:rsid w:val="00F35CD7"/>
    <w:rsid w:val="00F606E1"/>
    <w:rsid w:val="00F6739D"/>
    <w:rsid w:val="00F80156"/>
    <w:rsid w:val="00F83639"/>
    <w:rsid w:val="00F840C3"/>
    <w:rsid w:val="00F856F5"/>
    <w:rsid w:val="00F956F5"/>
    <w:rsid w:val="00FA0833"/>
    <w:rsid w:val="00FA1CD0"/>
    <w:rsid w:val="00FA350D"/>
    <w:rsid w:val="00FB03C3"/>
    <w:rsid w:val="00FB5A65"/>
    <w:rsid w:val="00FC5C16"/>
    <w:rsid w:val="00FD2869"/>
    <w:rsid w:val="00FD5EE5"/>
    <w:rsid w:val="00FD72A6"/>
    <w:rsid w:val="00FE09C9"/>
    <w:rsid w:val="00FF415B"/>
    <w:rsid w:val="00FF5C75"/>
    <w:rsid w:val="108219C2"/>
    <w:rsid w:val="38D2199C"/>
    <w:rsid w:val="38F16EB6"/>
    <w:rsid w:val="39F52ADD"/>
    <w:rsid w:val="3CFB3168"/>
    <w:rsid w:val="4EC17F0A"/>
    <w:rsid w:val="50F574B7"/>
    <w:rsid w:val="56B41019"/>
    <w:rsid w:val="573033D2"/>
    <w:rsid w:val="5EA12B9A"/>
    <w:rsid w:val="6A920F4D"/>
    <w:rsid w:val="7AC36EB8"/>
    <w:rsid w:val="7B6224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542</Words>
  <Characters>3093</Characters>
  <Lines>25</Lines>
  <Paragraphs>7</Paragraphs>
  <TotalTime>2</TotalTime>
  <ScaleCrop>false</ScaleCrop>
  <LinksUpToDate>false</LinksUpToDate>
  <CharactersWithSpaces>3628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2019-05-18T05:12:00Z</dcterms:created>
  <dc:creator>微软用户</dc:creator>
  <cp:lastModifiedBy>LIL</cp:lastModifiedBy>
  <dcterms:modified xsi:type="dcterms:W3CDTF">2020-12-13T01:22:50Z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