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审核计划</w:t>
      </w:r>
    </w:p>
    <w:tbl>
      <w:tblPr>
        <w:tblStyle w:val="5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141"/>
        <w:gridCol w:w="142"/>
        <w:gridCol w:w="1553"/>
        <w:gridCol w:w="6"/>
        <w:gridCol w:w="567"/>
        <w:gridCol w:w="1134"/>
        <w:gridCol w:w="108"/>
        <w:gridCol w:w="75"/>
        <w:gridCol w:w="690"/>
        <w:gridCol w:w="261"/>
        <w:gridCol w:w="425"/>
        <w:gridCol w:w="1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0" w:name="组织名称"/>
            <w:r>
              <w:rPr>
                <w:rFonts w:asciiTheme="minorEastAsia" w:hAnsiTheme="minorEastAsia" w:eastAsiaTheme="minorEastAsia"/>
                <w:sz w:val="20"/>
              </w:rPr>
              <w:t>华润雪花啤酒（四川）有限责任公司广安分公司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四川省武胜县沿口镇迎宾大道36号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谭昌文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0826-8893032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邮箱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5" w:name="管理者代表"/>
            <w:r>
              <w:rPr>
                <w:sz w:val="20"/>
              </w:rPr>
              <w:t>谭昌文</w:t>
            </w:r>
            <w:bookmarkEnd w:id="5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0671-2019-EO-2020</w:t>
            </w:r>
            <w:bookmarkEnd w:id="6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□5</w:t>
            </w:r>
            <w:r>
              <w:rPr>
                <w:sz w:val="20"/>
              </w:rPr>
              <w:t>0430</w:t>
            </w:r>
            <w:r>
              <w:rPr>
                <w:rFonts w:hint="eastAsia" w:ascii="宋体" w:hAnsi="宋体" w:eastAsia="宋体" w:cs="宋体"/>
                <w:sz w:val="20"/>
              </w:rPr>
              <w:t>■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  <w:lang w:eastAsia="zh-CN"/>
              </w:rPr>
              <w:t>■</w:t>
            </w:r>
            <w:r>
              <w:rPr>
                <w:spacing w:val="-2"/>
                <w:sz w:val="20"/>
              </w:rPr>
              <w:t>OHSMS</w:t>
            </w:r>
            <w:r>
              <w:rPr>
                <w:rFonts w:hint="eastAsia" w:ascii="宋体" w:hAnsi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sz w:val="20"/>
              </w:rPr>
            </w:pPr>
            <w:bookmarkStart w:id="7" w:name="审核类型"/>
            <w:r>
              <w:rPr>
                <w:rFonts w:hint="eastAsia" w:ascii="宋体" w:hAnsi="宋体"/>
                <w:b/>
                <w:bCs/>
                <w:sz w:val="20"/>
              </w:rPr>
              <w:t>E:监查1,O:监查1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4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8" w:name="审核目的"/>
            <w:r>
              <w:rPr>
                <w:rFonts w:hint="eastAsia" w:ascii="宋体" w:hAnsi="宋体"/>
                <w:b/>
                <w:bCs/>
                <w:sz w:val="20"/>
              </w:rPr>
              <w:t>□认证注册：__________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</w:rPr>
              <w:t>保持认证注册资格：__________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□恢复认证注册资格：__________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□扩大认证范围 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□其它：__________</w:t>
            </w:r>
            <w:bookmarkEnd w:id="8"/>
            <w:r>
              <w:rPr>
                <w:rFonts w:hint="eastAsia" w:ascii="宋体" w:hAnsi="宋体"/>
                <w:b/>
                <w:bCs/>
                <w:sz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9" w:name="审核范围"/>
            <w:r>
              <w:rPr>
                <w:sz w:val="20"/>
              </w:rPr>
              <w:t>E：雪花啤酒的生产及其所涉及的环境管理活动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O：雪花啤酒的生产及其所涉及的相关职业健康管理活动</w:t>
            </w:r>
            <w:bookmarkEnd w:id="9"/>
          </w:p>
        </w:tc>
        <w:tc>
          <w:tcPr>
            <w:tcW w:w="95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0" w:name="专业代码"/>
            <w:r>
              <w:rPr>
                <w:sz w:val="20"/>
              </w:rPr>
              <w:t>E：03.10.05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O：03.10.05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1" w:name="Q勾选15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1"/>
            <w:r>
              <w:rPr>
                <w:rFonts w:hint="eastAsia"/>
                <w:b/>
                <w:sz w:val="20"/>
                <w:lang w:val="de-DE"/>
              </w:rPr>
              <w:t xml:space="preserve"> GB/T 19001:2016 idt ISO 9001:2015标准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QJ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2"/>
            <w:r>
              <w:rPr>
                <w:rFonts w:hint="eastAsia"/>
                <w:b/>
                <w:sz w:val="20"/>
                <w:lang w:val="de-DE"/>
              </w:rPr>
              <w:t xml:space="preserve"> GB/T 50430-2017标准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E勾选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3"/>
            <w:r>
              <w:rPr>
                <w:rFonts w:hint="eastAsia"/>
                <w:b/>
                <w:sz w:val="20"/>
                <w:lang w:val="de-DE"/>
              </w:rPr>
              <w:t xml:space="preserve"> GB/T 24001-2016 idt ISO 14001:2015标准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t>□ GB/T 28001-2011 idt OHSMS 18001:2007标准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S勾选Add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4"/>
            <w:r>
              <w:rPr>
                <w:rFonts w:hint="eastAsia"/>
                <w:b/>
                <w:sz w:val="20"/>
                <w:lang w:val="de-DE"/>
              </w:rPr>
              <w:t xml:space="preserve"> ISO45001：2018标准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="-108" w:leftChars="-45" w:firstLine="98" w:firstLineChars="49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t>□ 受审核方管理体系文件  □适用的法律法规  □认证合同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5" w:name="审核开始日"/>
            <w:r>
              <w:rPr>
                <w:rFonts w:hint="eastAsia"/>
                <w:b/>
                <w:sz w:val="20"/>
              </w:rPr>
              <w:t>2020年12月16日 上午</w:t>
            </w:r>
            <w:bookmarkEnd w:id="15"/>
            <w:r>
              <w:rPr>
                <w:rFonts w:hint="eastAsia"/>
                <w:b/>
                <w:sz w:val="20"/>
              </w:rPr>
              <w:t>至</w:t>
            </w:r>
            <w:bookmarkStart w:id="16" w:name="审核结束日"/>
            <w:r>
              <w:rPr>
                <w:rFonts w:hint="eastAsia"/>
                <w:b/>
                <w:sz w:val="20"/>
              </w:rPr>
              <w:t>2020年12月17日 下午</w:t>
            </w:r>
            <w:bookmarkEnd w:id="16"/>
            <w:r>
              <w:rPr>
                <w:rFonts w:hint="eastAsia"/>
                <w:b/>
                <w:sz w:val="20"/>
              </w:rPr>
              <w:t xml:space="preserve">，共 </w:t>
            </w:r>
            <w:bookmarkStart w:id="17" w:name="审核天数"/>
            <w:r>
              <w:rPr>
                <w:rFonts w:hint="eastAsia"/>
                <w:b/>
                <w:sz w:val="20"/>
              </w:rPr>
              <w:t>2.0</w:t>
            </w:r>
            <w:bookmarkEnd w:id="17"/>
            <w:r>
              <w:rPr>
                <w:rFonts w:hint="eastAsia"/>
                <w:b/>
                <w:sz w:val="20"/>
              </w:rPr>
              <w:t xml:space="preserve">  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■</w:t>
            </w:r>
            <w:r>
              <w:rPr>
                <w:rFonts w:hint="eastAsia"/>
                <w:b/>
                <w:sz w:val="20"/>
              </w:rPr>
              <w:t xml:space="preserve">普通话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 xml:space="preserve">英语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0321" w:type="dxa"/>
            <w:gridSpan w:val="17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杨珍全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2018-N1EMS-1230067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2018-N1OHSMS-1230067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E:03.10.05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O:03.10.05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ISC-230067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余家龙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2020-N1EMS-1262293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ISC-262293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7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杨珍全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7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sz w:val="20"/>
                <w:lang w:val="en-US" w:eastAsia="zh-CN"/>
              </w:rPr>
              <w:t>13883847833</w:t>
            </w: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4017" w:type="dxa"/>
            <w:gridSpan w:val="7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2020.12.15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7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2020.12.15</w:t>
            </w:r>
          </w:p>
        </w:tc>
      </w:tr>
    </w:tbl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rPr>
          <w:rFonts w:hint="eastAsia"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br w:type="page"/>
      </w:r>
    </w:p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W w:w="101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639"/>
        <w:gridCol w:w="992"/>
        <w:gridCol w:w="13"/>
        <w:gridCol w:w="5530"/>
        <w:gridCol w:w="9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63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54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975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16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8:00-8:30</w:t>
            </w:r>
          </w:p>
        </w:tc>
        <w:tc>
          <w:tcPr>
            <w:tcW w:w="6535" w:type="dxa"/>
            <w:gridSpan w:val="3"/>
            <w:vAlign w:val="center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首次会议</w:t>
            </w:r>
          </w:p>
        </w:tc>
        <w:tc>
          <w:tcPr>
            <w:tcW w:w="975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杨珍全、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余家龙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9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 w:val="restart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8:30-17:00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（午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休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12：00-13:00）</w:t>
            </w:r>
          </w:p>
        </w:tc>
        <w:tc>
          <w:tcPr>
            <w:tcW w:w="992" w:type="dxa"/>
            <w:vMerge w:val="restart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管理层</w:t>
            </w:r>
          </w:p>
        </w:tc>
        <w:tc>
          <w:tcPr>
            <w:tcW w:w="5543" w:type="dxa"/>
            <w:gridSpan w:val="2"/>
          </w:tcPr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EMS-2015 </w:t>
            </w:r>
          </w:p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;5.1领导作用与承诺;5.2方针;5.3组织的角色、职责和权限；6.1.1策划总则；6.1.4措施的策划；6.2目标及其实现的策划；7.1资源；7.4沟通；7.5.1文件化信息总则；9.1.1监测、分析和评估总则；9.2内部审核；9.3管理评审；10.1改进 总则；10.3持续改进。</w:t>
            </w:r>
          </w:p>
        </w:tc>
        <w:tc>
          <w:tcPr>
            <w:tcW w:w="975" w:type="dxa"/>
            <w:tcBorders>
              <w:right w:val="single" w:color="auto" w:sz="8" w:space="0"/>
            </w:tcBorders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余家龙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 w:val="continue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  <w:vMerge w:val="continue"/>
          </w:tcPr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543" w:type="dxa"/>
            <w:gridSpan w:val="2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ISO45001:2018</w:t>
            </w:r>
            <w:r>
              <w:rPr>
                <w:rFonts w:hint="eastAsia" w:ascii="宋体" w:hAnsi="宋体" w:cs="新宋体"/>
                <w:sz w:val="18"/>
                <w:szCs w:val="18"/>
              </w:rPr>
              <w:t xml:space="preserve"> 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4.1组织及其环境;4.2相关方需求与期望;4.3确定体系范围;4.4体系;5.1领导作用与承诺;5.2方针;5.3组织的角色、职责和权限；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5.4员工参与和协商；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6.1应对风险和机遇的措施6.1.4措施的策划；6.2目标及其实现的策划；7.1资源；7.4信息和沟通；7.5.1文件化信息总则；9.1监视、测量、分析和评价；9.2内部审核；9.3管理评审；10.1事件、不符合和纠正措施；10.2持续改进。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范围的确认，资质的确认，</w:t>
            </w:r>
            <w:r>
              <w:rPr>
                <w:rFonts w:hint="eastAsia"/>
                <w:sz w:val="21"/>
                <w:szCs w:val="21"/>
              </w:rPr>
              <w:t>管理体系变化情况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法律法规执行情况，重大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环境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事故及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职业健康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安全投诉情况，</w:t>
            </w:r>
            <w:r>
              <w:rPr>
                <w:rFonts w:hint="eastAsia" w:ascii="Arial" w:hAnsi="Arial" w:cs="Arial"/>
                <w:sz w:val="21"/>
                <w:szCs w:val="21"/>
                <w:shd w:val="clear" w:color="auto" w:fill="FFFFFF"/>
                <w:lang w:val="en-US" w:eastAsia="zh-CN"/>
              </w:rPr>
              <w:t>上次审核不符合验证</w:t>
            </w:r>
            <w:r>
              <w:rPr>
                <w:rFonts w:hint="eastAsia" w:ascii="Arial" w:hAnsi="Arial" w:cs="Arial"/>
                <w:sz w:val="21"/>
                <w:szCs w:val="21"/>
                <w:shd w:val="clear" w:color="auto" w:fill="FFFFFF"/>
                <w:lang w:eastAsia="zh-CN"/>
              </w:rPr>
              <w:t>。</w:t>
            </w:r>
          </w:p>
        </w:tc>
        <w:tc>
          <w:tcPr>
            <w:tcW w:w="97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60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行政部</w:t>
            </w:r>
          </w:p>
        </w:tc>
        <w:tc>
          <w:tcPr>
            <w:tcW w:w="5543" w:type="dxa"/>
            <w:gridSpan w:val="2"/>
          </w:tcPr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;6.1.2环境因素；6.1.3合规义务；6.2目标及其达成的策划；8.1运行策划和控制；8.2应急准备和响应；9.1监视、测量、分析与评估；9.1.2符合性评估；10.2不符合和纠正措施；10.3持续改进/EMS运行控制相关财务支出证据。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ISO45001:2018</w:t>
            </w:r>
            <w:r>
              <w:rPr>
                <w:rFonts w:hint="eastAsia" w:ascii="宋体" w:hAnsi="宋体" w:cs="新宋体"/>
                <w:sz w:val="18"/>
                <w:szCs w:val="18"/>
              </w:rPr>
              <w:t xml:space="preserve"> 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6.1.2危险源辨识和职业安全风险评价；6.1.3法律法规要求和其他要求；6.2目标及其实现的策划；8.1运行策划和控制；8.2应急准备和响应；9.1监视、测量、分析和评价；9.1.2法律法规要求和其他要求的合规性评价；10.1事件、不符合和纠正措施；10.2持续改进/OHSMS运行控制财务支出证据</w:t>
            </w:r>
          </w:p>
        </w:tc>
        <w:tc>
          <w:tcPr>
            <w:tcW w:w="975" w:type="dxa"/>
            <w:tcBorders>
              <w:right w:val="single" w:color="auto" w:sz="8" w:space="0"/>
            </w:tcBorders>
          </w:tcPr>
          <w:p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9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17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</w:t>
            </w:r>
          </w:p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 w:val="restart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（午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休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12：00-13:00）</w:t>
            </w:r>
          </w:p>
        </w:tc>
        <w:tc>
          <w:tcPr>
            <w:tcW w:w="992" w:type="dxa"/>
            <w:vMerge w:val="restart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新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运营部</w:t>
            </w:r>
          </w:p>
        </w:tc>
        <w:tc>
          <w:tcPr>
            <w:tcW w:w="5543" w:type="dxa"/>
            <w:gridSpan w:val="2"/>
            <w:vAlign w:val="top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</w:t>
            </w:r>
          </w:p>
          <w:p>
            <w:pPr>
              <w:snapToGrid w:val="0"/>
              <w:spacing w:line="240" w:lineRule="exact"/>
              <w:rPr>
                <w:rFonts w:ascii="宋体" w:hAnsi="宋体" w:eastAsia="宋体" w:cs="新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5.3组织的角色、职责和权限、6.1.2环境因素；6.2目标及其达成的策划；8.1运行策划和控制；8.2应急准备和响应</w:t>
            </w:r>
          </w:p>
        </w:tc>
        <w:tc>
          <w:tcPr>
            <w:tcW w:w="975" w:type="dxa"/>
            <w:tcBorders>
              <w:right w:val="single" w:color="auto" w:sz="8" w:space="0"/>
            </w:tcBorders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余家龙</w:t>
            </w: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 w:val="continue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  <w:vMerge w:val="continue"/>
            <w:vAlign w:val="top"/>
          </w:tcPr>
          <w:p>
            <w:pPr>
              <w:spacing w:line="300" w:lineRule="exact"/>
              <w:rPr>
                <w:rFonts w:hint="eastAsia" w:ascii="宋体" w:hAnsi="宋体" w:cs="新宋体"/>
                <w:sz w:val="21"/>
                <w:szCs w:val="21"/>
              </w:rPr>
            </w:pPr>
          </w:p>
        </w:tc>
        <w:tc>
          <w:tcPr>
            <w:tcW w:w="5543" w:type="dxa"/>
            <w:gridSpan w:val="2"/>
            <w:vAlign w:val="top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ISO45001:2018</w:t>
            </w:r>
            <w:r>
              <w:rPr>
                <w:rFonts w:hint="eastAsia" w:ascii="宋体" w:hAnsi="宋体" w:cs="新宋体"/>
                <w:sz w:val="18"/>
                <w:szCs w:val="18"/>
              </w:rPr>
              <w:t xml:space="preserve"> 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5.3组织的角色、职责和权限；6.1.2危险源辨识和职业安全风险评价；6.2目标及其实现的策划；8.1运行策划和控制；8.2应急准备和响应；</w:t>
            </w:r>
          </w:p>
        </w:tc>
        <w:tc>
          <w:tcPr>
            <w:tcW w:w="97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8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005" w:type="dxa"/>
            <w:gridSpan w:val="2"/>
          </w:tcPr>
          <w:p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酿造部</w:t>
            </w:r>
            <w:bookmarkStart w:id="18" w:name="_GoBack"/>
            <w:bookmarkEnd w:id="18"/>
          </w:p>
        </w:tc>
        <w:tc>
          <w:tcPr>
            <w:tcW w:w="5530" w:type="dxa"/>
          </w:tcPr>
          <w:p>
            <w:pPr>
              <w:snapToGrid w:val="0"/>
              <w:spacing w:line="280" w:lineRule="exact"/>
              <w:jc w:val="lef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5.3组织的角色、职责和权限、6.1.2环境因素；6.2目标及其达成的策划；8.1运行策划和控制；8.2应急准备和响应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ISO45001:2018</w:t>
            </w:r>
            <w:r>
              <w:rPr>
                <w:rFonts w:hint="eastAsia" w:ascii="宋体" w:hAnsi="宋体" w:cs="新宋体"/>
                <w:sz w:val="18"/>
                <w:szCs w:val="18"/>
              </w:rPr>
              <w:t xml:space="preserve">  </w:t>
            </w:r>
          </w:p>
          <w:p>
            <w:pPr>
              <w:widowControl/>
              <w:jc w:val="lef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6.1.2危险源辨识和职业安全风险评价；6.2目标及其实现的策划；8.1运行策划和控制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上次不符合验证）</w:t>
            </w:r>
            <w:r>
              <w:rPr>
                <w:rFonts w:hint="eastAsia" w:ascii="宋体" w:hAnsi="宋体" w:cs="新宋体"/>
                <w:sz w:val="18"/>
                <w:szCs w:val="18"/>
              </w:rPr>
              <w:t>；8.2应急准备和响应；</w:t>
            </w:r>
          </w:p>
        </w:tc>
        <w:tc>
          <w:tcPr>
            <w:tcW w:w="97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16:00-16:30</w:t>
            </w:r>
          </w:p>
        </w:tc>
        <w:tc>
          <w:tcPr>
            <w:tcW w:w="6535" w:type="dxa"/>
            <w:gridSpan w:val="3"/>
            <w:vAlign w:val="center"/>
          </w:tcPr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审核组内部沟通,并与受审核方沟通</w:t>
            </w:r>
          </w:p>
        </w:tc>
        <w:tc>
          <w:tcPr>
            <w:tcW w:w="975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280" w:lineRule="exact"/>
              <w:jc w:val="left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杨珍全、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余家龙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16:30-17:00</w:t>
            </w:r>
          </w:p>
        </w:tc>
        <w:tc>
          <w:tcPr>
            <w:tcW w:w="6535" w:type="dxa"/>
            <w:gridSpan w:val="3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末次会议</w:t>
            </w:r>
          </w:p>
        </w:tc>
        <w:tc>
          <w:tcPr>
            <w:tcW w:w="975" w:type="dxa"/>
            <w:tcBorders>
              <w:right w:val="single" w:color="auto" w:sz="8" w:space="0"/>
            </w:tcBorders>
          </w:tcPr>
          <w:p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杨珍全、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余家龙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、</w:t>
            </w:r>
          </w:p>
        </w:tc>
      </w:tr>
    </w:tbl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审核计划(03版)</w:t>
                </w:r>
              </w:p>
            </w:txbxContent>
          </v:textbox>
        </v:shape>
      </w:pict>
    </w:r>
    <w:r>
      <w:rPr>
        <w:rStyle w:val="11"/>
        <w:rFonts w:hint="default"/>
      </w:rPr>
      <w:t xml:space="preserve">        </w:t>
    </w:r>
    <w:r>
      <w:rPr>
        <w:rStyle w:val="11"/>
        <w:rFonts w:hint="default"/>
        <w:w w:val="90"/>
      </w:rPr>
      <w:t>Beijing International Standard united Certification Co.,Ltd.</w:t>
    </w:r>
    <w:r>
      <w:rPr>
        <w:rStyle w:val="11"/>
        <w:rFonts w:hint="default"/>
        <w:w w:val="90"/>
        <w:szCs w:val="21"/>
      </w:rPr>
      <w:t xml:space="preserve">  </w:t>
    </w:r>
    <w:r>
      <w:rPr>
        <w:rStyle w:val="11"/>
        <w:rFonts w:hint="default"/>
        <w:w w:val="90"/>
        <w:sz w:val="20"/>
      </w:rPr>
      <w:t xml:space="preserve"> </w:t>
    </w:r>
    <w:r>
      <w:rPr>
        <w:rStyle w:val="11"/>
        <w:rFonts w:hint="default"/>
        <w:w w:val="90"/>
      </w:rPr>
      <w:t xml:space="preserve">                   </w:t>
    </w:r>
  </w:p>
  <w:p>
    <w:r>
      <w:pict>
        <v:shape id="_x0000_s4098" o:spid="_x0000_s4098" o:spt="32" type="#_x0000_t32" style="position:absolute;left:0pt;margin-left:-0.05pt;margin-top:10.65pt;height:0pt;width:519.05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03E15F0"/>
    <w:rsid w:val="57824A1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182</Words>
  <Characters>1043</Characters>
  <Lines>8</Lines>
  <Paragraphs>2</Paragraphs>
  <TotalTime>6</TotalTime>
  <ScaleCrop>false</ScaleCrop>
  <LinksUpToDate>false</LinksUpToDate>
  <CharactersWithSpaces>1223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way一直都在</cp:lastModifiedBy>
  <dcterms:modified xsi:type="dcterms:W3CDTF">2020-12-16T01:31:31Z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