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四川龙擎汽车部件制造有限公司</w:t>
      </w:r>
      <w:bookmarkEnd w:id="0"/>
    </w:p>
    <w:p>
      <w:pPr>
        <w:snapToGrid w:val="0"/>
        <w:spacing w:after="98" w:afterLines="30"/>
        <w:ind w:firstLine="321" w:firstLineChars="100"/>
        <w:rPr>
          <w:rFonts w:hint="eastAsia"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289"/>
        <w:gridCol w:w="1212"/>
        <w:gridCol w:w="2282"/>
        <w:gridCol w:w="745"/>
        <w:gridCol w:w="110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1102" w:type="dxa"/>
          </w:tcPr>
          <w:p>
            <w:pPr>
              <w:rPr>
                <w:b/>
                <w:sz w:val="21"/>
                <w:szCs w:val="21"/>
              </w:rPr>
            </w:pPr>
            <w:r>
              <w:rPr>
                <w:rFonts w:hint="eastAsia"/>
                <w:b/>
                <w:sz w:val="21"/>
                <w:szCs w:val="21"/>
              </w:rPr>
              <w:t>邮编</w:t>
            </w:r>
          </w:p>
        </w:tc>
        <w:tc>
          <w:tcPr>
            <w:tcW w:w="1362"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89" w:type="dxa"/>
            <w:vAlign w:val="center"/>
          </w:tcPr>
          <w:p>
            <w:pPr>
              <w:jc w:val="center"/>
              <w:rPr>
                <w:b/>
                <w:sz w:val="21"/>
                <w:szCs w:val="21"/>
              </w:rPr>
            </w:pPr>
            <w:r>
              <w:rPr>
                <w:rFonts w:hint="eastAsia"/>
                <w:b/>
                <w:sz w:val="21"/>
                <w:szCs w:val="21"/>
              </w:rPr>
              <w:t>职务</w:t>
            </w:r>
          </w:p>
        </w:tc>
        <w:tc>
          <w:tcPr>
            <w:tcW w:w="1212" w:type="dxa"/>
            <w:vAlign w:val="center"/>
          </w:tcPr>
          <w:p>
            <w:pPr>
              <w:jc w:val="center"/>
              <w:rPr>
                <w:b/>
                <w:sz w:val="21"/>
                <w:szCs w:val="21"/>
              </w:rPr>
            </w:pPr>
            <w:r>
              <w:rPr>
                <w:rFonts w:hint="eastAsia"/>
                <w:b/>
                <w:sz w:val="21"/>
                <w:szCs w:val="21"/>
              </w:rPr>
              <w:t>注册级别</w:t>
            </w:r>
          </w:p>
        </w:tc>
        <w:tc>
          <w:tcPr>
            <w:tcW w:w="2282" w:type="dxa"/>
            <w:vAlign w:val="center"/>
          </w:tcPr>
          <w:p>
            <w:pPr>
              <w:jc w:val="center"/>
              <w:rPr>
                <w:b/>
                <w:sz w:val="21"/>
                <w:szCs w:val="21"/>
              </w:rPr>
            </w:pPr>
            <w:r>
              <w:rPr>
                <w:rFonts w:hint="eastAsia"/>
                <w:b/>
                <w:sz w:val="21"/>
                <w:szCs w:val="21"/>
              </w:rPr>
              <w:t>审核员注册号</w:t>
            </w:r>
          </w:p>
        </w:tc>
        <w:tc>
          <w:tcPr>
            <w:tcW w:w="1847" w:type="dxa"/>
            <w:gridSpan w:val="2"/>
            <w:vAlign w:val="center"/>
          </w:tcPr>
          <w:p>
            <w:pPr>
              <w:jc w:val="center"/>
              <w:rPr>
                <w:b/>
                <w:sz w:val="21"/>
                <w:szCs w:val="21"/>
              </w:rPr>
            </w:pPr>
            <w:r>
              <w:rPr>
                <w:rFonts w:hint="eastAsia"/>
                <w:b/>
                <w:sz w:val="21"/>
                <w:szCs w:val="21"/>
              </w:rPr>
              <w:t>专业代码</w:t>
            </w:r>
          </w:p>
        </w:tc>
        <w:tc>
          <w:tcPr>
            <w:tcW w:w="1362"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289" w:type="dxa"/>
            <w:vAlign w:val="center"/>
          </w:tcPr>
          <w:p>
            <w:pPr>
              <w:jc w:val="center"/>
              <w:rPr>
                <w:b/>
                <w:sz w:val="21"/>
                <w:szCs w:val="21"/>
              </w:rPr>
            </w:pPr>
            <w:r>
              <w:rPr>
                <w:b/>
                <w:sz w:val="21"/>
                <w:szCs w:val="21"/>
              </w:rPr>
              <w:t>组长</w:t>
            </w:r>
          </w:p>
        </w:tc>
        <w:tc>
          <w:tcPr>
            <w:tcW w:w="1212" w:type="dxa"/>
            <w:vAlign w:val="center"/>
          </w:tcPr>
          <w:p>
            <w:pPr>
              <w:jc w:val="center"/>
              <w:rPr>
                <w:b/>
                <w:sz w:val="21"/>
                <w:szCs w:val="21"/>
              </w:rPr>
            </w:pPr>
            <w:r>
              <w:rPr>
                <w:b/>
                <w:sz w:val="21"/>
                <w:szCs w:val="21"/>
              </w:rPr>
              <w:t>审核员</w:t>
            </w:r>
          </w:p>
        </w:tc>
        <w:tc>
          <w:tcPr>
            <w:tcW w:w="2282" w:type="dxa"/>
            <w:vAlign w:val="center"/>
          </w:tcPr>
          <w:p>
            <w:pPr>
              <w:jc w:val="center"/>
              <w:rPr>
                <w:b/>
                <w:sz w:val="21"/>
                <w:szCs w:val="21"/>
              </w:rPr>
            </w:pPr>
            <w:r>
              <w:rPr>
                <w:b/>
                <w:sz w:val="21"/>
                <w:szCs w:val="21"/>
              </w:rPr>
              <w:t>2018-N1QMS-2207381</w:t>
            </w:r>
          </w:p>
        </w:tc>
        <w:tc>
          <w:tcPr>
            <w:tcW w:w="1847" w:type="dxa"/>
            <w:gridSpan w:val="2"/>
            <w:vAlign w:val="center"/>
          </w:tcPr>
          <w:p>
            <w:pPr>
              <w:jc w:val="center"/>
              <w:rPr>
                <w:b/>
                <w:sz w:val="21"/>
                <w:szCs w:val="21"/>
              </w:rPr>
            </w:pPr>
            <w:r>
              <w:rPr>
                <w:b/>
                <w:sz w:val="21"/>
                <w:szCs w:val="21"/>
              </w:rPr>
              <w:t>17.10.02,22.05.01</w:t>
            </w:r>
          </w:p>
        </w:tc>
        <w:tc>
          <w:tcPr>
            <w:tcW w:w="1362" w:type="dxa"/>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289" w:type="dxa"/>
            <w:vAlign w:val="center"/>
          </w:tcPr>
          <w:p>
            <w:pPr>
              <w:jc w:val="center"/>
              <w:rPr>
                <w:b/>
                <w:sz w:val="21"/>
                <w:szCs w:val="21"/>
              </w:rPr>
            </w:pPr>
            <w:r>
              <w:rPr>
                <w:b/>
                <w:sz w:val="21"/>
                <w:szCs w:val="21"/>
              </w:rPr>
              <w:t>组员</w:t>
            </w:r>
          </w:p>
        </w:tc>
        <w:tc>
          <w:tcPr>
            <w:tcW w:w="1212" w:type="dxa"/>
            <w:vAlign w:val="center"/>
          </w:tcPr>
          <w:p>
            <w:pPr>
              <w:jc w:val="center"/>
              <w:rPr>
                <w:b/>
                <w:sz w:val="21"/>
                <w:szCs w:val="21"/>
              </w:rPr>
            </w:pPr>
            <w:r>
              <w:rPr>
                <w:b/>
                <w:sz w:val="21"/>
                <w:szCs w:val="21"/>
              </w:rPr>
              <w:t>审核员</w:t>
            </w:r>
          </w:p>
        </w:tc>
        <w:tc>
          <w:tcPr>
            <w:tcW w:w="2282" w:type="dxa"/>
            <w:vAlign w:val="center"/>
          </w:tcPr>
          <w:p>
            <w:pPr>
              <w:jc w:val="center"/>
              <w:rPr>
                <w:b/>
                <w:sz w:val="21"/>
                <w:szCs w:val="21"/>
              </w:rPr>
            </w:pPr>
            <w:r>
              <w:rPr>
                <w:b/>
                <w:sz w:val="21"/>
                <w:szCs w:val="21"/>
              </w:rPr>
              <w:t>2020-N1QMS-1267598</w:t>
            </w:r>
          </w:p>
        </w:tc>
        <w:tc>
          <w:tcPr>
            <w:tcW w:w="1847" w:type="dxa"/>
            <w:gridSpan w:val="2"/>
            <w:vAlign w:val="center"/>
          </w:tcPr>
          <w:p>
            <w:pPr>
              <w:jc w:val="center"/>
              <w:rPr>
                <w:b/>
                <w:sz w:val="21"/>
                <w:szCs w:val="21"/>
              </w:rPr>
            </w:pPr>
          </w:p>
        </w:tc>
        <w:tc>
          <w:tcPr>
            <w:tcW w:w="1362"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289" w:type="dxa"/>
          </w:tcPr>
          <w:p>
            <w:pPr>
              <w:rPr>
                <w:b/>
                <w:sz w:val="21"/>
                <w:szCs w:val="21"/>
              </w:rPr>
            </w:pPr>
          </w:p>
        </w:tc>
        <w:tc>
          <w:tcPr>
            <w:tcW w:w="1212" w:type="dxa"/>
          </w:tcPr>
          <w:p>
            <w:pPr>
              <w:rPr>
                <w:b/>
                <w:sz w:val="21"/>
                <w:szCs w:val="21"/>
              </w:rPr>
            </w:pPr>
          </w:p>
        </w:tc>
        <w:tc>
          <w:tcPr>
            <w:tcW w:w="2282" w:type="dxa"/>
          </w:tcPr>
          <w:p>
            <w:pPr>
              <w:rPr>
                <w:b/>
                <w:sz w:val="21"/>
                <w:szCs w:val="21"/>
              </w:rPr>
            </w:pPr>
          </w:p>
        </w:tc>
        <w:tc>
          <w:tcPr>
            <w:tcW w:w="1847" w:type="dxa"/>
            <w:gridSpan w:val="2"/>
          </w:tcPr>
          <w:p>
            <w:pPr>
              <w:rPr>
                <w:b/>
                <w:sz w:val="21"/>
                <w:szCs w:val="21"/>
              </w:rPr>
            </w:pPr>
          </w:p>
        </w:tc>
        <w:tc>
          <w:tcPr>
            <w:tcW w:w="1362"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289" w:type="dxa"/>
            <w:vAlign w:val="center"/>
          </w:tcPr>
          <w:p>
            <w:pPr>
              <w:jc w:val="center"/>
              <w:rPr>
                <w:b/>
                <w:sz w:val="21"/>
                <w:szCs w:val="21"/>
              </w:rPr>
            </w:pPr>
            <w:r>
              <w:rPr>
                <w:rFonts w:hint="eastAsia"/>
                <w:b/>
                <w:sz w:val="21"/>
                <w:szCs w:val="21"/>
              </w:rPr>
              <w:t>角色</w:t>
            </w:r>
          </w:p>
        </w:tc>
        <w:tc>
          <w:tcPr>
            <w:tcW w:w="6703"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289" w:type="dxa"/>
            <w:vAlign w:val="center"/>
          </w:tcPr>
          <w:p>
            <w:pPr>
              <w:jc w:val="center"/>
              <w:rPr>
                <w:b/>
                <w:sz w:val="21"/>
                <w:szCs w:val="21"/>
              </w:rPr>
            </w:pPr>
          </w:p>
        </w:tc>
        <w:tc>
          <w:tcPr>
            <w:tcW w:w="6703" w:type="dxa"/>
            <w:gridSpan w:val="5"/>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89" w:type="dxa"/>
            <w:vAlign w:val="center"/>
          </w:tcPr>
          <w:p>
            <w:pPr>
              <w:jc w:val="center"/>
              <w:rPr>
                <w:b/>
              </w:rPr>
            </w:pPr>
          </w:p>
        </w:tc>
        <w:tc>
          <w:tcPr>
            <w:tcW w:w="6703" w:type="dxa"/>
            <w:gridSpan w:val="5"/>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289" w:type="dxa"/>
            <w:vAlign w:val="center"/>
          </w:tcPr>
          <w:p>
            <w:pPr>
              <w:jc w:val="center"/>
              <w:rPr>
                <w:b/>
              </w:rPr>
            </w:pPr>
          </w:p>
        </w:tc>
        <w:tc>
          <w:tcPr>
            <w:tcW w:w="6703" w:type="dxa"/>
            <w:gridSpan w:val="5"/>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w:t>
      </w:r>
      <w:r>
        <w:rPr>
          <w:rFonts w:hint="eastAsia"/>
          <w:b/>
          <w:sz w:val="21"/>
          <w:szCs w:val="21"/>
          <w:u w:val="single"/>
          <w:lang w:val="en-US" w:eastAsia="zh-CN"/>
        </w:rPr>
        <w:t>Q</w:t>
      </w:r>
      <w:bookmarkStart w:id="6" w:name="审核类型"/>
      <w:r>
        <w:rPr>
          <w:rFonts w:hint="eastAsia" w:ascii="宋体" w:hAnsi="宋体"/>
          <w:b/>
          <w:bCs/>
          <w:sz w:val="20"/>
          <w:u w:val="single"/>
        </w:rPr>
        <w:t>监查2</w:t>
      </w:r>
      <w:bookmarkEnd w:id="6"/>
      <w:r>
        <w:rPr>
          <w:rFonts w:hint="eastAsia"/>
          <w:b/>
          <w:sz w:val="21"/>
          <w:szCs w:val="21"/>
          <w:u w:val="single"/>
        </w:rPr>
        <w:t>_</w:t>
      </w:r>
      <w:r>
        <w:rPr>
          <w:rFonts w:hint="eastAsia"/>
          <w:b/>
          <w:sz w:val="21"/>
          <w:szCs w:val="21"/>
        </w:rPr>
        <w:t>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2" w:name="组织名称Add"/>
            <w:r>
              <w:rPr>
                <w:rFonts w:ascii="宋体"/>
                <w:b/>
                <w:color w:val="000000" w:themeColor="text1"/>
                <w:sz w:val="21"/>
              </w:rPr>
              <w:t>四川龙擎汽车部件制造有限公司</w:t>
            </w:r>
            <w:bookmarkEnd w:id="1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邻水县高滩镇川渝合作示范园1号</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638508</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邻水县高滩镇川渝合作示范园1号</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638508</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邻水县高滩镇川渝合作示范园1号</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638508</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黎志明</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0826-3711999</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华龙</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黎志明</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2020年12月17日 上午至2020年12月17日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r>
              <w:rPr>
                <w:rFonts w:hint="eastAsia"/>
                <w:sz w:val="20"/>
                <w:lang w:eastAsia="zh-CN"/>
              </w:rPr>
              <w:t>金属摩托车零部件(不含发动机)、通用机械零部件的加工</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17.10.02;22.05.01</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2021.11.13</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2019.12.6-7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u w:val="single"/>
          <w:lang w:val="en-US" w:eastAsia="zh-CN"/>
        </w:rPr>
        <w:t>2019</w:t>
      </w:r>
      <w:r>
        <w:rPr>
          <w:rFonts w:hint="eastAsia" w:ascii="宋体" w:hAnsi="宋体"/>
          <w:b/>
          <w:sz w:val="21"/>
          <w:szCs w:val="21"/>
          <w:u w:val="single"/>
        </w:rPr>
        <w:t>年</w:t>
      </w:r>
      <w:r>
        <w:rPr>
          <w:rFonts w:hint="eastAsia" w:ascii="宋体" w:hAnsi="宋体"/>
          <w:b/>
          <w:sz w:val="21"/>
          <w:szCs w:val="21"/>
          <w:u w:val="single"/>
          <w:lang w:val="en-US" w:eastAsia="zh-CN"/>
        </w:rPr>
        <w:t>12</w:t>
      </w:r>
      <w:r>
        <w:rPr>
          <w:rFonts w:hint="eastAsia" w:ascii="宋体" w:hAnsi="宋体"/>
          <w:b/>
          <w:sz w:val="21"/>
          <w:szCs w:val="21"/>
          <w:u w:val="single"/>
        </w:rPr>
        <w:t>月</w:t>
      </w:r>
      <w:r>
        <w:rPr>
          <w:rFonts w:hint="eastAsia" w:ascii="宋体" w:hAnsi="宋体"/>
          <w:b/>
          <w:sz w:val="21"/>
          <w:szCs w:val="21"/>
          <w:u w:val="single"/>
          <w:lang w:val="en-US" w:eastAsia="zh-CN"/>
        </w:rPr>
        <w:t>7</w:t>
      </w:r>
      <w:r>
        <w:rPr>
          <w:rFonts w:hint="eastAsia" w:ascii="宋体" w:hAnsi="宋体"/>
          <w:b/>
          <w:sz w:val="21"/>
          <w:szCs w:val="21"/>
          <w:u w:val="single"/>
        </w:rPr>
        <w:t>日至</w:t>
      </w:r>
      <w:r>
        <w:rPr>
          <w:rFonts w:hint="eastAsia" w:ascii="宋体" w:hAnsi="宋体"/>
          <w:b/>
          <w:sz w:val="21"/>
          <w:szCs w:val="21"/>
          <w:u w:val="single"/>
          <w:lang w:val="en-US" w:eastAsia="zh-CN"/>
        </w:rPr>
        <w:t>2020</w:t>
      </w:r>
      <w:r>
        <w:rPr>
          <w:rFonts w:hint="eastAsia" w:ascii="宋体" w:hAnsi="宋体"/>
          <w:b/>
          <w:sz w:val="21"/>
          <w:szCs w:val="21"/>
          <w:u w:val="single"/>
        </w:rPr>
        <w:t>年</w:t>
      </w:r>
      <w:r>
        <w:rPr>
          <w:rFonts w:hint="eastAsia" w:ascii="宋体" w:hAnsi="宋体"/>
          <w:b/>
          <w:sz w:val="21"/>
          <w:szCs w:val="21"/>
          <w:u w:val="single"/>
          <w:lang w:val="en-US" w:eastAsia="zh-CN"/>
        </w:rPr>
        <w:t>12</w:t>
      </w:r>
      <w:r>
        <w:rPr>
          <w:rFonts w:hint="eastAsia" w:ascii="宋体" w:hAnsi="宋体"/>
          <w:b/>
          <w:sz w:val="21"/>
          <w:szCs w:val="21"/>
          <w:u w:val="single"/>
        </w:rPr>
        <w:t>月</w:t>
      </w:r>
      <w:r>
        <w:rPr>
          <w:rFonts w:hint="eastAsia" w:ascii="宋体" w:hAnsi="宋体"/>
          <w:b/>
          <w:sz w:val="21"/>
          <w:szCs w:val="21"/>
          <w:u w:val="single"/>
          <w:lang w:val="en-US" w:eastAsia="zh-CN"/>
        </w:rPr>
        <w:t>17</w:t>
      </w:r>
      <w:r>
        <w:rPr>
          <w:rFonts w:hint="eastAsia" w:ascii="宋体" w:hAnsi="宋体"/>
          <w:b/>
          <w:sz w:val="21"/>
          <w:szCs w:val="21"/>
          <w:u w:val="singl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宋体" w:hAnsi="宋体"/>
                <w:b/>
                <w:sz w:val="21"/>
                <w:szCs w:val="21"/>
              </w:rPr>
            </w:pPr>
            <w:r>
              <w:rPr>
                <w:rFonts w:hint="eastAsia" w:ascii="宋体" w:hAnsi="宋体" w:cs="宋体"/>
                <w:sz w:val="21"/>
                <w:szCs w:val="21"/>
              </w:rPr>
              <w:t>四川龙擎汽车部件制造有限公司是一家专业</w:t>
            </w:r>
            <w:r>
              <w:rPr>
                <w:rFonts w:hint="eastAsia" w:ascii="宋体" w:hAnsi="宋体" w:cs="宋体"/>
                <w:sz w:val="21"/>
                <w:szCs w:val="21"/>
                <w:lang w:eastAsia="zh-CN"/>
              </w:rPr>
              <w:t>从事</w:t>
            </w:r>
            <w:r>
              <w:rPr>
                <w:rFonts w:hint="eastAsia" w:ascii="宋体" w:hAnsi="宋体" w:cs="宋体"/>
                <w:sz w:val="21"/>
                <w:szCs w:val="21"/>
              </w:rPr>
              <w:t>金属摩托车零部件(不含发动机)、通用机械零部件的加工的企业。产品广泛运用到</w:t>
            </w:r>
            <w:r>
              <w:rPr>
                <w:rFonts w:hint="eastAsia" w:ascii="宋体" w:hAnsi="宋体" w:cs="宋体"/>
                <w:sz w:val="21"/>
                <w:szCs w:val="21"/>
                <w:lang w:eastAsia="zh-CN"/>
              </w:rPr>
              <w:t>汽车部件</w:t>
            </w:r>
            <w:r>
              <w:rPr>
                <w:rFonts w:hint="eastAsia" w:ascii="宋体" w:hAnsi="宋体" w:cs="宋体"/>
                <w:sz w:val="21"/>
                <w:szCs w:val="21"/>
              </w:rPr>
              <w:t>等领域。经营状况良好。组织对内外部因素、相关方需求和期望进行了充分的识别，策划和实施有效。确定了体系的边界，基本适用。管理体系不适用</w:t>
            </w:r>
            <w:r>
              <w:rPr>
                <w:rFonts w:hint="eastAsia" w:ascii="宋体" w:hAnsi="宋体" w:cs="宋体"/>
                <w:sz w:val="21"/>
                <w:szCs w:val="21"/>
                <w:lang w:eastAsia="zh-CN"/>
              </w:rPr>
              <w:t>条款为</w:t>
            </w:r>
            <w:r>
              <w:rPr>
                <w:rFonts w:hint="eastAsia" w:ascii="宋体" w:hAnsi="宋体" w:cs="宋体"/>
                <w:sz w:val="21"/>
                <w:szCs w:val="21"/>
                <w:lang w:val="en-US" w:eastAsia="zh-CN"/>
              </w:rPr>
              <w:t>8.3条款</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ascii="宋体" w:hAnsi="宋体" w:cs="宋体"/>
                <w:sz w:val="21"/>
                <w:szCs w:val="21"/>
              </w:rPr>
              <w:t>质量为本、预防为主，持续改进，关注顾客</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hint="eastAsia" w:ascii="宋体" w:hAnsi="宋体"/>
                <w:b/>
                <w:sz w:val="21"/>
                <w:szCs w:val="21"/>
              </w:rPr>
            </w:pPr>
            <w:r>
              <w:rPr>
                <w:rFonts w:hint="eastAsia" w:ascii="宋体" w:hAnsi="宋体"/>
                <w:b/>
                <w:sz w:val="21"/>
                <w:szCs w:val="21"/>
              </w:rPr>
              <w:t>质量管理体系过程有：</w:t>
            </w:r>
          </w:p>
          <w:p>
            <w:pPr>
              <w:spacing w:line="400" w:lineRule="exact"/>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lang w:eastAsia="zh-CN"/>
              </w:rPr>
              <w:t>下料</w:t>
            </w:r>
            <w:r>
              <w:rPr>
                <w:rFonts w:hint="eastAsia" w:ascii="宋体" w:hAnsi="宋体"/>
                <w:color w:val="auto"/>
                <w:sz w:val="21"/>
                <w:szCs w:val="21"/>
              </w:rPr>
              <w:t>—</w:t>
            </w:r>
            <w:r>
              <w:rPr>
                <w:rFonts w:hint="eastAsia" w:ascii="宋体" w:hAnsi="宋体"/>
                <w:color w:val="auto"/>
                <w:sz w:val="21"/>
                <w:szCs w:val="21"/>
                <w:lang w:eastAsia="zh-CN"/>
              </w:rPr>
              <w:t>校直</w:t>
            </w:r>
            <w:r>
              <w:rPr>
                <w:rFonts w:hint="eastAsia" w:ascii="宋体" w:hAnsi="宋体"/>
                <w:color w:val="auto"/>
                <w:sz w:val="21"/>
                <w:szCs w:val="21"/>
              </w:rPr>
              <w:t>——机加</w:t>
            </w:r>
            <w:r>
              <w:rPr>
                <w:rFonts w:hint="eastAsia" w:ascii="宋体" w:hAnsi="宋体"/>
                <w:color w:val="auto"/>
                <w:sz w:val="21"/>
                <w:szCs w:val="21"/>
                <w:lang w:eastAsia="zh-CN"/>
              </w:rPr>
              <w:t>（磨外圆、墩球头、抛光、车球头）</w:t>
            </w:r>
            <w:r>
              <w:rPr>
                <w:rFonts w:hint="eastAsia" w:ascii="宋体" w:hAnsi="宋体"/>
                <w:color w:val="auto"/>
                <w:sz w:val="21"/>
                <w:szCs w:val="21"/>
              </w:rPr>
              <w:t>——热处理</w:t>
            </w:r>
            <w:r>
              <w:rPr>
                <w:rFonts w:hint="eastAsia" w:ascii="宋体" w:hAnsi="宋体"/>
                <w:color w:val="auto"/>
                <w:sz w:val="21"/>
                <w:szCs w:val="21"/>
                <w:lang w:eastAsia="zh-CN"/>
              </w:rPr>
              <w:t>（外包）</w:t>
            </w:r>
            <w:r>
              <w:rPr>
                <w:rFonts w:hint="eastAsia" w:ascii="宋体" w:hAnsi="宋体"/>
                <w:color w:val="auto"/>
                <w:sz w:val="21"/>
                <w:szCs w:val="21"/>
              </w:rPr>
              <w:t>—</w:t>
            </w:r>
            <w:r>
              <w:rPr>
                <w:rFonts w:hint="eastAsia" w:ascii="宋体" w:hAnsi="宋体"/>
                <w:color w:val="auto"/>
                <w:sz w:val="21"/>
                <w:szCs w:val="21"/>
                <w:lang w:eastAsia="zh-CN"/>
              </w:rPr>
              <w:t>抛光</w:t>
            </w:r>
            <w:r>
              <w:rPr>
                <w:rFonts w:hint="eastAsia" w:ascii="宋体" w:hAnsi="宋体"/>
                <w:color w:val="auto"/>
                <w:sz w:val="21"/>
                <w:szCs w:val="21"/>
              </w:rPr>
              <w:t>——检验</w:t>
            </w:r>
          </w:p>
          <w:p>
            <w:pPr>
              <w:tabs>
                <w:tab w:val="left" w:pos="540"/>
              </w:tabs>
              <w:spacing w:line="300" w:lineRule="exact"/>
              <w:ind w:left="211" w:hanging="210" w:hangingChars="100"/>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、原材料—</w:t>
            </w:r>
            <w:r>
              <w:rPr>
                <w:rFonts w:hint="eastAsia" w:ascii="宋体" w:hAnsi="宋体"/>
                <w:color w:val="auto"/>
                <w:sz w:val="21"/>
                <w:szCs w:val="21"/>
                <w:lang w:eastAsia="zh-CN"/>
              </w:rPr>
              <w:t>机加（粗磨、车、精磨）</w:t>
            </w:r>
            <w:r>
              <w:rPr>
                <w:rFonts w:hint="eastAsia" w:ascii="宋体" w:hAnsi="宋体"/>
                <w:color w:val="auto"/>
                <w:sz w:val="21"/>
                <w:szCs w:val="21"/>
              </w:rPr>
              <w:t>—冲压</w:t>
            </w:r>
            <w:r>
              <w:rPr>
                <w:rFonts w:hint="eastAsia" w:ascii="宋体" w:hAnsi="宋体"/>
                <w:color w:val="auto"/>
                <w:sz w:val="21"/>
                <w:szCs w:val="21"/>
                <w:lang w:eastAsia="zh-CN"/>
              </w:rPr>
              <w:t>（需要时）</w:t>
            </w:r>
            <w:r>
              <w:rPr>
                <w:rFonts w:hint="eastAsia" w:ascii="宋体" w:hAnsi="宋体"/>
                <w:color w:val="auto"/>
                <w:sz w:val="21"/>
                <w:szCs w:val="21"/>
              </w:rPr>
              <w:t>——热处理</w:t>
            </w:r>
            <w:r>
              <w:rPr>
                <w:rFonts w:hint="eastAsia" w:ascii="宋体" w:hAnsi="宋体"/>
                <w:color w:val="auto"/>
                <w:sz w:val="21"/>
                <w:szCs w:val="21"/>
                <w:lang w:eastAsia="zh-CN"/>
              </w:rPr>
              <w:t>（外包）</w:t>
            </w:r>
            <w:r>
              <w:rPr>
                <w:rFonts w:hint="eastAsia" w:ascii="宋体" w:hAnsi="宋体"/>
                <w:color w:val="auto"/>
                <w:sz w:val="21"/>
                <w:szCs w:val="21"/>
              </w:rPr>
              <w:t>——抛光——检验</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sz w:val="21"/>
                <w:szCs w:val="21"/>
                <w:lang w:eastAsia="zh-CN"/>
              </w:rPr>
              <w:t>机加</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sz w:val="21"/>
                <w:szCs w:val="21"/>
              </w:rPr>
              <w:t>热处理</w:t>
            </w:r>
            <w:r>
              <w:rPr>
                <w:rFonts w:hint="eastAsia" w:ascii="宋体" w:hAnsi="宋体"/>
                <w:sz w:val="21"/>
                <w:szCs w:val="21"/>
                <w:lang w:eastAsia="zh-CN"/>
              </w:rPr>
              <w:t>（</w:t>
            </w:r>
            <w:r>
              <w:rPr>
                <w:rFonts w:hint="eastAsia" w:ascii="宋体" w:hAnsi="宋体"/>
                <w:sz w:val="21"/>
                <w:szCs w:val="21"/>
                <w:lang w:val="en-US" w:eastAsia="zh-CN"/>
              </w:rPr>
              <w:t>外包</w:t>
            </w:r>
            <w:r>
              <w:rPr>
                <w:rFonts w:hint="eastAsia" w:ascii="宋体" w:hAnsi="宋体"/>
                <w:sz w:val="21"/>
                <w:szCs w:val="21"/>
                <w:lang w:eastAsia="zh-CN"/>
              </w:rPr>
              <w:t>）</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cs="宋体"/>
                <w:color w:val="000000"/>
                <w:sz w:val="21"/>
                <w:szCs w:val="21"/>
              </w:rPr>
              <w:t>公司的</w:t>
            </w:r>
            <w:r>
              <w:rPr>
                <w:rFonts w:hint="eastAsia" w:ascii="宋体" w:hAnsi="宋体"/>
                <w:sz w:val="21"/>
                <w:szCs w:val="21"/>
              </w:rPr>
              <w:t>金属摩托车零部件(不含发动机)、通用机械零部件的</w:t>
            </w:r>
            <w:r>
              <w:rPr>
                <w:rFonts w:hint="eastAsia" w:ascii="宋体" w:hAnsi="宋体"/>
                <w:sz w:val="21"/>
                <w:szCs w:val="21"/>
                <w:lang w:eastAsia="zh-CN"/>
              </w:rPr>
              <w:t>加工</w:t>
            </w:r>
            <w:r>
              <w:rPr>
                <w:rFonts w:hint="eastAsia" w:ascii="宋体" w:hAnsi="宋体" w:cs="宋体"/>
                <w:color w:val="000000"/>
                <w:sz w:val="21"/>
                <w:szCs w:val="21"/>
              </w:rPr>
              <w:t>过程按客户要求及相关国家标准和法律法规，整个服务过程不涉及新产品的设计开发的内容，故8.3不适用。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rPr>
              <w:t>厂房面积</w:t>
            </w:r>
            <w:r>
              <w:rPr>
                <w:rFonts w:hint="eastAsia" w:ascii="宋体" w:hAnsi="宋体" w:cs="宋体"/>
                <w:sz w:val="21"/>
                <w:szCs w:val="21"/>
                <w:lang w:val="en-US" w:eastAsia="zh-CN"/>
              </w:rPr>
              <w:t>10000</w:t>
            </w:r>
            <w:r>
              <w:rPr>
                <w:rFonts w:hint="eastAsia" w:ascii="宋体" w:hAnsi="宋体" w:cs="宋体"/>
                <w:sz w:val="21"/>
                <w:szCs w:val="21"/>
              </w:rPr>
              <w:t>平方左右，车间、库房按区域划分开，办公场所面积</w:t>
            </w:r>
            <w:r>
              <w:rPr>
                <w:rFonts w:hint="eastAsia" w:ascii="宋体" w:hAnsi="宋体" w:cs="宋体"/>
                <w:sz w:val="21"/>
                <w:szCs w:val="21"/>
                <w:lang w:val="en-US" w:eastAsia="zh-CN"/>
              </w:rPr>
              <w:t>5</w:t>
            </w:r>
            <w:r>
              <w:rPr>
                <w:rFonts w:hint="eastAsia" w:ascii="宋体" w:hAnsi="宋体" w:cs="宋体"/>
                <w:sz w:val="21"/>
                <w:szCs w:val="21"/>
              </w:rPr>
              <w:t>00平方。主要经营设备包括：</w:t>
            </w:r>
            <w:r>
              <w:rPr>
                <w:rFonts w:hint="eastAsia" w:ascii="宋体" w:hAnsi="宋体"/>
                <w:sz w:val="21"/>
                <w:szCs w:val="21"/>
              </w:rPr>
              <w:t>数控车</w:t>
            </w:r>
            <w:r>
              <w:rPr>
                <w:rFonts w:hint="eastAsia" w:ascii="宋体" w:hAnsi="宋体" w:cs="宋体"/>
                <w:sz w:val="21"/>
                <w:szCs w:val="21"/>
              </w:rPr>
              <w:t>床、冲床、磨床、抛光机、热处理炉、钻床、高频机、超声波清洗机、行车等，可以满足</w:t>
            </w:r>
            <w:r>
              <w:rPr>
                <w:rFonts w:hint="eastAsia" w:ascii="宋体" w:hAnsi="宋体" w:cs="宋体"/>
                <w:sz w:val="21"/>
                <w:szCs w:val="21"/>
                <w:lang w:eastAsia="zh-CN"/>
              </w:rPr>
              <w:t>产品</w:t>
            </w:r>
            <w:r>
              <w:rPr>
                <w:rFonts w:hint="eastAsia" w:ascii="宋体" w:hAnsi="宋体" w:cs="宋体"/>
                <w:sz w:val="21"/>
                <w:szCs w:val="21"/>
              </w:rPr>
              <w:t>生产需要。</w:t>
            </w:r>
            <w:r>
              <w:rPr>
                <w:rFonts w:hint="eastAsia" w:ascii="宋体" w:hAnsi="宋体" w:cs="宋体"/>
                <w:sz w:val="21"/>
                <w:szCs w:val="21"/>
                <w:lang w:eastAsia="zh-CN"/>
              </w:rPr>
              <w:t>生产</w:t>
            </w:r>
            <w:r>
              <w:rPr>
                <w:rFonts w:hint="eastAsia" w:ascii="宋体" w:hAnsi="宋体" w:cs="宋体"/>
                <w:sz w:val="21"/>
                <w:szCs w:val="21"/>
              </w:rPr>
              <w:t>部对设备按月方式进行点检维护保养，</w:t>
            </w:r>
            <w:r>
              <w:rPr>
                <w:rFonts w:hint="eastAsia" w:ascii="宋体" w:hAnsi="宋体" w:cs="宋体"/>
                <w:sz w:val="21"/>
                <w:szCs w:val="21"/>
                <w:highlight w:val="none"/>
              </w:rPr>
              <w:t>并实施。特种设备：行车2台</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2.8T，不用进行年检，详见合格证附件</w:t>
            </w:r>
            <w:r>
              <w:rPr>
                <w:rFonts w:hint="eastAsia" w:ascii="宋体" w:hAnsi="宋体" w:cs="宋体"/>
                <w:sz w:val="21"/>
                <w:szCs w:val="21"/>
                <w:highlight w:val="none"/>
                <w:lang w:eastAsia="zh-CN"/>
              </w:rPr>
              <w:t>），</w:t>
            </w:r>
            <w:r>
              <w:rPr>
                <w:rFonts w:hint="eastAsia" w:ascii="宋体" w:hAnsi="宋体" w:cs="宋体"/>
                <w:sz w:val="21"/>
                <w:szCs w:val="21"/>
                <w:highlight w:val="none"/>
              </w:rPr>
              <w:t>叉车</w:t>
            </w:r>
            <w:r>
              <w:rPr>
                <w:rFonts w:hint="eastAsia" w:ascii="宋体" w:hAnsi="宋体" w:cs="宋体"/>
                <w:sz w:val="21"/>
                <w:szCs w:val="21"/>
                <w:highlight w:val="none"/>
                <w:lang w:val="en-US" w:eastAsia="zh-CN"/>
              </w:rPr>
              <w:t>1</w:t>
            </w:r>
            <w:r>
              <w:rPr>
                <w:rFonts w:hint="eastAsia" w:ascii="宋体" w:hAnsi="宋体" w:cs="宋体"/>
                <w:sz w:val="21"/>
                <w:szCs w:val="21"/>
                <w:highlight w:val="none"/>
              </w:rPr>
              <w:t>台</w:t>
            </w:r>
            <w:r>
              <w:rPr>
                <w:rFonts w:hint="eastAsia" w:ascii="宋体" w:hAnsi="宋体" w:cs="宋体"/>
                <w:sz w:val="21"/>
                <w:szCs w:val="21"/>
                <w:highlight w:val="none"/>
                <w:lang w:eastAsia="zh-CN"/>
              </w:rPr>
              <w:t>（提供有效年检报告）</w:t>
            </w:r>
            <w:r>
              <w:rPr>
                <w:rFonts w:hint="eastAsia" w:ascii="宋体" w:hAnsi="宋体" w:cs="宋体"/>
                <w:sz w:val="21"/>
                <w:szCs w:val="21"/>
                <w:highlight w:val="none"/>
              </w:rPr>
              <w:t>。公</w:t>
            </w:r>
            <w:r>
              <w:rPr>
                <w:rFonts w:hint="eastAsia" w:ascii="宋体" w:hAnsi="宋体" w:cs="宋体"/>
                <w:sz w:val="21"/>
                <w:szCs w:val="21"/>
              </w:rPr>
              <w:t>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生产车间</w:t>
            </w:r>
            <w:r>
              <w:rPr>
                <w:rFonts w:hint="eastAsia" w:ascii="宋体" w:hAnsi="宋体" w:cs="宋体"/>
                <w:sz w:val="21"/>
                <w:szCs w:val="21"/>
              </w:rPr>
              <w:t>内设备布置合理，通道畅通，照明设施齐全，均配备了消防设施等设施。办公室明亮，作业场所光线较充足。每月由</w:t>
            </w:r>
            <w:r>
              <w:rPr>
                <w:rFonts w:hint="eastAsia" w:ascii="宋体" w:hAnsi="宋体" w:cs="宋体"/>
                <w:sz w:val="21"/>
                <w:szCs w:val="21"/>
                <w:lang w:eastAsia="zh-CN"/>
              </w:rPr>
              <w:t>企业管理部</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sz w:val="21"/>
                <w:szCs w:val="21"/>
              </w:rPr>
              <w:t>查《计量器具台账》生产车间及</w:t>
            </w:r>
            <w:r>
              <w:rPr>
                <w:rFonts w:hint="eastAsia" w:ascii="宋体" w:hAnsi="宋体"/>
                <w:color w:val="000000" w:themeColor="text1"/>
                <w:sz w:val="21"/>
                <w:szCs w:val="21"/>
                <w:highlight w:val="none"/>
                <w14:textFill>
                  <w14:solidFill>
                    <w14:schemeClr w14:val="tx1"/>
                  </w14:solidFill>
                </w14:textFill>
              </w:rPr>
              <w:t>检验部门均按策划的要求配置了相应的检测设备，其中包括：圆柱度仪、洛氏硬度计、粗糙度仪、金相显微镜、百分表、公法线千分尺、、游标卡尺、轮廓仪、电动表面洛氏硬度计</w:t>
            </w:r>
            <w:r>
              <w:rPr>
                <w:rFonts w:hint="eastAsia" w:ascii="宋体" w:hAnsi="宋体" w:cs="宋体"/>
                <w:color w:val="000000" w:themeColor="text1"/>
                <w:sz w:val="21"/>
                <w:szCs w:val="21"/>
                <w:highlight w:val="none"/>
                <w14:textFill>
                  <w14:solidFill>
                    <w14:schemeClr w14:val="tx1"/>
                  </w14:solidFill>
                </w14:textFill>
              </w:rPr>
              <w:t>等</w:t>
            </w:r>
            <w:r>
              <w:rPr>
                <w:rFonts w:hint="eastAsia" w:ascii="宋体" w:hAnsi="宋体"/>
                <w:color w:val="000000" w:themeColor="text1"/>
                <w:sz w:val="21"/>
                <w:szCs w:val="21"/>
                <w:highlight w:val="none"/>
                <w14:textFill>
                  <w14:solidFill>
                    <w14:schemeClr w14:val="tx1"/>
                  </w14:solidFill>
                </w14:textFill>
              </w:rPr>
              <w:t>均采用委外送检。抽查在</w:t>
            </w:r>
            <w:r>
              <w:rPr>
                <w:rFonts w:hint="eastAsia" w:ascii="宋体" w:hAnsi="宋体"/>
                <w:color w:val="000000" w:themeColor="text1"/>
                <w:sz w:val="21"/>
                <w:szCs w:val="21"/>
                <w14:textFill>
                  <w14:solidFill>
                    <w14:schemeClr w14:val="tx1"/>
                  </w14:solidFill>
                </w14:textFill>
              </w:rPr>
              <w:t>用检测设备的检定或校准证书,能提供有效的检定或校准证书</w:t>
            </w:r>
            <w:r>
              <w:rPr>
                <w:rFonts w:hint="eastAsia" w:ascii="宋体" w:hAnsi="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质量实施检查与验收的管理要求。内容基本具备全面性、系统性及可操作性。技术输出验收均在顾客处予以实现，范围包括：过程、最终方案、报告。以此保证持续向顾客稳定提供稳定合格的服务。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w:t>
            </w:r>
            <w:r>
              <w:rPr>
                <w:rFonts w:hint="eastAsia" w:ascii="宋体" w:hAnsi="宋体"/>
                <w:b/>
                <w:sz w:val="21"/>
                <w:szCs w:val="21"/>
                <w:highlight w:val="none"/>
              </w:rPr>
              <w:t>结果</w:t>
            </w:r>
          </w:p>
          <w:p>
            <w:pPr>
              <w:spacing w:line="240" w:lineRule="exact"/>
              <w:rPr>
                <w:rFonts w:hint="eastAsia" w:ascii="宋体" w:hAnsi="宋体" w:eastAsia="宋体"/>
                <w:b/>
                <w:sz w:val="21"/>
                <w:szCs w:val="21"/>
                <w:highlight w:val="none"/>
                <w:lang w:val="en-US" w:eastAsia="zh-CN"/>
              </w:rPr>
            </w:pPr>
            <w:r>
              <w:rPr>
                <w:rFonts w:hint="eastAsia" w:ascii="宋体" w:hAnsi="宋体"/>
                <w:b/>
                <w:sz w:val="21"/>
                <w:szCs w:val="21"/>
                <w:highlight w:val="none"/>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highlight w:val="none"/>
              </w:rPr>
            </w:pPr>
            <w:r>
              <w:rPr>
                <w:rFonts w:ascii="宋体" w:hAnsi="宋体"/>
                <w:b/>
                <w:sz w:val="21"/>
                <w:szCs w:val="21"/>
                <w:highlight w:val="none"/>
              </w:rPr>
              <w:t xml:space="preserve">10. </w:t>
            </w:r>
            <w:r>
              <w:rPr>
                <w:rFonts w:hint="eastAsia" w:ascii="宋体" w:hAnsi="宋体"/>
                <w:b/>
                <w:sz w:val="21"/>
                <w:szCs w:val="21"/>
                <w:highlight w:val="none"/>
              </w:rPr>
              <w:t>对特种设备的维护，检定</w:t>
            </w:r>
            <w:r>
              <w:rPr>
                <w:rFonts w:ascii="宋体" w:hAnsi="宋体"/>
                <w:b/>
                <w:sz w:val="21"/>
                <w:szCs w:val="21"/>
                <w:highlight w:val="none"/>
              </w:rPr>
              <w:t>;</w:t>
            </w:r>
            <w:r>
              <w:rPr>
                <w:rFonts w:hint="eastAsia" w:ascii="宋体" w:hAnsi="宋体"/>
                <w:b/>
                <w:sz w:val="21"/>
                <w:szCs w:val="21"/>
                <w:highlight w:val="none"/>
              </w:rPr>
              <w:t>（</w:t>
            </w:r>
            <w:r>
              <w:rPr>
                <w:rFonts w:ascii="宋体" w:hAnsi="宋体"/>
                <w:b/>
                <w:sz w:val="21"/>
                <w:szCs w:val="21"/>
                <w:highlight w:val="none"/>
              </w:rPr>
              <w:t>适用时</w:t>
            </w:r>
            <w:r>
              <w:rPr>
                <w:rFonts w:hint="eastAsia" w:ascii="宋体" w:hAnsi="宋体"/>
                <w:b/>
                <w:sz w:val="21"/>
                <w:szCs w:val="21"/>
                <w:highlight w:val="none"/>
              </w:rPr>
              <w:t>）</w:t>
            </w:r>
            <w:r>
              <w:rPr>
                <w:rFonts w:hint="eastAsia" w:ascii="宋体" w:hAnsi="宋体"/>
                <w:b/>
                <w:sz w:val="21"/>
                <w:szCs w:val="21"/>
                <w:highlight w:val="none"/>
                <w:lang w:val="en-US" w:eastAsia="zh-CN"/>
              </w:rPr>
              <w:t>:</w:t>
            </w:r>
            <w:r>
              <w:rPr>
                <w:rFonts w:hint="eastAsia" w:ascii="宋体" w:hAnsi="宋体" w:cs="宋体"/>
                <w:sz w:val="21"/>
                <w:szCs w:val="21"/>
                <w:highlight w:val="none"/>
              </w:rPr>
              <w:t>特种设备：行车2台</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2.8T，不用进行年检，详见合格证附件</w:t>
            </w:r>
            <w:r>
              <w:rPr>
                <w:rFonts w:hint="eastAsia" w:ascii="宋体" w:hAnsi="宋体" w:cs="宋体"/>
                <w:sz w:val="21"/>
                <w:szCs w:val="21"/>
                <w:highlight w:val="none"/>
                <w:lang w:eastAsia="zh-CN"/>
              </w:rPr>
              <w:t>），</w:t>
            </w:r>
            <w:r>
              <w:rPr>
                <w:rFonts w:hint="eastAsia" w:ascii="宋体" w:hAnsi="宋体" w:cs="宋体"/>
                <w:sz w:val="21"/>
                <w:szCs w:val="21"/>
                <w:highlight w:val="none"/>
              </w:rPr>
              <w:t>叉车</w:t>
            </w:r>
            <w:r>
              <w:rPr>
                <w:rFonts w:hint="eastAsia" w:ascii="宋体" w:hAnsi="宋体" w:cs="宋体"/>
                <w:sz w:val="21"/>
                <w:szCs w:val="21"/>
                <w:highlight w:val="none"/>
                <w:lang w:val="en-US" w:eastAsia="zh-CN"/>
              </w:rPr>
              <w:t>1</w:t>
            </w:r>
            <w:r>
              <w:rPr>
                <w:rFonts w:hint="eastAsia" w:ascii="宋体" w:hAnsi="宋体" w:cs="宋体"/>
                <w:sz w:val="21"/>
                <w:szCs w:val="21"/>
                <w:highlight w:val="none"/>
              </w:rPr>
              <w:t>台</w:t>
            </w:r>
            <w:r>
              <w:rPr>
                <w:rFonts w:hint="eastAsia" w:ascii="宋体" w:hAnsi="宋体" w:cs="宋体"/>
                <w:sz w:val="21"/>
                <w:szCs w:val="21"/>
                <w:highlight w:val="none"/>
                <w:lang w:eastAsia="zh-CN"/>
              </w:rPr>
              <w:t>（提供有效年检报告）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sz w:val="21"/>
                <w:szCs w:val="21"/>
                <w:highlight w:val="none"/>
              </w:rPr>
              <w:t>通过20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1季度</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3季度</w:t>
            </w:r>
            <w:r>
              <w:rPr>
                <w:rFonts w:hint="eastAsia" w:ascii="宋体" w:hAnsi="宋体" w:cs="宋体"/>
                <w:color w:val="000000"/>
                <w:sz w:val="21"/>
                <w:szCs w:val="21"/>
                <w:highlight w:val="none"/>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4"/>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w:t>
            </w:r>
            <w:r>
              <w:rPr>
                <w:rFonts w:hint="eastAsia" w:ascii="宋体" w:hAnsi="宋体" w:cs="宋体"/>
                <w:color w:val="000000" w:themeColor="text1"/>
                <w:sz w:val="21"/>
                <w:szCs w:val="21"/>
              </w:rPr>
              <w:t>上不够，需要改善。近年来未发生重大顾客投诉和产品质量事故。顾客满意度调查按规定实施</w:t>
            </w:r>
            <w:r>
              <w:rPr>
                <w:rFonts w:hint="eastAsia" w:ascii="宋体" w:hAnsi="宋体" w:cs="宋体"/>
                <w:color w:val="000000"/>
                <w:sz w:val="21"/>
                <w:szCs w:val="21"/>
                <w:highlight w:val="none"/>
              </w:rPr>
              <w:t>，20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月实施，满意度评价98</w:t>
            </w:r>
            <w:r>
              <w:rPr>
                <w:rFonts w:hint="eastAsia" w:ascii="宋体" w:hAnsi="宋体" w:cs="宋体"/>
                <w:color w:val="000000"/>
                <w:sz w:val="21"/>
                <w:szCs w:val="21"/>
                <w:highlight w:val="none"/>
                <w:lang w:eastAsia="zh-CN"/>
              </w:rPr>
              <w:t>分</w:t>
            </w:r>
            <w:r>
              <w:rPr>
                <w:rFonts w:hint="eastAsia" w:ascii="宋体" w:hAnsi="宋体" w:cs="宋体"/>
                <w:color w:val="000000"/>
                <w:sz w:val="21"/>
                <w:szCs w:val="21"/>
                <w:highlight w:val="none"/>
              </w:rPr>
              <w:t>，</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cs="宋体"/>
                <w:color w:val="000000" w:themeColor="text1"/>
                <w:sz w:val="21"/>
                <w:szCs w:val="21"/>
              </w:rPr>
              <w:t>建立有《内部审核控制程序》，规定了内审频次</w:t>
            </w:r>
            <w:r>
              <w:rPr>
                <w:rFonts w:hint="eastAsia" w:ascii="宋体" w:hAnsi="宋体" w:eastAsia="宋体" w:cs="宋体"/>
                <w:color w:val="000000" w:themeColor="text1"/>
                <w:sz w:val="21"/>
                <w:szCs w:val="21"/>
              </w:rPr>
              <w:t>一年一次，内审时间：20</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rPr>
              <w:t>年</w:t>
            </w:r>
            <w:r>
              <w:rPr>
                <w:rFonts w:hint="eastAsia" w:ascii="宋体" w:hAnsi="宋体" w:eastAsia="宋体" w:cs="宋体"/>
                <w:color w:val="000000" w:themeColor="text1"/>
                <w:sz w:val="21"/>
                <w:szCs w:val="21"/>
                <w:lang w:val="en-US" w:eastAsia="zh-CN"/>
              </w:rPr>
              <w:t>9</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12</w:t>
            </w:r>
            <w:r>
              <w:rPr>
                <w:rFonts w:hint="eastAsia" w:ascii="宋体" w:hAnsi="宋体" w:eastAsia="宋体" w:cs="宋体"/>
                <w:color w:val="000000" w:themeColor="text1"/>
                <w:sz w:val="21"/>
                <w:szCs w:val="21"/>
              </w:rPr>
              <w:t>日，拟定了审核实施表，明确了内审范围，内审人员经培训合格上岗，能力满足要求，未出现审核本部门情况，内审不符合项1项，涉及</w:t>
            </w:r>
            <w:r>
              <w:rPr>
                <w:rFonts w:hint="eastAsia" w:ascii="宋体" w:hAnsi="宋体" w:eastAsia="宋体" w:cs="宋体"/>
                <w:color w:val="000000" w:themeColor="text1"/>
                <w:sz w:val="21"/>
                <w:szCs w:val="21"/>
                <w:lang w:val="en-US" w:eastAsia="zh-CN"/>
              </w:rPr>
              <w:t>企业管理部</w:t>
            </w:r>
            <w:r>
              <w:rPr>
                <w:rFonts w:hint="eastAsia" w:ascii="宋体" w:hAnsi="宋体" w:eastAsia="宋体" w:cs="宋体"/>
                <w:color w:val="000000" w:themeColor="text1"/>
                <w:sz w:val="21"/>
                <w:szCs w:val="21"/>
              </w:rPr>
              <w:t>，涉及标准</w:t>
            </w:r>
            <w:r>
              <w:rPr>
                <w:rFonts w:hint="eastAsia" w:ascii="宋体" w:hAnsi="宋体" w:eastAsia="宋体" w:cs="宋体"/>
                <w:color w:val="000000" w:themeColor="text1"/>
                <w:sz w:val="21"/>
                <w:szCs w:val="21"/>
                <w:lang w:val="en-US" w:eastAsia="zh-CN"/>
              </w:rPr>
              <w:t>4.2</w:t>
            </w:r>
            <w:r>
              <w:rPr>
                <w:rFonts w:hint="eastAsia" w:ascii="宋体" w:hAnsi="宋体" w:eastAsia="宋体" w:cs="宋体"/>
                <w:color w:val="000000" w:themeColor="text1"/>
                <w:sz w:val="21"/>
                <w:szCs w:val="21"/>
              </w:rPr>
              <w:t>条款，经查看，现场没能提供对相关方的需求和期望进行识别的证据</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themeColor="text1"/>
                <w:sz w:val="21"/>
                <w:szCs w:val="21"/>
              </w:rPr>
              <w:t>管理评审频次为一年一次、本次管理评审于 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9</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24</w:t>
            </w:r>
            <w:r>
              <w:rPr>
                <w:rFonts w:hint="eastAsia" w:ascii="宋体" w:hAnsi="宋体" w:cs="宋体"/>
                <w:color w:val="000000" w:themeColor="text1"/>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ascii="宋体" w:hAnsi="宋体"/>
                <w:b/>
                <w:sz w:val="21"/>
                <w:szCs w:val="21"/>
              </w:rPr>
            </w:pPr>
            <w:r>
              <w:rPr>
                <w:rFonts w:ascii="宋体" w:hAnsi="宋体"/>
                <w:b/>
                <w:sz w:val="21"/>
                <w:szCs w:val="21"/>
              </w:rPr>
              <w:t xml:space="preserve"> </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0" w:leftChars="0" w:firstLine="0" w:firstLineChars="0"/>
              <w:rPr>
                <w:rFonts w:hint="eastAsia" w:ascii="宋体" w:hAnsi="宋体"/>
                <w:b/>
                <w:sz w:val="21"/>
                <w:szCs w:val="21"/>
                <w:lang w:eastAsia="zh-CN"/>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ind w:leftChars="0"/>
              <w:rPr>
                <w:rFonts w:hint="eastAsia" w:ascii="宋体" w:hAnsi="宋体" w:eastAsia="宋体"/>
                <w:b/>
                <w:sz w:val="21"/>
                <w:szCs w:val="21"/>
                <w:lang w:val="en-US" w:eastAsia="zh-CN"/>
              </w:rPr>
            </w:pPr>
            <w:r>
              <w:rPr>
                <w:rFonts w:hint="eastAsia" w:ascii="宋体" w:hAnsi="宋体"/>
                <w:b w:val="0"/>
                <w:bCs/>
                <w:sz w:val="21"/>
                <w:szCs w:val="21"/>
                <w:lang w:eastAsia="zh-CN"/>
              </w:rPr>
              <w:t>上</w:t>
            </w:r>
            <w:r>
              <w:rPr>
                <w:rFonts w:hint="eastAsia"/>
                <w:b w:val="0"/>
                <w:bCs/>
                <w:sz w:val="21"/>
                <w:szCs w:val="21"/>
              </w:rPr>
              <w:t>次不符合为</w:t>
            </w:r>
            <w:r>
              <w:rPr>
                <w:rFonts w:hint="eastAsia"/>
                <w:b w:val="0"/>
                <w:bCs/>
                <w:sz w:val="21"/>
                <w:szCs w:val="21"/>
                <w:lang w:val="en-US" w:eastAsia="zh-CN"/>
              </w:rPr>
              <w:t>生产部的8.5.1</w:t>
            </w:r>
            <w:r>
              <w:rPr>
                <w:rFonts w:hint="eastAsia"/>
                <w:b w:val="0"/>
                <w:bCs/>
                <w:sz w:val="21"/>
                <w:szCs w:val="21"/>
              </w:rPr>
              <w:t>，</w:t>
            </w:r>
            <w:r>
              <w:rPr>
                <w:rFonts w:hint="eastAsia" w:ascii="宋体" w:hAnsi="宋体"/>
                <w:b w:val="0"/>
                <w:bCs/>
                <w:sz w:val="21"/>
                <w:szCs w:val="21"/>
              </w:rPr>
              <w:t>经本次审核</w:t>
            </w:r>
            <w:r>
              <w:rPr>
                <w:rFonts w:hint="eastAsia" w:ascii="宋体" w:hAnsi="宋体"/>
                <w:b w:val="0"/>
                <w:bCs/>
                <w:sz w:val="21"/>
                <w:szCs w:val="21"/>
                <w:lang w:val="en-US" w:eastAsia="zh-CN"/>
              </w:rPr>
              <w:t>现场</w:t>
            </w:r>
            <w:r>
              <w:rPr>
                <w:rFonts w:hint="eastAsia" w:ascii="宋体" w:hAnsi="宋体"/>
                <w:b w:val="0"/>
                <w:bCs/>
                <w:sz w:val="21"/>
                <w:szCs w:val="21"/>
              </w:rPr>
              <w:t>验证</w:t>
            </w:r>
            <w:r>
              <w:rPr>
                <w:rFonts w:hint="eastAsia" w:ascii="宋体" w:hAnsi="宋体"/>
                <w:b w:val="0"/>
                <w:bCs/>
                <w:sz w:val="21"/>
                <w:szCs w:val="21"/>
                <w:lang w:eastAsia="zh-CN"/>
              </w:rPr>
              <w:t>，</w:t>
            </w:r>
            <w:r>
              <w:rPr>
                <w:rFonts w:hint="eastAsia" w:ascii="宋体" w:hAnsi="宋体"/>
                <w:b w:val="0"/>
                <w:bCs/>
                <w:sz w:val="21"/>
                <w:szCs w:val="21"/>
                <w:lang w:val="en-US" w:eastAsia="zh-CN"/>
              </w:rPr>
              <w:t>热处理现为外包过程。</w:t>
            </w:r>
            <w:r>
              <w:rPr>
                <w:rFonts w:hint="eastAsia" w:ascii="宋体" w:hAnsi="宋体"/>
                <w:color w:val="auto"/>
                <w:sz w:val="21"/>
                <w:szCs w:val="21"/>
                <w:lang w:val="en-US" w:eastAsia="zh-CN"/>
              </w:rPr>
              <w:t>按采购控制程序控制，提供有合格供方评价记录。控制有效</w:t>
            </w:r>
            <w:r>
              <w:rPr>
                <w:rFonts w:hint="eastAsia"/>
                <w:b w:val="0"/>
                <w:bCs/>
                <w:sz w:val="21"/>
                <w:szCs w:val="21"/>
                <w:lang w:eastAsia="zh-CN"/>
              </w:rPr>
              <w:t>。</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color w:val="000000" w:themeColor="text1"/>
          <w:sz w:val="16"/>
          <w:szCs w:val="16"/>
          <w14:textFill>
            <w14:solidFill>
              <w14:schemeClr w14:val="tx1"/>
            </w14:solidFill>
          </w14:textFill>
        </w:rPr>
      </w:pPr>
      <w:r>
        <w:rPr>
          <w:rFonts w:hint="eastAsia"/>
          <w:b/>
          <w:sz w:val="26"/>
          <w:szCs w:val="26"/>
        </w:rPr>
        <w:t>八、本次审核不符合项</w:t>
      </w:r>
      <w:bookmarkStart w:id="29" w:name="_GoBack"/>
    </w:p>
    <w:p>
      <w:pPr>
        <w:spacing w:line="400" w:lineRule="exact"/>
        <w:ind w:left="420" w:leftChars="175" w:firstLine="101" w:firstLineChars="4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本次审核共开具不符合项报告</w:t>
      </w: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项；其中</w:t>
      </w:r>
      <w:r>
        <w:rPr>
          <w:rFonts w:ascii="宋体" w:hAnsi="宋体"/>
          <w:b/>
          <w:color w:val="000000" w:themeColor="text1"/>
          <w:szCs w:val="21"/>
          <w14:textFill>
            <w14:solidFill>
              <w14:schemeClr w14:val="tx1"/>
            </w14:solidFill>
          </w14:textFill>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000000" w:themeColor="text1"/>
          <w:szCs w:val="21"/>
          <w14:textFill>
            <w14:solidFill>
              <w14:schemeClr w14:val="tx1"/>
            </w14:solidFill>
          </w14:textFill>
        </w:rPr>
        <w:t>严重不符合</w:t>
      </w:r>
      <w:r>
        <w:rPr>
          <w:rFonts w:hint="eastAsia" w:ascii="宋体" w:hAnsi="宋体"/>
          <w:b/>
          <w:color w:val="000000" w:themeColor="text1"/>
          <w:szCs w:val="21"/>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项，一般不符合</w:t>
      </w:r>
      <w:r>
        <w:rPr>
          <w:rFonts w:hint="eastAsia" w:ascii="宋体" w:hAnsi="宋体"/>
          <w:b/>
          <w:color w:val="000000" w:themeColor="text1"/>
          <w:szCs w:val="21"/>
          <w:lang w:val="en-US" w:eastAsia="zh-CN"/>
          <w14:textFill>
            <w14:solidFill>
              <w14:schemeClr w14:val="tx1"/>
            </w14:solidFill>
          </w14:textFill>
        </w:rPr>
        <w:t>1</w:t>
      </w:r>
      <w:r>
        <w:rPr>
          <w:rFonts w:hint="eastAsia" w:ascii="宋体" w:hAnsi="宋体"/>
          <w:b/>
          <w:color w:val="000000" w:themeColor="text1"/>
          <w:szCs w:val="21"/>
          <w14:textFill>
            <w14:solidFill>
              <w14:schemeClr w14:val="tx1"/>
            </w14:solidFill>
          </w14:textFill>
        </w:rPr>
        <w:t>项，观察项</w:t>
      </w:r>
      <w:r>
        <w:rPr>
          <w:rFonts w:hint="eastAsia" w:ascii="宋体" w:hAnsi="宋体"/>
          <w:b/>
          <w:color w:val="000000" w:themeColor="text1"/>
          <w:szCs w:val="21"/>
          <w:lang w:val="en-US" w:eastAsia="zh-CN"/>
          <w14:textFill>
            <w14:solidFill>
              <w14:schemeClr w14:val="tx1"/>
            </w14:solidFill>
          </w14:textFill>
        </w:rPr>
        <w:t>0</w:t>
      </w:r>
      <w:r>
        <w:rPr>
          <w:rFonts w:hint="eastAsia" w:ascii="宋体" w:hAnsi="宋体"/>
          <w:b/>
          <w:color w:val="000000" w:themeColor="text1"/>
          <w:szCs w:val="21"/>
          <w14:textFill>
            <w14:solidFill>
              <w14:schemeClr w14:val="tx1"/>
            </w14:solidFill>
          </w14:textFill>
        </w:rPr>
        <w:t>项分布在</w:t>
      </w:r>
      <w:r>
        <w:rPr>
          <w:rFonts w:hint="eastAsia" w:ascii="宋体" w:hAnsi="宋体"/>
          <w:b/>
          <w:color w:val="000000" w:themeColor="text1"/>
          <w:szCs w:val="21"/>
          <w:lang w:val="en-US" w:eastAsia="zh-CN"/>
          <w14:textFill>
            <w14:solidFill>
              <w14:schemeClr w14:val="tx1"/>
            </w14:solidFill>
          </w14:textFill>
        </w:rPr>
        <w:t>企业管理部</w:t>
      </w:r>
      <w:r>
        <w:rPr>
          <w:rFonts w:hint="eastAsia" w:ascii="宋体" w:hAnsi="宋体"/>
          <w:b/>
          <w:color w:val="000000" w:themeColor="text1"/>
          <w:szCs w:val="21"/>
          <w14:textFill>
            <w14:solidFill>
              <w14:schemeClr w14:val="tx1"/>
            </w14:solidFill>
          </w14:textFill>
        </w:rPr>
        <w:t>部门</w:t>
      </w:r>
      <w:r>
        <w:rPr>
          <w:rFonts w:hint="eastAsia" w:ascii="宋体" w:hAnsi="宋体"/>
          <w:b/>
          <w:color w:val="000000" w:themeColor="text1"/>
          <w:szCs w:val="21"/>
          <w:lang w:val="en-US" w:eastAsia="zh-CN"/>
          <w14:textFill>
            <w14:solidFill>
              <w14:schemeClr w14:val="tx1"/>
            </w14:solidFill>
          </w14:textFill>
        </w:rPr>
        <w:t>7.2</w:t>
      </w:r>
      <w:r>
        <w:rPr>
          <w:rFonts w:hint="eastAsia" w:ascii="宋体" w:hAnsi="宋体"/>
          <w:b/>
          <w:color w:val="000000" w:themeColor="text1"/>
          <w:szCs w:val="21"/>
          <w14:textFill>
            <w14:solidFill>
              <w14:schemeClr w14:val="tx1"/>
            </w14:solidFill>
          </w14:textFill>
        </w:rPr>
        <w:t>条款，见不符合项分布表。（</w:t>
      </w:r>
      <w:r>
        <w:rPr>
          <w:rFonts w:ascii="宋体" w:hAnsi="宋体"/>
          <w:b/>
          <w:color w:val="000000" w:themeColor="text1"/>
          <w:szCs w:val="21"/>
          <w14:textFill>
            <w14:solidFill>
              <w14:schemeClr w14:val="tx1"/>
            </w14:solidFill>
          </w14:textFill>
        </w:rPr>
        <w:t>Q/J/E/S</w:t>
      </w:r>
      <w:r>
        <w:rPr>
          <w:rFonts w:hint="eastAsia" w:ascii="宋体" w:hAnsi="宋体"/>
          <w:b/>
          <w:color w:val="000000" w:themeColor="text1"/>
          <w:szCs w:val="21"/>
          <w14:textFill>
            <w14:solidFill>
              <w14:schemeClr w14:val="tx1"/>
            </w14:solidFill>
          </w14:textFill>
        </w:rPr>
        <w:t>分开填写）</w:t>
      </w:r>
    </w:p>
    <w:bookmarkEnd w:id="29"/>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2" w:firstLineChars="200"/>
              <w:rPr>
                <w:rFonts w:ascii="宋体" w:hAnsi="宋体"/>
                <w:b/>
                <w:szCs w:val="21"/>
              </w:rPr>
            </w:pPr>
            <w:r>
              <w:rPr>
                <w:rFonts w:ascii="宋体" w:hAnsi="宋体"/>
                <w:b/>
                <w:szCs w:val="21"/>
              </w:rPr>
              <w:t>(</w:t>
            </w:r>
            <w:r>
              <w:rPr>
                <w:rFonts w:hint="eastAsia" w:ascii="微软雅黑" w:hAnsi="微软雅黑" w:eastAsia="微软雅黑"/>
                <w:bCs/>
                <w:szCs w:val="24"/>
              </w:rPr>
              <w:t>综上所述，审核组一致认为，（</w:t>
            </w:r>
            <w:r>
              <w:rPr>
                <w:rFonts w:hint="eastAsia" w:ascii="微软雅黑" w:hAnsi="微软雅黑" w:eastAsia="微软雅黑"/>
                <w:bCs/>
                <w:szCs w:val="24"/>
                <w:lang w:eastAsia="zh-CN"/>
              </w:rPr>
              <w:t>四川龙擎汽车部件制造有限公司</w:t>
            </w:r>
            <w:r>
              <w:rPr>
                <w:rFonts w:hint="eastAsia" w:ascii="微软雅黑" w:hAnsi="微软雅黑" w:eastAsia="微软雅黑"/>
                <w:bCs/>
                <w:szCs w:val="24"/>
              </w:rPr>
              <w:t>）的质量管理体系适宜、充分、得到良好的实施和保持，体系运行持续有效。</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2020.12.17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9"/>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9"/>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092805CD"/>
    <w:multiLevelType w:val="singleLevel"/>
    <w:tmpl w:val="092805CD"/>
    <w:lvl w:ilvl="0" w:tentative="0">
      <w:start w:val="2"/>
      <w:numFmt w:val="decimal"/>
      <w:lvlText w:val="%1."/>
      <w:lvlJc w:val="left"/>
      <w:pPr>
        <w:tabs>
          <w:tab w:val="left" w:pos="312"/>
        </w:tabs>
      </w:pPr>
    </w:lvl>
  </w:abstractNum>
  <w:abstractNum w:abstractNumId="5">
    <w:nsid w:val="1DDE20DE"/>
    <w:multiLevelType w:val="singleLevel"/>
    <w:tmpl w:val="1DDE20DE"/>
    <w:lvl w:ilvl="0" w:tentative="0">
      <w:start w:val="8"/>
      <w:numFmt w:val="decimal"/>
      <w:suff w:val="space"/>
      <w:lvlText w:val="%1."/>
      <w:lvlJc w:val="left"/>
    </w:lvl>
  </w:abstractNum>
  <w:abstractNum w:abstractNumId="6">
    <w:nsid w:val="1EEBFF49"/>
    <w:multiLevelType w:val="singleLevel"/>
    <w:tmpl w:val="1EEBFF49"/>
    <w:lvl w:ilvl="0" w:tentative="0">
      <w:start w:val="2"/>
      <w:numFmt w:val="decimal"/>
      <w:lvlText w:val="%1."/>
      <w:lvlJc w:val="left"/>
      <w:pPr>
        <w:tabs>
          <w:tab w:val="left" w:pos="312"/>
        </w:tabs>
      </w:pPr>
    </w:lvl>
  </w:abstractNum>
  <w:abstractNum w:abstractNumId="7">
    <w:nsid w:val="45014024"/>
    <w:multiLevelType w:val="singleLevel"/>
    <w:tmpl w:val="45014024"/>
    <w:lvl w:ilvl="0" w:tentative="0">
      <w:start w:val="8"/>
      <w:numFmt w:val="decimal"/>
      <w:lvlText w:val="%1."/>
      <w:lvlJc w:val="left"/>
      <w:pPr>
        <w:tabs>
          <w:tab w:val="left" w:pos="312"/>
        </w:tabs>
      </w:pPr>
    </w:lvl>
  </w:abstractNum>
  <w:abstractNum w:abstractNumId="8">
    <w:nsid w:val="688C3EB5"/>
    <w:multiLevelType w:val="singleLevel"/>
    <w:tmpl w:val="688C3EB5"/>
    <w:lvl w:ilvl="0" w:tentative="0">
      <w:start w:val="2"/>
      <w:numFmt w:val="decimal"/>
      <w:suff w:val="nothing"/>
      <w:lvlText w:val="%1、"/>
      <w:lvlJc w:val="left"/>
    </w:lvl>
  </w:abstractNum>
  <w:num w:numId="1">
    <w:abstractNumId w:val="8"/>
  </w:num>
  <w:num w:numId="2">
    <w:abstractNumId w:val="2"/>
  </w:num>
  <w:num w:numId="3">
    <w:abstractNumId w:val="5"/>
  </w:num>
  <w:num w:numId="4">
    <w:abstractNumId w:val="6"/>
  </w:num>
  <w:num w:numId="5">
    <w:abstractNumId w:val="1"/>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942E0"/>
    <w:rsid w:val="14CC5208"/>
    <w:rsid w:val="32726FA3"/>
    <w:rsid w:val="373D18CB"/>
    <w:rsid w:val="4F4F099B"/>
    <w:rsid w:val="57703C5C"/>
    <w:rsid w:val="5BB81893"/>
    <w:rsid w:val="5F3C0E1D"/>
    <w:rsid w:val="6E6E485D"/>
    <w:rsid w:val="7CE03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2020-12-17T06:55:54Z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