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8"/>
        <w:gridCol w:w="1232"/>
        <w:gridCol w:w="595"/>
        <w:gridCol w:w="2200"/>
        <w:gridCol w:w="1233"/>
        <w:gridCol w:w="18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西安东灿建设工程有限公司</w:t>
            </w:r>
            <w:bookmarkEnd w:id="3"/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Q：29.08.03;29.11.03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E：29.08.03;29.11.03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O：29.08.03;29.11.03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5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0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Q：29.08.03;29.11.03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E：29.08.03;29.11.03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O：29.08.03;29.11.03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销售</w:t>
            </w:r>
            <w:r>
              <w:rPr>
                <w:rFonts w:hint="eastAsia" w:ascii="宋体" w:hAnsi="宋体"/>
                <w:szCs w:val="21"/>
              </w:rPr>
              <w:t>流程：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市场调研→签订协议→组织采购用户产品与验收→发货与交付→售后服务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火灾，触电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  <w:lang w:val="en-US" w:eastAsia="zh-CN"/>
              </w:rPr>
              <w:t>意外伤害</w:t>
            </w:r>
            <w:bookmarkStart w:id="5" w:name="_GoBack"/>
            <w:bookmarkEnd w:id="5"/>
            <w:r>
              <w:rPr>
                <w:rFonts w:hint="eastAsia"/>
                <w:sz w:val="20"/>
              </w:rPr>
              <w:t>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产品质量法、消费者权益保护法、 热轧光圆钢筋GB/T1499.1-2008；砌筑水泥GB/T3183-2003；防滑陶瓷砖GB/T35153-2017；细木工板GB/T5849-1999；冷轧带肋钢筋GB13788-2000；烧结普通砖GB51012003；水泥GB175-2007；道路与街路照片灯具性能要求GB/T24827-2009；应急照明灯具安全要求GB7000.3-1996；道路与街路照明灯具的安全要求GB7005.5-1996等标准和合同协议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销售过程和售后服务质量的监控等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116205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132080</wp:posOffset>
            </wp:positionV>
            <wp:extent cx="757555" cy="419735"/>
            <wp:effectExtent l="0" t="0" r="4445" b="6985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2020.12.20</w:t>
      </w:r>
      <w:r>
        <w:rPr>
          <w:rFonts w:hint="eastAsia" w:ascii="宋体"/>
          <w:b/>
          <w:sz w:val="21"/>
          <w:szCs w:val="21"/>
        </w:rPr>
        <w:t xml:space="preserve"> 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2020.12.20</w:t>
      </w:r>
      <w:r>
        <w:rPr>
          <w:rFonts w:hint="eastAsia" w:ascii="宋体"/>
          <w:b/>
          <w:sz w:val="21"/>
          <w:szCs w:val="21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4703A"/>
    <w:rsid w:val="2428627E"/>
    <w:rsid w:val="2C912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5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2020-12-18T04:44:33Z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