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楷体" w:hAnsi="楷体" w:eastAsia="楷体"/>
          <w:bCs/>
          <w:color w:val="000000"/>
          <w:sz w:val="36"/>
          <w:szCs w:val="36"/>
        </w:rPr>
      </w:pPr>
      <w:r>
        <w:rPr>
          <w:rFonts w:hint="eastAsia" w:ascii="楷体" w:hAnsi="楷体" w:eastAsia="楷体"/>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11"/>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09" w:type="dxa"/>
            <w:vMerge w:val="restart"/>
            <w:vAlign w:val="center"/>
          </w:tcPr>
          <w:p>
            <w:pPr>
              <w:spacing w:before="120" w:line="360" w:lineRule="auto"/>
              <w:jc w:val="center"/>
              <w:rPr>
                <w:rFonts w:ascii="楷体" w:hAnsi="楷体" w:eastAsia="楷体"/>
                <w:sz w:val="24"/>
                <w:szCs w:val="24"/>
              </w:rPr>
            </w:pPr>
            <w:r>
              <w:rPr>
                <w:rFonts w:hint="eastAsia" w:ascii="楷体" w:hAnsi="楷体" w:eastAsia="楷体"/>
                <w:sz w:val="24"/>
                <w:szCs w:val="24"/>
              </w:rPr>
              <w:t>过程与活动、</w:t>
            </w:r>
          </w:p>
          <w:p>
            <w:pPr>
              <w:spacing w:line="360" w:lineRule="auto"/>
              <w:jc w:val="center"/>
              <w:rPr>
                <w:rFonts w:ascii="楷体" w:hAnsi="楷体" w:eastAsia="楷体"/>
                <w:sz w:val="24"/>
                <w:szCs w:val="24"/>
              </w:rPr>
            </w:pPr>
            <w:r>
              <w:rPr>
                <w:rFonts w:hint="eastAsia" w:ascii="楷体" w:hAnsi="楷体" w:eastAsia="楷体"/>
                <w:sz w:val="24"/>
                <w:szCs w:val="24"/>
              </w:rPr>
              <w:t>抽样计划</w:t>
            </w:r>
          </w:p>
        </w:tc>
        <w:tc>
          <w:tcPr>
            <w:tcW w:w="1311" w:type="dxa"/>
            <w:vMerge w:val="restart"/>
            <w:vAlign w:val="center"/>
          </w:tcPr>
          <w:p>
            <w:pPr>
              <w:spacing w:line="360" w:lineRule="auto"/>
              <w:rPr>
                <w:rFonts w:ascii="楷体" w:hAnsi="楷体" w:eastAsia="楷体"/>
                <w:sz w:val="24"/>
                <w:szCs w:val="24"/>
              </w:rPr>
            </w:pPr>
            <w:r>
              <w:rPr>
                <w:rFonts w:hint="eastAsia" w:ascii="楷体" w:hAnsi="楷体" w:eastAsia="楷体"/>
                <w:sz w:val="24"/>
                <w:szCs w:val="24"/>
              </w:rPr>
              <w:t>涉及条款</w:t>
            </w:r>
          </w:p>
        </w:tc>
        <w:tc>
          <w:tcPr>
            <w:tcW w:w="10004" w:type="dxa"/>
            <w:vAlign w:val="center"/>
          </w:tcPr>
          <w:p>
            <w:pPr>
              <w:spacing w:line="360" w:lineRule="auto"/>
              <w:rPr>
                <w:rFonts w:hint="default" w:ascii="楷体" w:hAnsi="楷体" w:eastAsia="楷体"/>
                <w:sz w:val="24"/>
                <w:szCs w:val="24"/>
                <w:lang w:val="en-US" w:eastAsia="zh-CN"/>
              </w:rPr>
            </w:pPr>
            <w:r>
              <w:rPr>
                <w:rFonts w:hint="eastAsia" w:ascii="楷体" w:hAnsi="楷体" w:eastAsia="楷体"/>
                <w:sz w:val="24"/>
                <w:szCs w:val="24"/>
              </w:rPr>
              <w:t>受审核部门：生产科     主管领导：</w:t>
            </w:r>
            <w:r>
              <w:rPr>
                <w:rFonts w:hint="eastAsia" w:ascii="楷体" w:hAnsi="楷体" w:eastAsia="楷体"/>
                <w:sz w:val="24"/>
                <w:szCs w:val="24"/>
                <w:lang w:val="en-US" w:eastAsia="zh-CN"/>
              </w:rPr>
              <w:t>赵金宝</w:t>
            </w:r>
            <w:r>
              <w:rPr>
                <w:rFonts w:hint="eastAsia" w:ascii="楷体" w:hAnsi="楷体" w:eastAsia="楷体"/>
                <w:sz w:val="24"/>
                <w:szCs w:val="24"/>
              </w:rPr>
              <w:t xml:space="preserve">   </w:t>
            </w:r>
            <w:r>
              <w:rPr>
                <w:rFonts w:hint="eastAsia" w:ascii="楷体" w:hAnsi="楷体" w:eastAsia="楷体"/>
                <w:sz w:val="24"/>
                <w:szCs w:val="24"/>
                <w:lang w:val="en-US" w:eastAsia="zh-CN"/>
              </w:rPr>
              <w:t xml:space="preserve"> </w:t>
            </w:r>
            <w:r>
              <w:rPr>
                <w:rFonts w:hint="eastAsia" w:ascii="楷体" w:hAnsi="楷体" w:eastAsia="楷体"/>
                <w:sz w:val="24"/>
                <w:szCs w:val="24"/>
              </w:rPr>
              <w:t xml:space="preserve"> 陪同人员：</w:t>
            </w:r>
            <w:r>
              <w:rPr>
                <w:rFonts w:hint="eastAsia" w:ascii="楷体" w:hAnsi="楷体" w:eastAsia="楷体"/>
                <w:sz w:val="24"/>
                <w:szCs w:val="24"/>
                <w:lang w:val="en-US" w:eastAsia="zh-CN"/>
              </w:rPr>
              <w:t>赵欢</w:t>
            </w:r>
          </w:p>
        </w:tc>
        <w:tc>
          <w:tcPr>
            <w:tcW w:w="1585" w:type="dxa"/>
            <w:vMerge w:val="restart"/>
            <w:vAlign w:val="center"/>
          </w:tcPr>
          <w:p>
            <w:pPr>
              <w:spacing w:line="360" w:lineRule="auto"/>
              <w:rPr>
                <w:rFonts w:ascii="楷体" w:hAnsi="楷体" w:eastAsia="楷体"/>
                <w:sz w:val="24"/>
                <w:szCs w:val="24"/>
              </w:rPr>
            </w:pPr>
            <w:r>
              <w:rPr>
                <w:rFonts w:hint="eastAsia" w:ascii="楷体" w:hAnsi="楷体" w:eastAsia="楷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09" w:type="dxa"/>
            <w:vMerge w:val="continue"/>
            <w:vAlign w:val="center"/>
          </w:tcPr>
          <w:p>
            <w:pPr>
              <w:spacing w:line="360" w:lineRule="auto"/>
              <w:rPr>
                <w:rFonts w:ascii="楷体" w:hAnsi="楷体" w:eastAsia="楷体"/>
                <w:sz w:val="24"/>
                <w:szCs w:val="24"/>
              </w:rPr>
            </w:pPr>
          </w:p>
        </w:tc>
        <w:tc>
          <w:tcPr>
            <w:tcW w:w="1311" w:type="dxa"/>
            <w:vMerge w:val="continue"/>
            <w:vAlign w:val="center"/>
          </w:tcPr>
          <w:p>
            <w:pPr>
              <w:spacing w:line="360" w:lineRule="auto"/>
              <w:rPr>
                <w:rFonts w:ascii="楷体" w:hAnsi="楷体" w:eastAsia="楷体"/>
                <w:sz w:val="24"/>
                <w:szCs w:val="24"/>
              </w:rPr>
            </w:pPr>
          </w:p>
        </w:tc>
        <w:tc>
          <w:tcPr>
            <w:tcW w:w="10004" w:type="dxa"/>
            <w:vAlign w:val="center"/>
          </w:tcPr>
          <w:p>
            <w:pPr>
              <w:spacing w:before="120" w:line="360" w:lineRule="auto"/>
              <w:rPr>
                <w:rFonts w:hint="eastAsia" w:ascii="楷体" w:hAnsi="楷体" w:eastAsia="楷体"/>
                <w:sz w:val="24"/>
                <w:szCs w:val="24"/>
                <w:lang w:eastAsia="zh-CN"/>
              </w:rPr>
            </w:pPr>
            <w:r>
              <w:rPr>
                <w:rFonts w:hint="eastAsia" w:ascii="楷体" w:hAnsi="楷体" w:eastAsia="楷体"/>
                <w:sz w:val="24"/>
                <w:szCs w:val="24"/>
              </w:rPr>
              <w:t>审核员：</w:t>
            </w:r>
            <w:r>
              <w:rPr>
                <w:rFonts w:hint="eastAsia" w:ascii="楷体" w:hAnsi="楷体" w:eastAsia="楷体"/>
                <w:sz w:val="24"/>
                <w:szCs w:val="24"/>
                <w:lang w:val="en-US" w:eastAsia="zh-CN"/>
              </w:rPr>
              <w:t>李俐</w:t>
            </w:r>
            <w:r>
              <w:rPr>
                <w:rFonts w:hint="eastAsia" w:ascii="楷体" w:hAnsi="楷体" w:eastAsia="楷体"/>
                <w:sz w:val="24"/>
                <w:szCs w:val="24"/>
              </w:rPr>
              <w:t xml:space="preserve">        审核时间：</w:t>
            </w:r>
            <w:r>
              <w:rPr>
                <w:rFonts w:hint="eastAsia" w:ascii="楷体" w:hAnsi="楷体" w:eastAsia="楷体" w:cs="Times New Roman"/>
                <w:sz w:val="24"/>
                <w:szCs w:val="24"/>
                <w:lang w:val="en-US" w:eastAsia="zh-CN"/>
              </w:rPr>
              <w:t>2020</w:t>
            </w:r>
            <w:r>
              <w:rPr>
                <w:rFonts w:hint="eastAsia" w:ascii="楷体" w:hAnsi="楷体" w:eastAsia="楷体" w:cs="Times New Roman"/>
                <w:sz w:val="24"/>
                <w:szCs w:val="24"/>
              </w:rPr>
              <w:t>.1</w:t>
            </w:r>
            <w:r>
              <w:rPr>
                <w:rFonts w:hint="eastAsia" w:ascii="楷体" w:hAnsi="楷体" w:eastAsia="楷体" w:cs="Times New Roman"/>
                <w:sz w:val="24"/>
                <w:szCs w:val="24"/>
                <w:lang w:val="en-US" w:eastAsia="zh-CN"/>
              </w:rPr>
              <w:t>2</w:t>
            </w:r>
            <w:r>
              <w:rPr>
                <w:rFonts w:hint="eastAsia" w:ascii="楷体" w:hAnsi="楷体" w:eastAsia="楷体" w:cs="Times New Roman"/>
                <w:sz w:val="24"/>
                <w:szCs w:val="24"/>
              </w:rPr>
              <w:t>.1</w:t>
            </w:r>
            <w:r>
              <w:rPr>
                <w:rFonts w:hint="eastAsia" w:ascii="楷体" w:hAnsi="楷体" w:eastAsia="楷体" w:cs="Times New Roman"/>
                <w:sz w:val="24"/>
                <w:szCs w:val="24"/>
                <w:lang w:val="en-US" w:eastAsia="zh-CN"/>
              </w:rPr>
              <w:t>2</w:t>
            </w:r>
          </w:p>
        </w:tc>
        <w:tc>
          <w:tcPr>
            <w:tcW w:w="1585" w:type="dxa"/>
            <w:vMerge w:val="continue"/>
          </w:tcPr>
          <w:p>
            <w:pPr>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09" w:type="dxa"/>
            <w:vMerge w:val="continue"/>
            <w:vAlign w:val="center"/>
          </w:tcPr>
          <w:p>
            <w:pPr>
              <w:spacing w:line="360" w:lineRule="auto"/>
              <w:rPr>
                <w:rFonts w:ascii="楷体" w:hAnsi="楷体" w:eastAsia="楷体"/>
                <w:sz w:val="24"/>
                <w:szCs w:val="24"/>
              </w:rPr>
            </w:pPr>
          </w:p>
        </w:tc>
        <w:tc>
          <w:tcPr>
            <w:tcW w:w="1311" w:type="dxa"/>
            <w:vMerge w:val="continue"/>
            <w:vAlign w:val="center"/>
          </w:tcPr>
          <w:p>
            <w:pPr>
              <w:spacing w:line="360" w:lineRule="auto"/>
              <w:rPr>
                <w:rFonts w:ascii="楷体" w:hAnsi="楷体" w:eastAsia="楷体"/>
                <w:sz w:val="24"/>
                <w:szCs w:val="24"/>
              </w:rPr>
            </w:pPr>
          </w:p>
        </w:tc>
        <w:tc>
          <w:tcPr>
            <w:tcW w:w="10004" w:type="dxa"/>
            <w:vAlign w:val="center"/>
          </w:tcPr>
          <w:p>
            <w:pPr>
              <w:adjustRightInd w:val="0"/>
              <w:snapToGrid w:val="0"/>
              <w:spacing w:line="360" w:lineRule="auto"/>
              <w:ind w:right="105" w:rightChars="50"/>
              <w:jc w:val="left"/>
              <w:textAlignment w:val="baseline"/>
              <w:rPr>
                <w:rFonts w:hint="eastAsia" w:ascii="楷体" w:hAnsi="楷体" w:eastAsia="楷体"/>
                <w:sz w:val="24"/>
                <w:szCs w:val="24"/>
              </w:rPr>
            </w:pPr>
            <w:r>
              <w:rPr>
                <w:rFonts w:hint="eastAsia" w:ascii="楷体" w:hAnsi="楷体" w:eastAsia="楷体"/>
                <w:sz w:val="24"/>
                <w:szCs w:val="24"/>
              </w:rPr>
              <w:t>审核条款：</w:t>
            </w:r>
          </w:p>
          <w:p>
            <w:pPr>
              <w:adjustRightInd w:val="0"/>
              <w:snapToGrid w:val="0"/>
              <w:spacing w:line="360" w:lineRule="auto"/>
              <w:ind w:right="105" w:rightChars="50"/>
              <w:jc w:val="left"/>
              <w:textAlignment w:val="baseline"/>
              <w:rPr>
                <w:rFonts w:ascii="楷体" w:hAnsi="楷体" w:eastAsia="楷体"/>
                <w:sz w:val="24"/>
                <w:szCs w:val="24"/>
              </w:rPr>
            </w:pPr>
            <w:r>
              <w:rPr>
                <w:rFonts w:hint="eastAsia" w:ascii="楷体" w:hAnsi="楷体" w:eastAsia="楷体" w:cs="Arial"/>
                <w:sz w:val="24"/>
                <w:szCs w:val="24"/>
              </w:rPr>
              <w:t>EMS：5.3组织的岗位、职责和权限、6.2环境目标、6.1.2环境因素、8.1运行策划和控制、8.2应急准备和响应，</w:t>
            </w:r>
          </w:p>
        </w:tc>
        <w:tc>
          <w:tcPr>
            <w:tcW w:w="1585" w:type="dxa"/>
            <w:vMerge w:val="continue"/>
          </w:tcPr>
          <w:p>
            <w:pPr>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trPr>
        <w:tc>
          <w:tcPr>
            <w:tcW w:w="1809" w:type="dxa"/>
            <w:vAlign w:val="center"/>
          </w:tcPr>
          <w:p>
            <w:pPr>
              <w:spacing w:line="360" w:lineRule="auto"/>
              <w:rPr>
                <w:rFonts w:ascii="楷体" w:hAnsi="楷体" w:eastAsia="楷体"/>
                <w:sz w:val="24"/>
                <w:szCs w:val="24"/>
              </w:rPr>
            </w:pPr>
            <w:r>
              <w:rPr>
                <w:rFonts w:hint="eastAsia" w:ascii="楷体" w:hAnsi="楷体" w:eastAsia="楷体"/>
                <w:sz w:val="24"/>
                <w:szCs w:val="24"/>
              </w:rPr>
              <w:t>职责权限</w:t>
            </w:r>
          </w:p>
        </w:tc>
        <w:tc>
          <w:tcPr>
            <w:tcW w:w="1311" w:type="dxa"/>
          </w:tcPr>
          <w:p>
            <w:pPr>
              <w:snapToGrid w:val="0"/>
              <w:spacing w:line="360" w:lineRule="auto"/>
              <w:rPr>
                <w:rFonts w:ascii="楷体" w:hAnsi="楷体" w:eastAsia="楷体" w:cs="宋体"/>
                <w:sz w:val="24"/>
                <w:szCs w:val="24"/>
              </w:rPr>
            </w:pPr>
            <w:r>
              <w:rPr>
                <w:rFonts w:hint="eastAsia" w:ascii="楷体" w:hAnsi="楷体" w:eastAsia="楷体" w:cs="宋体"/>
                <w:bCs/>
                <w:sz w:val="24"/>
                <w:szCs w:val="24"/>
              </w:rPr>
              <w:t>E5.3</w:t>
            </w:r>
            <w:r>
              <w:rPr>
                <w:rFonts w:ascii="楷体" w:hAnsi="楷体" w:eastAsia="楷体" w:cs="宋体"/>
                <w:sz w:val="24"/>
                <w:szCs w:val="24"/>
              </w:rPr>
              <w:t xml:space="preserve"> </w:t>
            </w:r>
          </w:p>
        </w:tc>
        <w:tc>
          <w:tcPr>
            <w:tcW w:w="10004" w:type="dxa"/>
          </w:tcPr>
          <w:p>
            <w:pPr>
              <w:spacing w:line="360" w:lineRule="auto"/>
              <w:rPr>
                <w:rFonts w:ascii="楷体" w:hAnsi="楷体" w:eastAsia="楷体"/>
                <w:sz w:val="24"/>
                <w:szCs w:val="24"/>
              </w:rPr>
            </w:pPr>
            <w:r>
              <w:rPr>
                <w:rFonts w:hint="eastAsia" w:ascii="楷体" w:hAnsi="楷体" w:eastAsia="楷体"/>
                <w:sz w:val="24"/>
                <w:szCs w:val="24"/>
              </w:rPr>
              <w:t>询问</w:t>
            </w:r>
            <w:r>
              <w:rPr>
                <w:rFonts w:hint="eastAsia" w:ascii="楷体" w:hAnsi="楷体" w:eastAsia="楷体"/>
                <w:sz w:val="24"/>
                <w:szCs w:val="24"/>
                <w:lang w:eastAsia="zh-CN"/>
              </w:rPr>
              <w:t>生产科</w:t>
            </w:r>
            <w:r>
              <w:rPr>
                <w:rFonts w:hint="eastAsia" w:ascii="楷体" w:hAnsi="楷体" w:eastAsia="楷体"/>
                <w:sz w:val="24"/>
                <w:szCs w:val="24"/>
              </w:rPr>
              <w:t>负责人</w:t>
            </w:r>
            <w:r>
              <w:rPr>
                <w:rFonts w:hint="eastAsia" w:ascii="楷体" w:hAnsi="楷体" w:eastAsia="楷体"/>
                <w:sz w:val="24"/>
                <w:szCs w:val="24"/>
                <w:lang w:val="en-US" w:eastAsia="zh-CN"/>
              </w:rPr>
              <w:t>赵金宝</w:t>
            </w:r>
            <w:r>
              <w:rPr>
                <w:rFonts w:hint="eastAsia" w:ascii="楷体" w:hAnsi="楷体" w:eastAsia="楷体"/>
                <w:sz w:val="24"/>
                <w:szCs w:val="24"/>
              </w:rPr>
              <w:t>，能明确本人在环境管理体系方面的职责：</w:t>
            </w:r>
          </w:p>
          <w:p>
            <w:pPr>
              <w:spacing w:line="360" w:lineRule="auto"/>
              <w:ind w:firstLine="480" w:firstLineChars="200"/>
              <w:rPr>
                <w:rFonts w:hint="eastAsia" w:ascii="楷体" w:hAnsi="楷体" w:eastAsia="楷体"/>
                <w:sz w:val="24"/>
                <w:szCs w:val="24"/>
              </w:rPr>
            </w:pPr>
            <w:r>
              <w:rPr>
                <w:rFonts w:hint="eastAsia" w:ascii="楷体" w:hAnsi="楷体" w:eastAsia="楷体"/>
                <w:sz w:val="24"/>
                <w:szCs w:val="24"/>
              </w:rPr>
              <w:t>部门环境因素识别评价及运行控制</w:t>
            </w:r>
            <w:r>
              <w:rPr>
                <w:rFonts w:hint="eastAsia" w:ascii="楷体" w:hAnsi="楷体" w:eastAsia="楷体"/>
                <w:sz w:val="24"/>
                <w:szCs w:val="24"/>
                <w:lang w:eastAsia="zh-CN"/>
              </w:rPr>
              <w:t>；</w:t>
            </w:r>
            <w:r>
              <w:rPr>
                <w:rFonts w:hint="eastAsia" w:ascii="楷体" w:hAnsi="楷体" w:eastAsia="楷体"/>
                <w:sz w:val="24"/>
                <w:szCs w:val="24"/>
              </w:rPr>
              <w:t>负责生产现场运行控制管理，实施监督和检查</w:t>
            </w:r>
            <w:r>
              <w:rPr>
                <w:rFonts w:hint="eastAsia" w:ascii="楷体" w:hAnsi="楷体" w:eastAsia="楷体"/>
                <w:sz w:val="24"/>
                <w:szCs w:val="24"/>
                <w:lang w:eastAsia="zh-CN"/>
              </w:rPr>
              <w:t>；</w:t>
            </w:r>
            <w:r>
              <w:rPr>
                <w:rFonts w:hint="eastAsia" w:ascii="楷体" w:hAnsi="楷体" w:eastAsia="楷体"/>
                <w:sz w:val="24"/>
                <w:szCs w:val="24"/>
              </w:rPr>
              <w:t>贯彻公司环境管理方针、目标、指标和方案，组织协调生产过程中重要环境因素的有效控制；根据公司生产经营计划合理调度，合理配置动力能源，提高能源利用率；参加环境事件的调查处理工作</w:t>
            </w:r>
            <w:r>
              <w:rPr>
                <w:rFonts w:hint="eastAsia" w:ascii="楷体" w:hAnsi="楷体" w:eastAsia="楷体"/>
                <w:sz w:val="24"/>
                <w:szCs w:val="24"/>
                <w:lang w:eastAsia="zh-CN"/>
              </w:rPr>
              <w:t>；</w:t>
            </w:r>
            <w:r>
              <w:rPr>
                <w:rFonts w:hint="eastAsia" w:ascii="楷体" w:hAnsi="楷体" w:eastAsia="楷体"/>
                <w:sz w:val="24"/>
                <w:szCs w:val="24"/>
              </w:rPr>
              <w:t>负责产品交付与发运过程的环境管理工作</w:t>
            </w:r>
          </w:p>
        </w:tc>
        <w:tc>
          <w:tcPr>
            <w:tcW w:w="1585" w:type="dxa"/>
          </w:tcPr>
          <w:p>
            <w:pPr>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1809" w:type="dxa"/>
            <w:vAlign w:val="center"/>
          </w:tcPr>
          <w:p>
            <w:pPr>
              <w:spacing w:line="360" w:lineRule="auto"/>
              <w:rPr>
                <w:rFonts w:ascii="楷体" w:hAnsi="楷体" w:eastAsia="楷体"/>
                <w:sz w:val="24"/>
                <w:szCs w:val="24"/>
              </w:rPr>
            </w:pPr>
            <w:r>
              <w:rPr>
                <w:rFonts w:hint="eastAsia" w:ascii="楷体" w:hAnsi="楷体" w:eastAsia="楷体"/>
                <w:sz w:val="24"/>
                <w:szCs w:val="24"/>
              </w:rPr>
              <w:t xml:space="preserve">目标 </w:t>
            </w:r>
          </w:p>
        </w:tc>
        <w:tc>
          <w:tcPr>
            <w:tcW w:w="1311" w:type="dxa"/>
            <w:vAlign w:val="center"/>
          </w:tcPr>
          <w:p>
            <w:pPr>
              <w:spacing w:line="360" w:lineRule="auto"/>
              <w:rPr>
                <w:rFonts w:ascii="楷体" w:hAnsi="楷体" w:eastAsia="楷体" w:cs="楷体"/>
                <w:sz w:val="24"/>
                <w:szCs w:val="24"/>
              </w:rPr>
            </w:pPr>
            <w:r>
              <w:rPr>
                <w:rFonts w:hint="eastAsia" w:ascii="楷体" w:hAnsi="楷体" w:eastAsia="楷体" w:cs="楷体"/>
                <w:sz w:val="24"/>
                <w:szCs w:val="24"/>
              </w:rPr>
              <w:t>E6.2</w:t>
            </w:r>
          </w:p>
        </w:tc>
        <w:tc>
          <w:tcPr>
            <w:tcW w:w="10004" w:type="dxa"/>
            <w:vAlign w:val="center"/>
          </w:tcPr>
          <w:p>
            <w:pPr>
              <w:spacing w:line="360" w:lineRule="auto"/>
              <w:rPr>
                <w:rFonts w:hint="eastAsia" w:ascii="楷体" w:hAnsi="楷体" w:eastAsia="楷体" w:cs="楷体"/>
                <w:sz w:val="24"/>
                <w:szCs w:val="24"/>
              </w:rPr>
            </w:pPr>
            <w:r>
              <w:rPr>
                <w:rFonts w:hint="eastAsia" w:ascii="楷体" w:hAnsi="楷体" w:eastAsia="楷体" w:cs="楷体"/>
                <w:sz w:val="24"/>
                <w:szCs w:val="24"/>
              </w:rPr>
              <w:t>部门目标</w:t>
            </w:r>
            <w:r>
              <w:rPr>
                <w:rFonts w:hint="eastAsia" w:ascii="楷体" w:hAnsi="楷体" w:eastAsia="楷体" w:cs="楷体"/>
                <w:sz w:val="24"/>
                <w:szCs w:val="24"/>
                <w:lang w:val="en-US" w:eastAsia="zh-CN"/>
              </w:rPr>
              <w:t>措施</w:t>
            </w:r>
            <w:r>
              <w:rPr>
                <w:rFonts w:hint="eastAsia" w:ascii="楷体" w:hAnsi="楷体" w:eastAsia="楷体" w:cs="楷体"/>
                <w:sz w:val="24"/>
                <w:szCs w:val="24"/>
              </w:rPr>
              <w:t>：</w:t>
            </w:r>
          </w:p>
          <w:tbl>
            <w:tblPr>
              <w:tblStyle w:val="9"/>
              <w:tblW w:w="83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9"/>
              <w:gridCol w:w="4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9" w:type="dxa"/>
                </w:tcPr>
                <w:p>
                  <w:pPr>
                    <w:spacing w:line="240" w:lineRule="auto"/>
                    <w:ind w:firstLine="1260" w:firstLineChars="600"/>
                    <w:rPr>
                      <w:rFonts w:hint="eastAsia" w:ascii="宋体" w:hAnsi="宋体" w:eastAsia="宋体" w:cs="宋体"/>
                      <w:szCs w:val="22"/>
                      <w:lang w:val="en-US" w:eastAsia="zh-CN"/>
                    </w:rPr>
                  </w:pPr>
                  <w:r>
                    <w:rPr>
                      <w:rFonts w:hint="eastAsia" w:ascii="宋体" w:hAnsi="宋体" w:eastAsia="宋体" w:cs="宋体"/>
                      <w:szCs w:val="22"/>
                      <w:lang w:val="en-US" w:eastAsia="zh-CN"/>
                    </w:rPr>
                    <w:t>目标指标</w:t>
                  </w:r>
                </w:p>
              </w:tc>
              <w:tc>
                <w:tcPr>
                  <w:tcW w:w="4170" w:type="dxa"/>
                </w:tcPr>
                <w:p>
                  <w:pPr>
                    <w:spacing w:line="240" w:lineRule="auto"/>
                    <w:ind w:firstLine="840" w:firstLineChars="400"/>
                    <w:rPr>
                      <w:rFonts w:hint="eastAsia" w:ascii="宋体" w:hAnsi="宋体" w:eastAsia="宋体" w:cs="宋体"/>
                      <w:szCs w:val="22"/>
                      <w:lang w:val="en-US" w:eastAsia="zh-CN"/>
                    </w:rPr>
                  </w:pPr>
                  <w:r>
                    <w:rPr>
                      <w:rFonts w:hint="eastAsia" w:ascii="宋体" w:hAnsi="宋体" w:eastAsia="宋体" w:cs="宋体"/>
                      <w:szCs w:val="22"/>
                      <w:lang w:val="en-US" w:eastAsia="zh-CN"/>
                    </w:rPr>
                    <w:t>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9" w:type="dxa"/>
                  <w:vAlign w:val="center"/>
                </w:tcPr>
                <w:p>
                  <w:pPr>
                    <w:spacing w:line="240" w:lineRule="auto"/>
                    <w:jc w:val="left"/>
                    <w:rPr>
                      <w:rFonts w:hint="eastAsia" w:ascii="宋体" w:hAnsi="宋体" w:eastAsia="宋体" w:cs="宋体"/>
                      <w:szCs w:val="22"/>
                      <w:vertAlign w:val="baseline"/>
                      <w:lang w:val="en-US" w:eastAsia="zh-CN"/>
                    </w:rPr>
                  </w:pPr>
                  <w:r>
                    <w:rPr>
                      <w:rFonts w:hint="eastAsia" w:ascii="宋体" w:hAnsi="宋体" w:eastAsia="宋体" w:cs="宋体"/>
                      <w:szCs w:val="22"/>
                      <w:vertAlign w:val="baseline"/>
                      <w:lang w:val="en-US" w:eastAsia="zh-CN"/>
                    </w:rPr>
                    <w:t>安全环保检查整改计划落实率 100%；</w:t>
                  </w:r>
                </w:p>
              </w:tc>
              <w:tc>
                <w:tcPr>
                  <w:tcW w:w="4170" w:type="dxa"/>
                </w:tcPr>
                <w:p>
                  <w:pPr>
                    <w:spacing w:line="240" w:lineRule="auto"/>
                    <w:ind w:firstLine="210" w:firstLineChars="100"/>
                    <w:rPr>
                      <w:rFonts w:hint="eastAsia" w:ascii="宋体" w:hAnsi="宋体" w:eastAsia="宋体" w:cs="宋体"/>
                      <w:szCs w:val="22"/>
                      <w:vertAlign w:val="baseline"/>
                      <w:lang w:val="en-US" w:eastAsia="zh-CN"/>
                    </w:rPr>
                  </w:pPr>
                  <w:r>
                    <w:rPr>
                      <w:rFonts w:hint="eastAsia" w:ascii="宋体" w:hAnsi="宋体" w:eastAsia="宋体" w:cs="宋体"/>
                      <w:szCs w:val="22"/>
                      <w:vertAlign w:val="baseline"/>
                      <w:lang w:val="en-US" w:eastAsia="zh-CN"/>
                    </w:rPr>
                    <w:t>建立整改检查机制</w:t>
                  </w:r>
                </w:p>
                <w:p>
                  <w:pPr>
                    <w:spacing w:line="240" w:lineRule="auto"/>
                    <w:ind w:firstLine="210" w:firstLineChars="100"/>
                    <w:rPr>
                      <w:rFonts w:hint="eastAsia" w:ascii="宋体" w:hAnsi="宋体" w:eastAsia="宋体" w:cs="宋体"/>
                      <w:szCs w:val="22"/>
                      <w:vertAlign w:val="baseline"/>
                      <w:lang w:val="en-US" w:eastAsia="zh-CN"/>
                    </w:rPr>
                  </w:pPr>
                  <w:r>
                    <w:rPr>
                      <w:rFonts w:hint="eastAsia" w:ascii="宋体" w:hAnsi="宋体" w:eastAsia="宋体" w:cs="宋体"/>
                      <w:szCs w:val="22"/>
                      <w:vertAlign w:val="baseline"/>
                      <w:lang w:val="en-US" w:eastAsia="zh-CN"/>
                    </w:rPr>
                    <w:t>制定检查表实时记录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9" w:type="dxa"/>
                  <w:vAlign w:val="center"/>
                </w:tcPr>
                <w:p>
                  <w:pPr>
                    <w:spacing w:line="240" w:lineRule="auto"/>
                    <w:jc w:val="left"/>
                    <w:rPr>
                      <w:rFonts w:hint="eastAsia" w:ascii="宋体" w:hAnsi="宋体" w:eastAsia="宋体" w:cs="宋体"/>
                      <w:szCs w:val="22"/>
                      <w:vertAlign w:val="baseline"/>
                      <w:lang w:val="en-US" w:eastAsia="zh-CN"/>
                    </w:rPr>
                  </w:pPr>
                  <w:r>
                    <w:rPr>
                      <w:rFonts w:hint="eastAsia" w:ascii="宋体" w:hAnsi="宋体" w:eastAsia="宋体" w:cs="宋体"/>
                      <w:szCs w:val="22"/>
                      <w:vertAlign w:val="baseline"/>
                      <w:lang w:val="en-US" w:eastAsia="zh-CN"/>
                    </w:rPr>
                    <w:t>环保设备按期检查率100%；</w:t>
                  </w:r>
                </w:p>
              </w:tc>
              <w:tc>
                <w:tcPr>
                  <w:tcW w:w="4170" w:type="dxa"/>
                </w:tcPr>
                <w:p>
                  <w:pPr>
                    <w:spacing w:line="240" w:lineRule="auto"/>
                    <w:rPr>
                      <w:rFonts w:hint="eastAsia" w:ascii="宋体" w:hAnsi="宋体" w:eastAsia="宋体" w:cs="宋体"/>
                      <w:szCs w:val="22"/>
                      <w:vertAlign w:val="baseline"/>
                      <w:lang w:val="en-US" w:eastAsia="zh-CN"/>
                    </w:rPr>
                  </w:pPr>
                  <w:r>
                    <w:rPr>
                      <w:rFonts w:hint="eastAsia" w:ascii="宋体" w:hAnsi="宋体" w:eastAsia="宋体" w:cs="宋体"/>
                      <w:szCs w:val="22"/>
                      <w:vertAlign w:val="baseline"/>
                      <w:lang w:val="en-US" w:eastAsia="zh-CN"/>
                    </w:rPr>
                    <w:t>制定台账和检查计划</w:t>
                  </w:r>
                </w:p>
                <w:p>
                  <w:pPr>
                    <w:spacing w:line="240" w:lineRule="auto"/>
                    <w:rPr>
                      <w:rFonts w:hint="eastAsia" w:ascii="宋体" w:hAnsi="宋体" w:eastAsia="宋体" w:cs="宋体"/>
                      <w:szCs w:val="22"/>
                      <w:vertAlign w:val="baseline"/>
                      <w:lang w:val="en-US" w:eastAsia="zh-CN"/>
                    </w:rPr>
                  </w:pPr>
                  <w:r>
                    <w:rPr>
                      <w:rFonts w:hint="eastAsia" w:ascii="宋体" w:hAnsi="宋体" w:eastAsia="宋体" w:cs="宋体"/>
                      <w:szCs w:val="22"/>
                      <w:vertAlign w:val="baseline"/>
                      <w:lang w:val="en-US" w:eastAsia="zh-CN"/>
                    </w:rPr>
                    <w:t>专人负责，定期检查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9" w:type="dxa"/>
                  <w:vAlign w:val="center"/>
                </w:tcPr>
                <w:p>
                  <w:pPr>
                    <w:spacing w:line="240" w:lineRule="auto"/>
                    <w:jc w:val="left"/>
                    <w:rPr>
                      <w:rFonts w:hint="eastAsia" w:ascii="宋体" w:hAnsi="宋体" w:eastAsia="宋体" w:cs="宋体"/>
                      <w:szCs w:val="22"/>
                      <w:vertAlign w:val="baseline"/>
                      <w:lang w:val="en-US" w:eastAsia="zh-CN"/>
                    </w:rPr>
                  </w:pPr>
                  <w:r>
                    <w:rPr>
                      <w:rFonts w:hint="eastAsia" w:ascii="宋体" w:hAnsi="宋体" w:eastAsia="宋体" w:cs="宋体"/>
                      <w:szCs w:val="22"/>
                      <w:vertAlign w:val="baseline"/>
                      <w:lang w:val="en-US" w:eastAsia="zh-CN"/>
                    </w:rPr>
                    <w:t>固体废弃物有效处理率为100%；</w:t>
                  </w:r>
                </w:p>
                <w:p>
                  <w:pPr>
                    <w:spacing w:line="240" w:lineRule="auto"/>
                    <w:jc w:val="left"/>
                    <w:rPr>
                      <w:rFonts w:hint="eastAsia" w:ascii="宋体" w:hAnsi="宋体" w:eastAsia="宋体" w:cs="宋体"/>
                      <w:szCs w:val="22"/>
                      <w:vertAlign w:val="baseline"/>
                      <w:lang w:val="en-US" w:eastAsia="zh-CN"/>
                    </w:rPr>
                  </w:pPr>
                </w:p>
              </w:tc>
              <w:tc>
                <w:tcPr>
                  <w:tcW w:w="4170" w:type="dxa"/>
                </w:tcPr>
                <w:p>
                  <w:pPr>
                    <w:spacing w:line="240" w:lineRule="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制定固体废弃物分类标准</w:t>
                  </w:r>
                </w:p>
                <w:p>
                  <w:pPr>
                    <w:spacing w:line="240" w:lineRule="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购置固体废弃物分类存放容器并标识</w:t>
                  </w:r>
                </w:p>
                <w:p>
                  <w:pPr>
                    <w:spacing w:line="240" w:lineRule="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根据分类交由有资质的回收方回收处理。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9" w:type="dxa"/>
                  <w:vAlign w:val="center"/>
                </w:tcPr>
                <w:p>
                  <w:pPr>
                    <w:spacing w:line="240" w:lineRule="auto"/>
                    <w:jc w:val="left"/>
                    <w:rPr>
                      <w:rFonts w:hint="eastAsia" w:ascii="宋体" w:hAnsi="宋体" w:eastAsia="宋体" w:cs="宋体"/>
                      <w:szCs w:val="22"/>
                      <w:vertAlign w:val="baseline"/>
                      <w:lang w:val="en-US" w:eastAsia="zh-CN"/>
                    </w:rPr>
                  </w:pPr>
                  <w:r>
                    <w:rPr>
                      <w:rFonts w:hint="eastAsia" w:ascii="宋体" w:hAnsi="宋体" w:eastAsia="宋体" w:cs="宋体"/>
                      <w:szCs w:val="22"/>
                      <w:vertAlign w:val="baseline"/>
                      <w:lang w:val="en-US" w:eastAsia="zh-CN"/>
                    </w:rPr>
                    <w:t>无环境污染投诉事故；</w:t>
                  </w:r>
                </w:p>
                <w:p>
                  <w:pPr>
                    <w:spacing w:line="240" w:lineRule="auto"/>
                    <w:jc w:val="left"/>
                    <w:rPr>
                      <w:rFonts w:hint="eastAsia" w:ascii="宋体" w:hAnsi="宋体" w:eastAsia="宋体" w:cs="宋体"/>
                      <w:szCs w:val="22"/>
                      <w:vertAlign w:val="baseline"/>
                      <w:lang w:val="en-US" w:eastAsia="zh-CN"/>
                    </w:rPr>
                  </w:pPr>
                </w:p>
              </w:tc>
              <w:tc>
                <w:tcPr>
                  <w:tcW w:w="4170" w:type="dxa"/>
                </w:tcPr>
                <w:p>
                  <w:pPr>
                    <w:spacing w:line="240" w:lineRule="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识别过程环境因素</w:t>
                  </w:r>
                </w:p>
                <w:p>
                  <w:pPr>
                    <w:spacing w:line="240" w:lineRule="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制定防护措施，培训员工</w:t>
                  </w:r>
                </w:p>
                <w:p>
                  <w:pPr>
                    <w:spacing w:line="240" w:lineRule="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安装环保设施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9" w:type="dxa"/>
                  <w:vAlign w:val="center"/>
                </w:tcPr>
                <w:p>
                  <w:pPr>
                    <w:spacing w:line="240" w:lineRule="auto"/>
                    <w:jc w:val="left"/>
                    <w:rPr>
                      <w:rFonts w:hint="eastAsia" w:ascii="宋体" w:hAnsi="宋体" w:eastAsia="宋体" w:cs="宋体"/>
                      <w:szCs w:val="22"/>
                      <w:vertAlign w:val="baseline"/>
                      <w:lang w:val="en-US" w:eastAsia="zh-CN"/>
                    </w:rPr>
                  </w:pPr>
                  <w:r>
                    <w:rPr>
                      <w:rFonts w:hint="eastAsia" w:ascii="宋体" w:hAnsi="宋体" w:eastAsia="宋体" w:cs="宋体"/>
                      <w:szCs w:val="22"/>
                      <w:vertAlign w:val="baseline"/>
                      <w:lang w:val="en-US" w:eastAsia="zh-CN"/>
                    </w:rPr>
                    <w:t>无火灾事故。</w:t>
                  </w:r>
                </w:p>
                <w:p>
                  <w:pPr>
                    <w:spacing w:line="240" w:lineRule="auto"/>
                    <w:jc w:val="left"/>
                    <w:rPr>
                      <w:rFonts w:hint="eastAsia" w:ascii="宋体" w:hAnsi="宋体" w:eastAsia="宋体" w:cs="宋体"/>
                      <w:szCs w:val="22"/>
                      <w:vertAlign w:val="baseline"/>
                      <w:lang w:val="en-US" w:eastAsia="zh-CN"/>
                    </w:rPr>
                  </w:pPr>
                </w:p>
              </w:tc>
              <w:tc>
                <w:tcPr>
                  <w:tcW w:w="4170" w:type="dxa"/>
                </w:tcPr>
                <w:p>
                  <w:pPr>
                    <w:spacing w:line="240" w:lineRule="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建立安全环保检查制度</w:t>
                  </w:r>
                </w:p>
                <w:p>
                  <w:pPr>
                    <w:spacing w:line="240" w:lineRule="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专人负责定期检查，如实记录</w:t>
                  </w:r>
                </w:p>
                <w:p>
                  <w:pPr>
                    <w:spacing w:line="240" w:lineRule="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有效整改不符合项</w:t>
                  </w:r>
                </w:p>
              </w:tc>
            </w:tr>
          </w:tbl>
          <w:p>
            <w:pPr>
              <w:pStyle w:val="2"/>
              <w:rPr>
                <w:rFonts w:hint="eastAsia"/>
                <w:lang w:val="en-US" w:eastAsia="zh-CN"/>
              </w:rPr>
            </w:pPr>
          </w:p>
          <w:p>
            <w:pPr>
              <w:spacing w:line="360" w:lineRule="auto"/>
              <w:rPr>
                <w:rFonts w:hint="eastAsia"/>
                <w:szCs w:val="22"/>
              </w:rPr>
            </w:pPr>
            <w:r>
              <w:rPr>
                <w:rFonts w:hint="eastAsia"/>
                <w:szCs w:val="22"/>
                <w:lang w:val="en-US" w:eastAsia="zh-CN"/>
              </w:rPr>
              <w:t xml:space="preserve"> </w:t>
            </w:r>
            <w:r>
              <w:rPr>
                <w:rFonts w:hint="eastAsia"/>
                <w:szCs w:val="22"/>
              </w:rPr>
              <w:t>查到</w:t>
            </w:r>
            <w:r>
              <w:rPr>
                <w:rFonts w:hint="eastAsia"/>
                <w:szCs w:val="22"/>
                <w:lang w:eastAsia="zh-CN"/>
              </w:rPr>
              <w:t>《</w:t>
            </w:r>
            <w:r>
              <w:rPr>
                <w:rFonts w:hint="eastAsia"/>
                <w:szCs w:val="22"/>
              </w:rPr>
              <w:t>20</w:t>
            </w:r>
            <w:r>
              <w:rPr>
                <w:rFonts w:hint="eastAsia"/>
                <w:szCs w:val="22"/>
                <w:lang w:val="en-US" w:eastAsia="zh-CN"/>
              </w:rPr>
              <w:t>20</w:t>
            </w:r>
            <w:r>
              <w:rPr>
                <w:rFonts w:hint="eastAsia"/>
                <w:szCs w:val="22"/>
              </w:rPr>
              <w:t>年目标指标统计表</w:t>
            </w:r>
            <w:r>
              <w:rPr>
                <w:rFonts w:hint="eastAsia"/>
                <w:szCs w:val="22"/>
                <w:lang w:eastAsia="zh-CN"/>
              </w:rPr>
              <w:t>》</w:t>
            </w:r>
            <w:r>
              <w:rPr>
                <w:rFonts w:hint="eastAsia"/>
                <w:szCs w:val="22"/>
              </w:rPr>
              <w:t>目标完成情况考核表：考核日期：20</w:t>
            </w:r>
            <w:r>
              <w:rPr>
                <w:rFonts w:hint="eastAsia"/>
                <w:szCs w:val="22"/>
                <w:lang w:val="en-US" w:eastAsia="zh-CN"/>
              </w:rPr>
              <w:t>20.</w:t>
            </w:r>
            <w:r>
              <w:rPr>
                <w:rFonts w:hint="eastAsia"/>
                <w:szCs w:val="22"/>
              </w:rPr>
              <w:t>07</w:t>
            </w:r>
            <w:r>
              <w:rPr>
                <w:rFonts w:hint="eastAsia"/>
                <w:szCs w:val="22"/>
                <w:lang w:val="en-US" w:eastAsia="zh-CN"/>
              </w:rPr>
              <w:t>.4</w:t>
            </w:r>
            <w:r>
              <w:rPr>
                <w:rFonts w:hint="eastAsia"/>
                <w:szCs w:val="22"/>
                <w:lang w:eastAsia="zh-CN"/>
              </w:rPr>
              <w:t>，</w:t>
            </w:r>
            <w:r>
              <w:rPr>
                <w:rFonts w:hint="eastAsia"/>
                <w:szCs w:val="22"/>
                <w:lang w:val="en-US" w:eastAsia="zh-CN"/>
              </w:rPr>
              <w:t>生产部</w:t>
            </w:r>
            <w:r>
              <w:rPr>
                <w:rFonts w:hint="eastAsia"/>
                <w:szCs w:val="22"/>
              </w:rPr>
              <w:t>目标</w:t>
            </w:r>
            <w:r>
              <w:rPr>
                <w:rFonts w:hint="eastAsia"/>
                <w:szCs w:val="22"/>
                <w:lang w:val="en-US" w:eastAsia="zh-CN"/>
              </w:rPr>
              <w:t>已</w:t>
            </w:r>
            <w:r>
              <w:rPr>
                <w:rFonts w:hint="eastAsia"/>
                <w:szCs w:val="22"/>
              </w:rPr>
              <w:t>完成，</w:t>
            </w:r>
          </w:p>
          <w:p>
            <w:pPr>
              <w:spacing w:line="360" w:lineRule="auto"/>
              <w:rPr>
                <w:rFonts w:ascii="楷体" w:hAnsi="楷体" w:eastAsia="楷体" w:cs="楷体"/>
                <w:sz w:val="24"/>
                <w:szCs w:val="24"/>
              </w:rPr>
            </w:pPr>
          </w:p>
          <w:tbl>
            <w:tblPr>
              <w:tblStyle w:val="8"/>
              <w:tblW w:w="5670" w:type="dxa"/>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4"/>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3544" w:type="dxa"/>
                  <w:vAlign w:val="center"/>
                </w:tcPr>
                <w:p>
                  <w:pPr>
                    <w:spacing w:line="240" w:lineRule="auto"/>
                    <w:jc w:val="left"/>
                    <w:rPr>
                      <w:rFonts w:ascii="楷体" w:hAnsi="楷体" w:eastAsia="楷体"/>
                      <w:bCs/>
                      <w:color w:val="000000"/>
                      <w:sz w:val="24"/>
                      <w:szCs w:val="24"/>
                    </w:rPr>
                  </w:pPr>
                  <w:r>
                    <w:rPr>
                      <w:rFonts w:hint="eastAsia" w:ascii="宋体" w:hAnsi="宋体" w:eastAsia="宋体" w:cs="宋体"/>
                      <w:szCs w:val="22"/>
                      <w:vertAlign w:val="baseline"/>
                      <w:lang w:val="en-US" w:eastAsia="zh-CN"/>
                    </w:rPr>
                    <w:t>安全环保检查整改计划落实率 100%；</w:t>
                  </w:r>
                </w:p>
              </w:tc>
              <w:tc>
                <w:tcPr>
                  <w:tcW w:w="2126" w:type="dxa"/>
                  <w:vAlign w:val="center"/>
                </w:tcPr>
                <w:p>
                  <w:pPr>
                    <w:spacing w:line="240" w:lineRule="auto"/>
                    <w:jc w:val="center"/>
                    <w:rPr>
                      <w:rFonts w:hint="eastAsia" w:ascii="宋体" w:hAnsi="宋体" w:eastAsia="宋体" w:cs="宋体"/>
                      <w:szCs w:val="22"/>
                      <w:vertAlign w:val="baseline"/>
                      <w:lang w:val="en-US" w:eastAsia="zh-CN"/>
                    </w:rPr>
                  </w:pPr>
                  <w:r>
                    <w:rPr>
                      <w:rFonts w:hint="eastAsia" w:ascii="宋体" w:hAnsi="宋体" w:eastAsia="宋体" w:cs="宋体"/>
                      <w:szCs w:val="22"/>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3544" w:type="dxa"/>
                  <w:vAlign w:val="center"/>
                </w:tcPr>
                <w:p>
                  <w:pPr>
                    <w:spacing w:line="240" w:lineRule="auto"/>
                    <w:jc w:val="left"/>
                    <w:rPr>
                      <w:rFonts w:ascii="楷体" w:hAnsi="楷体" w:eastAsia="楷体"/>
                      <w:bCs/>
                      <w:color w:val="000000"/>
                      <w:sz w:val="24"/>
                      <w:szCs w:val="24"/>
                    </w:rPr>
                  </w:pPr>
                  <w:r>
                    <w:rPr>
                      <w:rFonts w:hint="eastAsia" w:ascii="宋体" w:hAnsi="宋体" w:eastAsia="宋体" w:cs="宋体"/>
                      <w:szCs w:val="22"/>
                      <w:vertAlign w:val="baseline"/>
                      <w:lang w:val="en-US" w:eastAsia="zh-CN"/>
                    </w:rPr>
                    <w:t>环保设备按期检查率</w:t>
                  </w:r>
                </w:p>
              </w:tc>
              <w:tc>
                <w:tcPr>
                  <w:tcW w:w="2126" w:type="dxa"/>
                  <w:vAlign w:val="center"/>
                </w:tcPr>
                <w:p>
                  <w:pPr>
                    <w:spacing w:line="240" w:lineRule="auto"/>
                    <w:jc w:val="center"/>
                    <w:rPr>
                      <w:rFonts w:hint="eastAsia" w:ascii="宋体" w:hAnsi="宋体" w:eastAsia="宋体" w:cs="宋体"/>
                      <w:szCs w:val="22"/>
                      <w:vertAlign w:val="baseline"/>
                      <w:lang w:val="en-US" w:eastAsia="zh-CN"/>
                    </w:rPr>
                  </w:pPr>
                  <w:r>
                    <w:rPr>
                      <w:rFonts w:hint="eastAsia" w:ascii="宋体" w:hAnsi="宋体" w:eastAsia="宋体" w:cs="宋体"/>
                      <w:szCs w:val="22"/>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3544" w:type="dxa"/>
                  <w:vAlign w:val="center"/>
                </w:tcPr>
                <w:p>
                  <w:pPr>
                    <w:spacing w:line="240" w:lineRule="auto"/>
                    <w:jc w:val="left"/>
                    <w:rPr>
                      <w:rFonts w:hint="eastAsia" w:ascii="宋体" w:hAnsi="宋体" w:eastAsia="宋体" w:cs="宋体"/>
                      <w:szCs w:val="22"/>
                      <w:vertAlign w:val="baseline"/>
                      <w:lang w:val="en-US" w:eastAsia="zh-CN"/>
                    </w:rPr>
                  </w:pPr>
                  <w:r>
                    <w:rPr>
                      <w:rFonts w:hint="eastAsia" w:ascii="宋体" w:hAnsi="宋体" w:eastAsia="宋体" w:cs="宋体"/>
                      <w:szCs w:val="22"/>
                      <w:vertAlign w:val="baseline"/>
                      <w:lang w:val="en-US" w:eastAsia="zh-CN"/>
                    </w:rPr>
                    <w:t>固体废弃物有效处理率为100%；</w:t>
                  </w:r>
                </w:p>
                <w:p>
                  <w:pPr>
                    <w:spacing w:line="240" w:lineRule="auto"/>
                    <w:jc w:val="left"/>
                    <w:rPr>
                      <w:rFonts w:ascii="楷体" w:hAnsi="楷体" w:eastAsia="楷体" w:cs="Times New Roman"/>
                      <w:bCs/>
                      <w:color w:val="000000"/>
                      <w:kern w:val="2"/>
                    </w:rPr>
                  </w:pPr>
                </w:p>
              </w:tc>
              <w:tc>
                <w:tcPr>
                  <w:tcW w:w="2126" w:type="dxa"/>
                  <w:vAlign w:val="center"/>
                </w:tcPr>
                <w:p>
                  <w:pPr>
                    <w:spacing w:line="240" w:lineRule="auto"/>
                    <w:jc w:val="center"/>
                    <w:rPr>
                      <w:rFonts w:hint="eastAsia" w:ascii="宋体" w:hAnsi="宋体" w:eastAsia="宋体" w:cs="宋体"/>
                      <w:szCs w:val="22"/>
                      <w:vertAlign w:val="baseline"/>
                      <w:lang w:val="en-US" w:eastAsia="zh-CN"/>
                    </w:rPr>
                  </w:pPr>
                  <w:r>
                    <w:rPr>
                      <w:rFonts w:hint="eastAsia" w:ascii="宋体" w:hAnsi="宋体" w:eastAsia="宋体" w:cs="宋体"/>
                      <w:szCs w:val="22"/>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3544" w:type="dxa"/>
                  <w:vAlign w:val="center"/>
                </w:tcPr>
                <w:p>
                  <w:pPr>
                    <w:spacing w:line="240" w:lineRule="auto"/>
                    <w:jc w:val="left"/>
                    <w:rPr>
                      <w:rFonts w:hint="eastAsia" w:ascii="宋体" w:hAnsi="宋体" w:eastAsia="宋体" w:cs="宋体"/>
                      <w:szCs w:val="22"/>
                      <w:vertAlign w:val="baseline"/>
                      <w:lang w:val="en-US" w:eastAsia="zh-CN"/>
                    </w:rPr>
                  </w:pPr>
                  <w:r>
                    <w:rPr>
                      <w:rFonts w:hint="eastAsia" w:ascii="宋体" w:hAnsi="宋体" w:eastAsia="宋体" w:cs="宋体"/>
                      <w:szCs w:val="22"/>
                      <w:vertAlign w:val="baseline"/>
                      <w:lang w:val="en-US" w:eastAsia="zh-CN"/>
                    </w:rPr>
                    <w:t>无环境污染投诉事故；</w:t>
                  </w:r>
                </w:p>
                <w:p>
                  <w:pPr>
                    <w:spacing w:line="240" w:lineRule="auto"/>
                    <w:jc w:val="left"/>
                    <w:rPr>
                      <w:rFonts w:ascii="楷体" w:hAnsi="楷体" w:eastAsia="楷体" w:cs="Times New Roman"/>
                      <w:bCs/>
                      <w:color w:val="000000"/>
                      <w:kern w:val="2"/>
                    </w:rPr>
                  </w:pPr>
                </w:p>
              </w:tc>
              <w:tc>
                <w:tcPr>
                  <w:tcW w:w="2126" w:type="dxa"/>
                  <w:vAlign w:val="center"/>
                </w:tcPr>
                <w:p>
                  <w:pPr>
                    <w:spacing w:line="240" w:lineRule="auto"/>
                    <w:jc w:val="center"/>
                    <w:rPr>
                      <w:rFonts w:hint="eastAsia" w:ascii="宋体" w:hAnsi="宋体" w:eastAsia="宋体" w:cs="宋体"/>
                      <w:szCs w:val="22"/>
                      <w:vertAlign w:val="baseline"/>
                      <w:lang w:val="en-US" w:eastAsia="zh-CN"/>
                    </w:rPr>
                  </w:pPr>
                  <w:r>
                    <w:rPr>
                      <w:rFonts w:hint="eastAsia" w:ascii="宋体" w:hAnsi="宋体" w:eastAsia="宋体" w:cs="宋体"/>
                      <w:szCs w:val="2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3544" w:type="dxa"/>
                  <w:vAlign w:val="center"/>
                </w:tcPr>
                <w:p>
                  <w:pPr>
                    <w:spacing w:line="240" w:lineRule="auto"/>
                    <w:jc w:val="left"/>
                    <w:rPr>
                      <w:rFonts w:hint="eastAsia" w:ascii="宋体" w:hAnsi="宋体" w:eastAsia="宋体" w:cs="宋体"/>
                      <w:szCs w:val="22"/>
                      <w:vertAlign w:val="baseline"/>
                      <w:lang w:val="en-US" w:eastAsia="zh-CN"/>
                    </w:rPr>
                  </w:pPr>
                  <w:r>
                    <w:rPr>
                      <w:rFonts w:hint="eastAsia" w:ascii="宋体" w:hAnsi="宋体" w:eastAsia="宋体" w:cs="宋体"/>
                      <w:szCs w:val="22"/>
                      <w:vertAlign w:val="baseline"/>
                      <w:lang w:val="en-US" w:eastAsia="zh-CN"/>
                    </w:rPr>
                    <w:t>无火灾事故。</w:t>
                  </w:r>
                </w:p>
                <w:p>
                  <w:pPr>
                    <w:spacing w:line="240" w:lineRule="auto"/>
                    <w:jc w:val="left"/>
                    <w:rPr>
                      <w:rFonts w:hint="eastAsia" w:ascii="楷体" w:hAnsi="楷体" w:eastAsia="楷体" w:cs="Times New Roman"/>
                      <w:bCs/>
                      <w:color w:val="000000"/>
                      <w:kern w:val="2"/>
                    </w:rPr>
                  </w:pPr>
                </w:p>
              </w:tc>
              <w:tc>
                <w:tcPr>
                  <w:tcW w:w="2126" w:type="dxa"/>
                  <w:vAlign w:val="center"/>
                </w:tcPr>
                <w:p>
                  <w:pPr>
                    <w:spacing w:line="240" w:lineRule="auto"/>
                    <w:jc w:val="center"/>
                    <w:rPr>
                      <w:rFonts w:hint="eastAsia" w:ascii="宋体" w:hAnsi="宋体" w:eastAsia="宋体" w:cs="宋体"/>
                      <w:szCs w:val="22"/>
                      <w:vertAlign w:val="baseline"/>
                      <w:lang w:val="en-US" w:eastAsia="zh-CN"/>
                    </w:rPr>
                  </w:pPr>
                  <w:r>
                    <w:rPr>
                      <w:rFonts w:hint="eastAsia" w:ascii="宋体" w:hAnsi="宋体" w:cs="宋体"/>
                      <w:szCs w:val="22"/>
                      <w:vertAlign w:val="baseline"/>
                      <w:lang w:val="en-US" w:eastAsia="zh-CN"/>
                    </w:rPr>
                    <w:t>0</w:t>
                  </w:r>
                </w:p>
              </w:tc>
            </w:tr>
          </w:tbl>
          <w:p>
            <w:pPr>
              <w:spacing w:line="360" w:lineRule="auto"/>
              <w:rPr>
                <w:rFonts w:hint="eastAsia" w:ascii="楷体" w:hAnsi="楷体" w:eastAsia="楷体" w:cs="楷体"/>
                <w:sz w:val="24"/>
                <w:szCs w:val="24"/>
              </w:rPr>
            </w:pPr>
            <w:r>
              <w:rPr>
                <w:rFonts w:hint="eastAsia" w:ascii="楷体" w:hAnsi="楷体" w:eastAsia="楷体" w:cs="楷体"/>
                <w:sz w:val="24"/>
                <w:szCs w:val="24"/>
              </w:rPr>
              <w:t xml:space="preserve"> </w:t>
            </w:r>
          </w:p>
        </w:tc>
        <w:tc>
          <w:tcPr>
            <w:tcW w:w="1585" w:type="dxa"/>
          </w:tcPr>
          <w:p>
            <w:pPr>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809" w:type="dxa"/>
          </w:tcPr>
          <w:p>
            <w:pPr>
              <w:spacing w:line="360" w:lineRule="auto"/>
              <w:rPr>
                <w:rFonts w:ascii="楷体" w:hAnsi="楷体" w:eastAsia="楷体" w:cs="宋体"/>
                <w:sz w:val="24"/>
                <w:szCs w:val="24"/>
              </w:rPr>
            </w:pPr>
            <w:r>
              <w:rPr>
                <w:rFonts w:hint="eastAsia" w:ascii="楷体" w:hAnsi="楷体" w:eastAsia="楷体"/>
                <w:bCs/>
                <w:sz w:val="24"/>
                <w:szCs w:val="24"/>
              </w:rPr>
              <w:t>环境因素</w:t>
            </w:r>
          </w:p>
        </w:tc>
        <w:tc>
          <w:tcPr>
            <w:tcW w:w="1311" w:type="dxa"/>
          </w:tcPr>
          <w:p>
            <w:pPr>
              <w:spacing w:line="360" w:lineRule="auto"/>
              <w:rPr>
                <w:rFonts w:ascii="楷体" w:hAnsi="楷体" w:eastAsia="楷体" w:cs="宋体"/>
                <w:sz w:val="24"/>
                <w:szCs w:val="24"/>
              </w:rPr>
            </w:pPr>
            <w:r>
              <w:rPr>
                <w:rFonts w:hint="eastAsia" w:ascii="楷体" w:hAnsi="楷体" w:eastAsia="楷体"/>
                <w:bCs/>
                <w:sz w:val="24"/>
                <w:szCs w:val="24"/>
              </w:rPr>
              <w:t>E6.1.2</w:t>
            </w:r>
          </w:p>
        </w:tc>
        <w:tc>
          <w:tcPr>
            <w:tcW w:w="10004" w:type="dxa"/>
          </w:tcPr>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部门负责人介绍识别环境因素时考虑了三种时态，过去、现在和将来，三种状态，正常、异常和紧急，按照办公过程及生产过程等进行了辨识。</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查《环境因素识别评价汇总表》，对本部门生产和办公等有关过程的环境因素。</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lang w:val="en-US" w:eastAsia="zh-CN"/>
              </w:rPr>
              <w:t>生产</w:t>
            </w:r>
            <w:r>
              <w:rPr>
                <w:rFonts w:hint="eastAsia" w:ascii="楷体" w:hAnsi="楷体" w:eastAsia="楷体" w:cs="楷体"/>
                <w:sz w:val="24"/>
                <w:szCs w:val="24"/>
              </w:rPr>
              <w:t>过程中的油品泄漏油、品更换、含油手套、抹布、产品生锈腐蚀、固废（</w:t>
            </w:r>
            <w:r>
              <w:rPr>
                <w:rFonts w:hint="eastAsia" w:ascii="楷体" w:hAnsi="楷体" w:eastAsia="楷体" w:cs="楷体"/>
                <w:sz w:val="24"/>
                <w:szCs w:val="24"/>
                <w:lang w:val="en-US" w:eastAsia="zh-CN"/>
              </w:rPr>
              <w:t>铁屑、边角料、不合格工件、收集的抛丸粉尘、废机油、生活垃圾等</w:t>
            </w:r>
            <w:r>
              <w:rPr>
                <w:rFonts w:hint="eastAsia" w:ascii="楷体" w:hAnsi="楷体" w:eastAsia="楷体" w:cs="楷体"/>
                <w:sz w:val="24"/>
                <w:szCs w:val="24"/>
              </w:rPr>
              <w:t>）造成的土壤污染、水资源消耗、电能消耗、意外火灾引起的污染大气、生产过程（噪声排放、火灾、电能消耗、废气排放、废水排放）、设备维修（废弃丢弃、漏油）等环境因素。</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查到：《重要环境因素清单》，公司涉及重要环境因素：设备噪声排放、生产过程中粉尘废气的产生、工作服、手套、工具、下脚料等固体废物的排放、生活和生产废水排放、化学品的泄漏、润滑油的跑冒滴漏、火灾事故的发生等，本部门涉及的重要环境因素：均有涉及。</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lang w:eastAsia="zh-TW"/>
              </w:rPr>
              <w:t>对于</w:t>
            </w:r>
            <w:r>
              <w:rPr>
                <w:rFonts w:hint="eastAsia" w:ascii="楷体" w:hAnsi="楷体" w:eastAsia="楷体" w:cs="楷体"/>
                <w:sz w:val="24"/>
                <w:szCs w:val="24"/>
              </w:rPr>
              <w:t>环境因素主要通过运行控制、管理方案、加装废气处理设施、应急准备与响应进行控制。</w:t>
            </w:r>
          </w:p>
          <w:p>
            <w:pPr>
              <w:spacing w:line="360" w:lineRule="auto"/>
              <w:rPr>
                <w:rFonts w:ascii="楷体" w:hAnsi="楷体" w:eastAsia="楷体" w:cs="宋体"/>
                <w:sz w:val="24"/>
                <w:szCs w:val="24"/>
              </w:rPr>
            </w:pPr>
            <w:r>
              <w:rPr>
                <w:rFonts w:hint="eastAsia" w:ascii="楷体" w:hAnsi="楷体" w:eastAsia="楷体" w:cs="楷体"/>
                <w:sz w:val="24"/>
                <w:szCs w:val="24"/>
                <w:lang w:eastAsia="zh-CN"/>
              </w:rPr>
              <w:t>生产科</w:t>
            </w:r>
            <w:r>
              <w:rPr>
                <w:rFonts w:hint="eastAsia" w:ascii="楷体" w:hAnsi="楷体" w:eastAsia="楷体" w:cs="楷体"/>
                <w:sz w:val="24"/>
                <w:szCs w:val="24"/>
              </w:rPr>
              <w:t>环境因素识别、评价基本符合标准要求。</w:t>
            </w:r>
          </w:p>
        </w:tc>
        <w:tc>
          <w:tcPr>
            <w:tcW w:w="1585" w:type="dxa"/>
          </w:tcPr>
          <w:p>
            <w:pPr>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809" w:type="dxa"/>
          </w:tcPr>
          <w:p>
            <w:pPr>
              <w:spacing w:line="360" w:lineRule="auto"/>
              <w:rPr>
                <w:rFonts w:ascii="楷体" w:hAnsi="楷体" w:eastAsia="楷体" w:cs="宋体"/>
                <w:sz w:val="24"/>
                <w:szCs w:val="24"/>
              </w:rPr>
            </w:pPr>
            <w:r>
              <w:rPr>
                <w:rFonts w:hint="eastAsia" w:ascii="楷体" w:hAnsi="楷体" w:eastAsia="楷体"/>
                <w:bCs/>
                <w:sz w:val="24"/>
                <w:szCs w:val="24"/>
              </w:rPr>
              <w:t>运行控制</w:t>
            </w:r>
          </w:p>
        </w:tc>
        <w:tc>
          <w:tcPr>
            <w:tcW w:w="1311" w:type="dxa"/>
          </w:tcPr>
          <w:p>
            <w:pPr>
              <w:spacing w:line="360" w:lineRule="auto"/>
              <w:rPr>
                <w:rFonts w:ascii="楷体" w:hAnsi="楷体" w:eastAsia="楷体" w:cs="宋体"/>
                <w:sz w:val="24"/>
                <w:szCs w:val="24"/>
              </w:rPr>
            </w:pPr>
            <w:r>
              <w:rPr>
                <w:rFonts w:hint="eastAsia" w:ascii="楷体" w:hAnsi="楷体" w:eastAsia="楷体"/>
                <w:bCs/>
                <w:sz w:val="24"/>
                <w:szCs w:val="24"/>
              </w:rPr>
              <w:t>E8.1</w:t>
            </w:r>
          </w:p>
        </w:tc>
        <w:tc>
          <w:tcPr>
            <w:tcW w:w="10004" w:type="dxa"/>
          </w:tcPr>
          <w:p>
            <w:pPr>
              <w:spacing w:line="360" w:lineRule="auto"/>
              <w:ind w:firstLine="421"/>
              <w:rPr>
                <w:rFonts w:ascii="楷体" w:hAnsi="楷体" w:eastAsia="楷体" w:cs="宋体"/>
                <w:sz w:val="24"/>
                <w:szCs w:val="24"/>
              </w:rPr>
            </w:pPr>
            <w:r>
              <w:rPr>
                <w:rFonts w:hint="eastAsia" w:ascii="楷体" w:hAnsi="楷体" w:eastAsia="楷体" w:cs="宋体"/>
                <w:sz w:val="24"/>
                <w:szCs w:val="24"/>
              </w:rPr>
              <w:t>编制与环境管理体系运行控制有关的文件有</w:t>
            </w:r>
            <w:r>
              <w:rPr>
                <w:rFonts w:hint="eastAsia" w:ascii="楷体" w:hAnsi="楷体" w:eastAsia="楷体" w:cs="SimSun-Identity-H"/>
                <w:sz w:val="24"/>
                <w:szCs w:val="24"/>
              </w:rPr>
              <w:t>《环境管理控制程序》、《固体废弃物污染防治控制程序》、《废水污染防治控制程序》、《废气防治污染控制程序》、《噪声防治污染控制程序》、《能源资源管理控制程序》、《危险化学品管理控制程序》、《环保设备设施运行控制程序》</w:t>
            </w:r>
            <w:r>
              <w:rPr>
                <w:rFonts w:hint="eastAsia" w:ascii="楷体" w:hAnsi="楷体" w:eastAsia="楷体" w:cs="宋体"/>
                <w:sz w:val="24"/>
                <w:szCs w:val="24"/>
              </w:rPr>
              <w:t>、《</w:t>
            </w:r>
            <w:r>
              <w:rPr>
                <w:rFonts w:hint="eastAsia" w:ascii="楷体" w:hAnsi="楷体" w:eastAsia="楷体" w:cs="楷体"/>
                <w:sz w:val="24"/>
                <w:szCs w:val="24"/>
              </w:rPr>
              <w:t>应急预案》</w:t>
            </w:r>
            <w:r>
              <w:rPr>
                <w:rFonts w:hint="eastAsia" w:ascii="楷体" w:hAnsi="楷体" w:eastAsia="楷体" w:cs="宋体"/>
                <w:sz w:val="24"/>
                <w:szCs w:val="24"/>
              </w:rPr>
              <w:t>等。</w:t>
            </w:r>
          </w:p>
          <w:p>
            <w:pPr>
              <w:numPr>
                <w:ilvl w:val="0"/>
                <w:numId w:val="1"/>
              </w:numPr>
              <w:spacing w:line="360" w:lineRule="auto"/>
              <w:ind w:firstLine="421"/>
              <w:rPr>
                <w:rFonts w:hint="eastAsia" w:ascii="楷体" w:hAnsi="楷体" w:eastAsia="楷体" w:cs="宋体"/>
                <w:sz w:val="24"/>
                <w:szCs w:val="24"/>
              </w:rPr>
            </w:pPr>
            <w:r>
              <w:rPr>
                <w:rFonts w:hint="eastAsia" w:ascii="楷体" w:hAnsi="楷体" w:eastAsia="楷体" w:cs="宋体"/>
                <w:sz w:val="24"/>
                <w:szCs w:val="24"/>
              </w:rPr>
              <w:t>废水管控：</w:t>
            </w:r>
            <w:r>
              <w:rPr>
                <w:rFonts w:hint="eastAsia" w:ascii="楷体" w:hAnsi="楷体" w:eastAsia="楷体" w:cs="宋体"/>
                <w:sz w:val="24"/>
                <w:szCs w:val="24"/>
                <w:lang w:val="en-US" w:eastAsia="zh-CN"/>
              </w:rPr>
              <w:t>企业生产无废水，洗手废水用于洒水抑尘，</w:t>
            </w:r>
            <w:r>
              <w:rPr>
                <w:rFonts w:hint="eastAsia" w:ascii="楷体" w:hAnsi="楷体" w:eastAsia="楷体" w:cs="宋体"/>
                <w:sz w:val="24"/>
                <w:szCs w:val="24"/>
              </w:rPr>
              <w:t>生产区设置旱厕，人工粪便由周边农户定期清掏用于周边耕地施肥。</w:t>
            </w:r>
          </w:p>
          <w:p>
            <w:pPr>
              <w:spacing w:line="360" w:lineRule="auto"/>
              <w:ind w:firstLine="421"/>
              <w:rPr>
                <w:rFonts w:hint="eastAsia" w:ascii="楷体" w:hAnsi="楷体" w:eastAsia="楷体" w:cs="宋体"/>
                <w:sz w:val="24"/>
                <w:szCs w:val="24"/>
              </w:rPr>
            </w:pPr>
            <w:r>
              <w:rPr>
                <w:rFonts w:hint="eastAsia" w:ascii="楷体" w:hAnsi="楷体" w:eastAsia="楷体" w:cs="宋体"/>
                <w:sz w:val="24"/>
                <w:szCs w:val="24"/>
              </w:rPr>
              <w:t>2、废气管控：</w:t>
            </w:r>
          </w:p>
          <w:p>
            <w:pPr>
              <w:spacing w:line="360" w:lineRule="auto"/>
              <w:ind w:firstLine="421"/>
              <w:rPr>
                <w:rFonts w:hint="eastAsia" w:ascii="楷体" w:hAnsi="楷体" w:eastAsia="楷体" w:cs="宋体"/>
                <w:sz w:val="24"/>
                <w:szCs w:val="24"/>
                <w:lang w:val="en-US" w:eastAsia="zh-CN"/>
              </w:rPr>
            </w:pPr>
            <w:r>
              <w:rPr>
                <w:rFonts w:hint="eastAsia" w:ascii="楷体" w:hAnsi="楷体" w:eastAsia="楷体" w:cs="宋体"/>
                <w:sz w:val="24"/>
                <w:szCs w:val="24"/>
                <w:lang w:val="en-US" w:eastAsia="zh-CN"/>
              </w:rPr>
              <w:t>抛丸粉尘</w:t>
            </w:r>
            <w:r>
              <w:rPr>
                <w:rFonts w:hint="eastAsia" w:ascii="楷体" w:hAnsi="楷体" w:eastAsia="楷体" w:cs="宋体"/>
                <w:sz w:val="24"/>
                <w:szCs w:val="24"/>
              </w:rPr>
              <w:t>，由风机引至自带布袋除尘器处理后由不低于满15m排气筒排放:做好抛丸车间内的通风工作，保证车间内通风换气达6次</w:t>
            </w:r>
            <w:r>
              <w:rPr>
                <w:rFonts w:hint="eastAsia" w:ascii="楷体" w:hAnsi="楷体" w:eastAsia="楷体" w:cs="宋体"/>
                <w:sz w:val="24"/>
                <w:szCs w:val="24"/>
                <w:lang w:val="en-US" w:eastAsia="zh-CN"/>
              </w:rPr>
              <w:t>/</w:t>
            </w:r>
            <w:r>
              <w:rPr>
                <w:rFonts w:hint="eastAsia" w:ascii="楷体" w:hAnsi="楷体" w:eastAsia="楷体" w:cs="宋体"/>
                <w:sz w:val="24"/>
                <w:szCs w:val="24"/>
              </w:rPr>
              <w:t>h以上</w:t>
            </w:r>
            <w:r>
              <w:rPr>
                <w:rFonts w:hint="eastAsia" w:ascii="楷体" w:hAnsi="楷体" w:eastAsia="楷体" w:cs="宋体"/>
                <w:sz w:val="24"/>
                <w:szCs w:val="24"/>
                <w:lang w:val="en-US" w:eastAsia="zh-CN"/>
              </w:rPr>
              <w:t>。经检测满足《大气污染物综合排放标准》(GB16297-1996)相关指标要求。</w:t>
            </w:r>
          </w:p>
          <w:p>
            <w:pPr>
              <w:pStyle w:val="2"/>
              <w:spacing w:line="360" w:lineRule="auto"/>
              <w:ind w:firstLine="480" w:firstLineChars="200"/>
              <w:jc w:val="left"/>
              <w:rPr>
                <w:rFonts w:hint="default"/>
                <w:lang w:val="en-US" w:eastAsia="zh-CN"/>
              </w:rPr>
            </w:pPr>
            <w:r>
              <w:rPr>
                <w:rFonts w:hint="eastAsia" w:ascii="楷体" w:hAnsi="楷体" w:eastAsia="楷体" w:cs="宋体"/>
                <w:sz w:val="24"/>
                <w:szCs w:val="24"/>
                <w:lang w:val="en-US" w:eastAsia="zh-CN"/>
              </w:rPr>
              <w:t>厨房油烟废气经最低去除效率大于60％的油烟净化设施处理后由附壁烟囱通至房顶排放，最终排放浓度为051mgm3＜2mgm3，满足《饮食业油烟排放标准(试行)》(GB18483-2001)标准要求。另外，排油烟气简应设置成附壁烟，通至厨房房顶排放。排气口高度必须高于周围10m半径范围内建筑高度1m以上，油烟废气对周边大气环境影响较小。</w:t>
            </w:r>
          </w:p>
          <w:p>
            <w:pPr>
              <w:spacing w:line="360" w:lineRule="auto"/>
              <w:rPr>
                <w:rFonts w:hint="eastAsia" w:ascii="楷体" w:hAnsi="楷体" w:eastAsia="楷体" w:cs="宋体"/>
                <w:sz w:val="24"/>
                <w:szCs w:val="24"/>
              </w:rPr>
            </w:pPr>
            <w:r>
              <w:rPr>
                <w:rFonts w:hint="eastAsia" w:ascii="楷体" w:hAnsi="楷体" w:eastAsia="楷体" w:cs="宋体"/>
                <w:sz w:val="24"/>
                <w:szCs w:val="24"/>
              </w:rPr>
              <w:t>经无组织废气监测符合排放标准要求。</w:t>
            </w:r>
          </w:p>
          <w:p>
            <w:pPr>
              <w:spacing w:line="360" w:lineRule="auto"/>
              <w:ind w:firstLine="421"/>
              <w:rPr>
                <w:rFonts w:hint="eastAsia" w:ascii="楷体" w:hAnsi="楷体" w:eastAsia="楷体" w:cs="宋体"/>
                <w:sz w:val="24"/>
                <w:szCs w:val="24"/>
              </w:rPr>
            </w:pPr>
            <w:r>
              <w:rPr>
                <w:rFonts w:hint="eastAsia" w:ascii="楷体" w:hAnsi="楷体" w:eastAsia="楷体" w:cs="宋体"/>
                <w:sz w:val="24"/>
                <w:szCs w:val="24"/>
              </w:rPr>
              <w:t>3、噪声管控：</w:t>
            </w:r>
          </w:p>
          <w:p>
            <w:pPr>
              <w:spacing w:line="360" w:lineRule="auto"/>
              <w:ind w:firstLine="421"/>
              <w:rPr>
                <w:rFonts w:hint="eastAsia" w:ascii="楷体" w:hAnsi="楷体" w:eastAsia="楷体" w:cs="宋体"/>
                <w:sz w:val="24"/>
                <w:szCs w:val="24"/>
                <w:lang w:eastAsia="zh-CN"/>
              </w:rPr>
            </w:pPr>
            <w:r>
              <w:rPr>
                <w:rFonts w:hint="eastAsia" w:ascii="楷体" w:hAnsi="楷体" w:eastAsia="楷体" w:cs="宋体"/>
                <w:sz w:val="24"/>
                <w:szCs w:val="24"/>
              </w:rPr>
              <w:t>项目投入使用后噪声主要为抛丸机、中频炉、正火炉、车床、辗环机、空压机、棒料剪断机等设备运行时产生的噪声</w:t>
            </w:r>
            <w:r>
              <w:rPr>
                <w:rFonts w:hint="eastAsia" w:ascii="楷体" w:hAnsi="楷体" w:eastAsia="楷体" w:cs="宋体"/>
                <w:sz w:val="24"/>
                <w:szCs w:val="24"/>
                <w:lang w:eastAsia="zh-CN"/>
              </w:rPr>
              <w:t>，</w:t>
            </w:r>
            <w:r>
              <w:rPr>
                <w:rFonts w:hint="eastAsia" w:ascii="楷体" w:hAnsi="楷体" w:eastAsia="楷体" w:cs="宋体"/>
                <w:sz w:val="24"/>
                <w:szCs w:val="24"/>
              </w:rPr>
              <w:t>由监测结果可知，现有企业各侧厂界昼夜间噪声现状监测值均能达到《工业企业厂界环境噪声排放标准》(GB12348-2008)中的2类区标准</w:t>
            </w:r>
            <w:r>
              <w:rPr>
                <w:rFonts w:hint="eastAsia" w:ascii="楷体" w:hAnsi="楷体" w:eastAsia="楷体" w:cs="宋体"/>
                <w:sz w:val="24"/>
                <w:szCs w:val="24"/>
                <w:lang w:eastAsia="zh-CN"/>
              </w:rPr>
              <w:t>。</w:t>
            </w:r>
          </w:p>
          <w:p>
            <w:pPr>
              <w:spacing w:line="360" w:lineRule="auto"/>
              <w:ind w:firstLine="480" w:firstLineChars="200"/>
              <w:rPr>
                <w:rFonts w:hint="eastAsia" w:ascii="楷体" w:hAnsi="楷体" w:eastAsia="楷体" w:cs="宋体"/>
                <w:sz w:val="24"/>
                <w:szCs w:val="24"/>
              </w:rPr>
            </w:pPr>
            <w:r>
              <w:rPr>
                <w:rFonts w:hint="eastAsia" w:ascii="楷体" w:hAnsi="楷体" w:eastAsia="楷体" w:cs="宋体"/>
                <w:sz w:val="24"/>
                <w:szCs w:val="24"/>
              </w:rPr>
              <w:t>生产过程产生的设备噪声，采取厂房内操作和选用低噪声的设备和工具并做消声和减振处理，同时加强设备的检查和维保，确保机械设备在正常工况下运行，经噪声监测达标排放。</w:t>
            </w:r>
          </w:p>
          <w:p>
            <w:pPr>
              <w:numPr>
                <w:ilvl w:val="0"/>
                <w:numId w:val="2"/>
              </w:numPr>
              <w:spacing w:line="360" w:lineRule="auto"/>
              <w:ind w:firstLine="421"/>
              <w:rPr>
                <w:rFonts w:hint="eastAsia" w:ascii="楷体" w:hAnsi="楷体" w:eastAsia="楷体" w:cs="宋体"/>
                <w:sz w:val="24"/>
                <w:szCs w:val="24"/>
              </w:rPr>
            </w:pPr>
            <w:r>
              <w:rPr>
                <w:rFonts w:hint="eastAsia" w:ascii="楷体" w:hAnsi="楷体" w:eastAsia="楷体" w:cs="宋体"/>
                <w:sz w:val="24"/>
                <w:szCs w:val="24"/>
              </w:rPr>
              <w:t>固废管控：废金属屑及边角料经厂区内收集后外售至物资回收公司;废次品经厂区内收集后外售至物资回收公司;废机油、废液压油、废磨削液、废乳化液及废包装桶经厂区内集中收集后委托有危险废物处理资质的单位进行处理:收集粉尘经厂区内收集后外售至物资回收公司:员工生活垃圾经厂区内集中收集后由当地环卫部门统一清运。</w:t>
            </w:r>
          </w:p>
          <w:p>
            <w:pPr>
              <w:spacing w:line="360" w:lineRule="auto"/>
              <w:rPr>
                <w:rFonts w:hint="eastAsia" w:ascii="楷体" w:hAnsi="楷体" w:eastAsia="楷体" w:cs="宋体"/>
                <w:sz w:val="24"/>
                <w:szCs w:val="24"/>
              </w:rPr>
            </w:pPr>
            <w:r>
              <w:rPr>
                <w:rFonts w:hint="eastAsia" w:ascii="楷体" w:hAnsi="楷体" w:eastAsia="楷体" w:cs="宋体"/>
                <w:sz w:val="24"/>
                <w:szCs w:val="24"/>
              </w:rPr>
              <w:t>5、能源资源管控：</w:t>
            </w:r>
          </w:p>
          <w:p>
            <w:pPr>
              <w:spacing w:line="360" w:lineRule="auto"/>
              <w:ind w:firstLine="421"/>
              <w:rPr>
                <w:rFonts w:hint="eastAsia" w:ascii="楷体" w:hAnsi="楷体" w:eastAsia="楷体" w:cs="宋体"/>
                <w:sz w:val="24"/>
                <w:szCs w:val="24"/>
              </w:rPr>
            </w:pPr>
            <w:r>
              <w:rPr>
                <w:rFonts w:hint="eastAsia" w:ascii="楷体" w:hAnsi="楷体" w:eastAsia="楷体" w:cs="宋体"/>
                <w:sz w:val="24"/>
                <w:szCs w:val="24"/>
              </w:rPr>
              <w:t>生产过程注意节水、节电，人走关闭设备和照明开关，现场未发现有漏水和浪费电能的现象。</w:t>
            </w:r>
          </w:p>
          <w:p>
            <w:pPr>
              <w:spacing w:line="360" w:lineRule="auto"/>
              <w:rPr>
                <w:rFonts w:hint="eastAsia" w:ascii="楷体" w:hAnsi="楷体" w:eastAsia="楷体" w:cs="宋体"/>
                <w:sz w:val="24"/>
                <w:szCs w:val="24"/>
              </w:rPr>
            </w:pPr>
            <w:r>
              <w:rPr>
                <w:rFonts w:hint="eastAsia" w:ascii="楷体" w:hAnsi="楷体" w:eastAsia="楷体" w:cs="宋体"/>
                <w:sz w:val="24"/>
                <w:szCs w:val="24"/>
              </w:rPr>
              <w:t>6、产品生命周期的环境管控：</w:t>
            </w:r>
          </w:p>
          <w:p>
            <w:pPr>
              <w:spacing w:line="360" w:lineRule="auto"/>
              <w:ind w:firstLine="421"/>
              <w:rPr>
                <w:rFonts w:hint="eastAsia" w:ascii="楷体" w:hAnsi="楷体" w:eastAsia="楷体" w:cs="宋体"/>
                <w:sz w:val="24"/>
                <w:szCs w:val="24"/>
              </w:rPr>
            </w:pPr>
            <w:r>
              <w:rPr>
                <w:rFonts w:hint="eastAsia" w:ascii="楷体" w:hAnsi="楷体" w:eastAsia="楷体" w:cs="宋体"/>
                <w:sz w:val="24"/>
                <w:szCs w:val="24"/>
              </w:rPr>
              <w:t>公司从工艺设计和采购产品时已考虑了产品的环保性（包括原材料），生产过程中，严格按照环保等管理制度实施，控制好辅助材料的用量，避免浪费，生命周期终了时钢材进行了回收再利用。</w:t>
            </w:r>
          </w:p>
          <w:p>
            <w:pPr>
              <w:spacing w:line="360" w:lineRule="auto"/>
              <w:rPr>
                <w:rFonts w:hint="eastAsia" w:ascii="楷体" w:hAnsi="楷体" w:eastAsia="楷体" w:cs="宋体"/>
                <w:sz w:val="24"/>
                <w:szCs w:val="24"/>
              </w:rPr>
            </w:pPr>
            <w:r>
              <w:rPr>
                <w:rFonts w:hint="eastAsia" w:ascii="楷体" w:hAnsi="楷体" w:eastAsia="楷体" w:cs="宋体"/>
                <w:sz w:val="24"/>
                <w:szCs w:val="24"/>
              </w:rPr>
              <w:t>7、潜在火灾管控：公司生产车间和办公区域配备了灭火器。</w:t>
            </w:r>
          </w:p>
          <w:p>
            <w:pPr>
              <w:spacing w:line="360" w:lineRule="auto"/>
              <w:rPr>
                <w:rFonts w:hint="eastAsia" w:ascii="楷体" w:hAnsi="楷体" w:eastAsia="楷体" w:cs="宋体"/>
                <w:sz w:val="24"/>
                <w:szCs w:val="24"/>
              </w:rPr>
            </w:pPr>
            <w:r>
              <w:rPr>
                <w:rFonts w:hint="eastAsia" w:ascii="楷体" w:hAnsi="楷体" w:eastAsia="楷体" w:cs="宋体"/>
                <w:sz w:val="24"/>
                <w:szCs w:val="24"/>
              </w:rPr>
              <w:t>8、按有关程序和要求通报供方和顾客，采用〈告知函〉方式通报。查到相关方告知书</w:t>
            </w:r>
          </w:p>
          <w:p>
            <w:pPr>
              <w:spacing w:line="360" w:lineRule="auto"/>
              <w:rPr>
                <w:rFonts w:hint="eastAsia" w:ascii="楷体" w:hAnsi="楷体" w:eastAsia="楷体" w:cs="宋体"/>
                <w:sz w:val="24"/>
                <w:szCs w:val="24"/>
              </w:rPr>
            </w:pPr>
            <w:r>
              <w:rPr>
                <w:rFonts w:hint="eastAsia" w:ascii="楷体" w:hAnsi="楷体" w:eastAsia="楷体" w:cs="宋体"/>
                <w:sz w:val="24"/>
                <w:szCs w:val="24"/>
              </w:rPr>
              <w:t>9、企业有</w:t>
            </w:r>
            <w:r>
              <w:rPr>
                <w:rFonts w:hint="eastAsia" w:ascii="楷体" w:hAnsi="楷体" w:eastAsia="楷体" w:cs="宋体"/>
                <w:sz w:val="24"/>
                <w:szCs w:val="24"/>
                <w:lang w:val="en-US" w:eastAsia="zh-CN"/>
              </w:rPr>
              <w:t>叉车</w:t>
            </w:r>
            <w:r>
              <w:rPr>
                <w:rFonts w:hint="eastAsia" w:ascii="楷体" w:hAnsi="楷体" w:eastAsia="楷体" w:cs="宋体"/>
                <w:sz w:val="24"/>
                <w:szCs w:val="24"/>
              </w:rPr>
              <w:t>，查到了</w:t>
            </w:r>
            <w:r>
              <w:rPr>
                <w:rFonts w:hint="eastAsia" w:ascii="楷体" w:hAnsi="楷体" w:eastAsia="楷体" w:cs="宋体"/>
                <w:sz w:val="24"/>
                <w:szCs w:val="24"/>
                <w:lang w:val="en-US" w:eastAsia="zh-CN"/>
              </w:rPr>
              <w:t>叉车</w:t>
            </w:r>
            <w:r>
              <w:rPr>
                <w:rFonts w:hint="eastAsia" w:ascii="楷体" w:hAnsi="楷体" w:eastAsia="楷体" w:cs="宋体"/>
                <w:sz w:val="24"/>
                <w:szCs w:val="24"/>
              </w:rPr>
              <w:t>的检验报告和合格证，均在有效期内，查到操作工证均在有效期内。</w:t>
            </w:r>
          </w:p>
          <w:p>
            <w:pPr>
              <w:spacing w:line="360" w:lineRule="auto"/>
              <w:rPr>
                <w:rFonts w:ascii="楷体" w:hAnsi="楷体" w:eastAsia="楷体" w:cs="宋体"/>
                <w:sz w:val="24"/>
                <w:szCs w:val="24"/>
              </w:rPr>
            </w:pPr>
            <w:r>
              <w:rPr>
                <w:rFonts w:hint="eastAsia" w:ascii="楷体" w:hAnsi="楷体" w:eastAsia="楷体" w:cs="宋体"/>
                <w:sz w:val="24"/>
                <w:szCs w:val="24"/>
              </w:rPr>
              <w:t>10、现场观察运行控制：</w:t>
            </w:r>
          </w:p>
          <w:p>
            <w:pPr>
              <w:spacing w:line="360" w:lineRule="auto"/>
              <w:rPr>
                <w:rFonts w:ascii="楷体" w:hAnsi="楷体" w:eastAsia="楷体"/>
                <w:sz w:val="24"/>
                <w:szCs w:val="24"/>
              </w:rPr>
            </w:pPr>
            <w:r>
              <w:rPr>
                <w:rFonts w:hint="eastAsia" w:ascii="楷体" w:hAnsi="楷体" w:eastAsia="楷体" w:cs="Arial"/>
                <w:sz w:val="24"/>
                <w:szCs w:val="24"/>
              </w:rPr>
              <w:t>现场巡视办公及生产区域配备有灭火器多个，各车间均配有灭火器</w:t>
            </w:r>
            <w:r>
              <w:rPr>
                <w:rFonts w:hint="eastAsia" w:ascii="楷体" w:hAnsi="楷体" w:eastAsia="楷体"/>
                <w:sz w:val="24"/>
                <w:szCs w:val="24"/>
              </w:rPr>
              <w:t>。</w:t>
            </w:r>
          </w:p>
          <w:p>
            <w:pPr>
              <w:spacing w:line="360" w:lineRule="auto"/>
              <w:rPr>
                <w:rFonts w:hint="eastAsia" w:ascii="楷体" w:hAnsi="楷体" w:eastAsia="楷体" w:cs="Times New Roman"/>
                <w:sz w:val="24"/>
                <w:szCs w:val="24"/>
              </w:rPr>
            </w:pPr>
            <w:r>
              <w:rPr>
                <w:rFonts w:hint="eastAsia" w:ascii="楷体" w:hAnsi="楷体" w:eastAsia="楷体"/>
                <w:sz w:val="24"/>
                <w:szCs w:val="24"/>
              </w:rPr>
              <w:t>与抛丸、</w:t>
            </w:r>
            <w:r>
              <w:rPr>
                <w:rFonts w:hint="eastAsia" w:ascii="楷体" w:hAnsi="楷体" w:eastAsia="楷体"/>
                <w:sz w:val="24"/>
                <w:szCs w:val="24"/>
                <w:lang w:val="en-US" w:eastAsia="zh-CN"/>
              </w:rPr>
              <w:t>机加工人等</w:t>
            </w:r>
            <w:r>
              <w:rPr>
                <w:rFonts w:hint="eastAsia" w:ascii="楷体" w:hAnsi="楷体" w:eastAsia="楷体" w:cs="宋体"/>
                <w:sz w:val="24"/>
                <w:szCs w:val="24"/>
              </w:rPr>
              <w:t>岗位</w:t>
            </w:r>
            <w:r>
              <w:rPr>
                <w:rFonts w:hint="eastAsia" w:ascii="楷体" w:hAnsi="楷体" w:eastAsia="楷体"/>
                <w:sz w:val="24"/>
                <w:szCs w:val="24"/>
              </w:rPr>
              <w:t>操作人员交流了解到，员工均接受过环保和职业健康安全相关知识的培训，包括应急预案及演练等，现场人员交流对机械伤害、防火、逃生均较为清</w:t>
            </w:r>
            <w:r>
              <w:rPr>
                <w:rFonts w:hint="eastAsia" w:ascii="楷体" w:hAnsi="楷体" w:eastAsia="楷体" w:cs="Times New Roman"/>
                <w:sz w:val="24"/>
                <w:szCs w:val="24"/>
              </w:rPr>
              <w:t xml:space="preserve">楚、明确，了解本岗位的设备安全操作规程。 </w:t>
            </w:r>
          </w:p>
          <w:p>
            <w:pPr>
              <w:spacing w:line="360" w:lineRule="auto"/>
              <w:ind w:firstLine="360" w:firstLineChars="150"/>
              <w:rPr>
                <w:rFonts w:hint="eastAsia" w:ascii="楷体" w:hAnsi="楷体" w:eastAsia="楷体"/>
                <w:sz w:val="24"/>
                <w:szCs w:val="24"/>
              </w:rPr>
            </w:pPr>
            <w:r>
              <w:rPr>
                <w:rFonts w:hint="eastAsia" w:ascii="楷体" w:hAnsi="楷体" w:eastAsia="楷体" w:cs="Times New Roman"/>
                <w:sz w:val="24"/>
                <w:szCs w:val="24"/>
              </w:rPr>
              <w:t>生产车间内现场设备和电线布线合理，电线均处于完好状态，设备有接地及保护装置，控制柜及漏电保护器状态良好。</w:t>
            </w:r>
          </w:p>
          <w:p>
            <w:pPr>
              <w:spacing w:before="120" w:line="160" w:lineRule="exact"/>
              <w:ind w:firstLine="211" w:firstLineChars="100"/>
              <w:rPr>
                <w:rFonts w:hint="default" w:ascii="方正仿宋简体" w:eastAsia="方正仿宋简体"/>
                <w:b/>
                <w:lang w:val="en-US" w:eastAsia="zh-CN"/>
              </w:rPr>
            </w:pPr>
            <w:r>
              <w:rPr>
                <w:rFonts w:hint="eastAsia" w:ascii="方正仿宋简体" w:eastAsia="方正仿宋简体"/>
                <w:b/>
                <w:lang w:val="en-US" w:eastAsia="zh-CN"/>
              </w:rPr>
              <w:t>查储气罐的安全阀校验日期：2019.8.23，已超期。</w:t>
            </w:r>
          </w:p>
          <w:p>
            <w:pPr>
              <w:pStyle w:val="3"/>
              <w:rPr>
                <w:rFonts w:hint="eastAsia" w:ascii="楷体" w:hAnsi="楷体" w:eastAsia="楷体"/>
                <w:sz w:val="24"/>
                <w:szCs w:val="24"/>
              </w:rPr>
            </w:pPr>
          </w:p>
          <w:p>
            <w:pPr>
              <w:spacing w:line="360" w:lineRule="auto"/>
              <w:ind w:firstLine="240" w:firstLineChars="100"/>
              <w:rPr>
                <w:rFonts w:ascii="楷体" w:hAnsi="楷体" w:eastAsia="楷体" w:cs="宋体"/>
                <w:b/>
                <w:bCs/>
                <w:sz w:val="24"/>
                <w:szCs w:val="24"/>
              </w:rPr>
            </w:pPr>
            <w:r>
              <w:rPr>
                <w:rFonts w:hint="eastAsia" w:ascii="楷体" w:hAnsi="楷体" w:eastAsia="楷体" w:cs="宋体"/>
                <w:sz w:val="24"/>
                <w:szCs w:val="24"/>
              </w:rPr>
              <w:t>车间现场在环保方面的控制管理基本有效。</w:t>
            </w:r>
          </w:p>
        </w:tc>
        <w:tc>
          <w:tcPr>
            <w:tcW w:w="1585" w:type="dxa"/>
          </w:tcPr>
          <w:p>
            <w:pPr>
              <w:spacing w:line="360" w:lineRule="auto"/>
              <w:rPr>
                <w:rFonts w:hint="eastAsia" w:ascii="楷体" w:hAnsi="楷体" w:eastAsia="楷体"/>
                <w:sz w:val="24"/>
                <w:szCs w:val="24"/>
                <w:lang w:val="en-US" w:eastAsia="zh-CN"/>
              </w:rPr>
            </w:pPr>
          </w:p>
          <w:p>
            <w:pPr>
              <w:spacing w:line="360" w:lineRule="auto"/>
              <w:rPr>
                <w:rFonts w:hint="eastAsia" w:ascii="楷体" w:hAnsi="楷体" w:eastAsia="楷体"/>
                <w:sz w:val="24"/>
                <w:szCs w:val="24"/>
                <w:lang w:val="en-US" w:eastAsia="zh-CN"/>
              </w:rPr>
            </w:pPr>
          </w:p>
          <w:p>
            <w:pPr>
              <w:spacing w:line="360" w:lineRule="auto"/>
              <w:rPr>
                <w:rFonts w:hint="eastAsia" w:ascii="楷体" w:hAnsi="楷体" w:eastAsia="楷体"/>
                <w:sz w:val="24"/>
                <w:szCs w:val="24"/>
                <w:lang w:val="en-US" w:eastAsia="zh-CN"/>
              </w:rPr>
            </w:pPr>
          </w:p>
          <w:p>
            <w:pPr>
              <w:spacing w:line="360" w:lineRule="auto"/>
              <w:rPr>
                <w:rFonts w:hint="eastAsia" w:ascii="楷体" w:hAnsi="楷体" w:eastAsia="楷体"/>
                <w:sz w:val="24"/>
                <w:szCs w:val="24"/>
                <w:lang w:val="en-US" w:eastAsia="zh-CN"/>
              </w:rPr>
            </w:pPr>
          </w:p>
          <w:p>
            <w:pPr>
              <w:spacing w:line="360" w:lineRule="auto"/>
              <w:rPr>
                <w:rFonts w:hint="eastAsia" w:ascii="楷体" w:hAnsi="楷体" w:eastAsia="楷体"/>
                <w:sz w:val="24"/>
                <w:szCs w:val="24"/>
                <w:lang w:val="en-US" w:eastAsia="zh-CN"/>
              </w:rPr>
            </w:pPr>
          </w:p>
          <w:p>
            <w:pPr>
              <w:spacing w:line="360" w:lineRule="auto"/>
              <w:rPr>
                <w:rFonts w:hint="eastAsia" w:ascii="楷体" w:hAnsi="楷体" w:eastAsia="楷体"/>
                <w:sz w:val="24"/>
                <w:szCs w:val="24"/>
                <w:lang w:val="en-US" w:eastAsia="zh-CN"/>
              </w:rPr>
            </w:pPr>
          </w:p>
          <w:p>
            <w:pPr>
              <w:spacing w:line="360" w:lineRule="auto"/>
              <w:rPr>
                <w:rFonts w:hint="eastAsia" w:ascii="楷体" w:hAnsi="楷体" w:eastAsia="楷体"/>
                <w:sz w:val="24"/>
                <w:szCs w:val="24"/>
                <w:lang w:val="en-US" w:eastAsia="zh-CN"/>
              </w:rPr>
            </w:pPr>
          </w:p>
          <w:p>
            <w:pPr>
              <w:spacing w:line="360" w:lineRule="auto"/>
              <w:rPr>
                <w:rFonts w:hint="eastAsia" w:ascii="楷体" w:hAnsi="楷体" w:eastAsia="楷体"/>
                <w:sz w:val="24"/>
                <w:szCs w:val="24"/>
                <w:lang w:val="en-US" w:eastAsia="zh-CN"/>
              </w:rPr>
            </w:pPr>
          </w:p>
          <w:p>
            <w:pPr>
              <w:spacing w:line="360" w:lineRule="auto"/>
              <w:rPr>
                <w:rFonts w:hint="eastAsia" w:ascii="楷体" w:hAnsi="楷体" w:eastAsia="楷体"/>
                <w:sz w:val="24"/>
                <w:szCs w:val="24"/>
                <w:lang w:val="en-US" w:eastAsia="zh-CN"/>
              </w:rPr>
            </w:pPr>
          </w:p>
          <w:p>
            <w:pPr>
              <w:spacing w:line="360" w:lineRule="auto"/>
              <w:rPr>
                <w:rFonts w:hint="eastAsia" w:ascii="楷体" w:hAnsi="楷体" w:eastAsia="楷体"/>
                <w:sz w:val="24"/>
                <w:szCs w:val="24"/>
                <w:lang w:val="en-US" w:eastAsia="zh-CN"/>
              </w:rPr>
            </w:pPr>
          </w:p>
          <w:p>
            <w:pPr>
              <w:spacing w:line="360" w:lineRule="auto"/>
              <w:rPr>
                <w:rFonts w:hint="eastAsia" w:ascii="楷体" w:hAnsi="楷体" w:eastAsia="楷体"/>
                <w:sz w:val="24"/>
                <w:szCs w:val="24"/>
                <w:lang w:val="en-US" w:eastAsia="zh-CN"/>
              </w:rPr>
            </w:pPr>
          </w:p>
          <w:p>
            <w:pPr>
              <w:spacing w:line="360" w:lineRule="auto"/>
              <w:rPr>
                <w:rFonts w:hint="eastAsia" w:ascii="楷体" w:hAnsi="楷体" w:eastAsia="楷体"/>
                <w:sz w:val="24"/>
                <w:szCs w:val="24"/>
                <w:lang w:val="en-US" w:eastAsia="zh-CN"/>
              </w:rPr>
            </w:pPr>
          </w:p>
          <w:p>
            <w:pPr>
              <w:spacing w:line="360" w:lineRule="auto"/>
              <w:rPr>
                <w:rFonts w:hint="eastAsia" w:ascii="楷体" w:hAnsi="楷体" w:eastAsia="楷体"/>
                <w:sz w:val="24"/>
                <w:szCs w:val="24"/>
                <w:lang w:val="en-US" w:eastAsia="zh-CN"/>
              </w:rPr>
            </w:pPr>
          </w:p>
          <w:p>
            <w:pPr>
              <w:spacing w:line="360" w:lineRule="auto"/>
              <w:rPr>
                <w:rFonts w:hint="eastAsia" w:ascii="楷体" w:hAnsi="楷体" w:eastAsia="楷体"/>
                <w:sz w:val="24"/>
                <w:szCs w:val="24"/>
                <w:lang w:val="en-US" w:eastAsia="zh-CN"/>
              </w:rPr>
            </w:pPr>
          </w:p>
          <w:p>
            <w:pPr>
              <w:spacing w:line="360" w:lineRule="auto"/>
              <w:rPr>
                <w:rFonts w:hint="eastAsia" w:ascii="楷体" w:hAnsi="楷体" w:eastAsia="楷体"/>
                <w:sz w:val="24"/>
                <w:szCs w:val="24"/>
                <w:lang w:val="en-US" w:eastAsia="zh-CN"/>
              </w:rPr>
            </w:pPr>
          </w:p>
          <w:p>
            <w:pPr>
              <w:spacing w:line="360" w:lineRule="auto"/>
              <w:rPr>
                <w:rFonts w:hint="eastAsia" w:ascii="楷体" w:hAnsi="楷体" w:eastAsia="楷体"/>
                <w:sz w:val="24"/>
                <w:szCs w:val="24"/>
                <w:lang w:val="en-US" w:eastAsia="zh-CN"/>
              </w:rPr>
            </w:pPr>
          </w:p>
          <w:p>
            <w:pPr>
              <w:spacing w:line="360" w:lineRule="auto"/>
              <w:rPr>
                <w:rFonts w:hint="eastAsia" w:ascii="楷体" w:hAnsi="楷体" w:eastAsia="楷体"/>
                <w:sz w:val="24"/>
                <w:szCs w:val="24"/>
                <w:lang w:val="en-US" w:eastAsia="zh-CN"/>
              </w:rPr>
            </w:pPr>
          </w:p>
          <w:p>
            <w:pPr>
              <w:spacing w:line="360" w:lineRule="auto"/>
              <w:rPr>
                <w:rFonts w:hint="eastAsia" w:ascii="楷体" w:hAnsi="楷体" w:eastAsia="楷体"/>
                <w:sz w:val="24"/>
                <w:szCs w:val="24"/>
                <w:lang w:val="en-US" w:eastAsia="zh-CN"/>
              </w:rPr>
            </w:pPr>
          </w:p>
          <w:p>
            <w:pPr>
              <w:spacing w:line="360" w:lineRule="auto"/>
              <w:rPr>
                <w:rFonts w:hint="eastAsia" w:ascii="楷体" w:hAnsi="楷体" w:eastAsia="楷体"/>
                <w:sz w:val="24"/>
                <w:szCs w:val="24"/>
                <w:lang w:val="en-US" w:eastAsia="zh-CN"/>
              </w:rPr>
            </w:pPr>
          </w:p>
          <w:p>
            <w:pPr>
              <w:spacing w:line="360" w:lineRule="auto"/>
              <w:rPr>
                <w:rFonts w:hint="eastAsia" w:ascii="楷体" w:hAnsi="楷体" w:eastAsia="楷体"/>
                <w:sz w:val="24"/>
                <w:szCs w:val="24"/>
                <w:lang w:val="en-US" w:eastAsia="zh-CN"/>
              </w:rPr>
            </w:pPr>
          </w:p>
          <w:p>
            <w:pPr>
              <w:spacing w:line="360" w:lineRule="auto"/>
              <w:rPr>
                <w:rFonts w:hint="eastAsia" w:ascii="楷体" w:hAnsi="楷体" w:eastAsia="楷体"/>
                <w:sz w:val="24"/>
                <w:szCs w:val="24"/>
                <w:lang w:val="en-US" w:eastAsia="zh-CN"/>
              </w:rPr>
            </w:pPr>
          </w:p>
          <w:p>
            <w:pPr>
              <w:spacing w:line="360" w:lineRule="auto"/>
              <w:rPr>
                <w:rFonts w:hint="eastAsia" w:ascii="楷体" w:hAnsi="楷体" w:eastAsia="楷体"/>
                <w:sz w:val="24"/>
                <w:szCs w:val="24"/>
                <w:lang w:val="en-US" w:eastAsia="zh-CN"/>
              </w:rPr>
            </w:pPr>
          </w:p>
          <w:p>
            <w:pPr>
              <w:spacing w:line="360" w:lineRule="auto"/>
              <w:rPr>
                <w:rFonts w:hint="eastAsia" w:ascii="楷体" w:hAnsi="楷体" w:eastAsia="楷体"/>
                <w:sz w:val="24"/>
                <w:szCs w:val="24"/>
                <w:lang w:val="en-US" w:eastAsia="zh-CN"/>
              </w:rPr>
            </w:pPr>
          </w:p>
          <w:p>
            <w:pPr>
              <w:spacing w:line="360" w:lineRule="auto"/>
              <w:rPr>
                <w:rFonts w:hint="eastAsia" w:ascii="楷体" w:hAnsi="楷体" w:eastAsia="楷体"/>
                <w:sz w:val="24"/>
                <w:szCs w:val="24"/>
                <w:lang w:val="en-US" w:eastAsia="zh-CN"/>
              </w:rPr>
            </w:pPr>
          </w:p>
          <w:p>
            <w:pPr>
              <w:spacing w:line="360" w:lineRule="auto"/>
              <w:rPr>
                <w:rFonts w:hint="eastAsia" w:ascii="楷体" w:hAnsi="楷体" w:eastAsia="楷体"/>
                <w:sz w:val="24"/>
                <w:szCs w:val="24"/>
                <w:lang w:val="en-US" w:eastAsia="zh-CN"/>
              </w:rPr>
            </w:pPr>
          </w:p>
          <w:p>
            <w:pPr>
              <w:spacing w:line="360" w:lineRule="auto"/>
              <w:rPr>
                <w:rFonts w:hint="eastAsia" w:ascii="楷体" w:hAnsi="楷体" w:eastAsia="楷体"/>
                <w:sz w:val="24"/>
                <w:szCs w:val="24"/>
                <w:lang w:val="en-US" w:eastAsia="zh-CN"/>
              </w:rPr>
            </w:pPr>
          </w:p>
          <w:p>
            <w:pPr>
              <w:spacing w:line="360" w:lineRule="auto"/>
              <w:rPr>
                <w:rFonts w:hint="eastAsia" w:ascii="楷体" w:hAnsi="楷体" w:eastAsia="楷体"/>
                <w:sz w:val="24"/>
                <w:szCs w:val="24"/>
                <w:lang w:val="en-US" w:eastAsia="zh-CN"/>
              </w:rPr>
            </w:pPr>
          </w:p>
          <w:p>
            <w:pPr>
              <w:spacing w:line="360" w:lineRule="auto"/>
              <w:rPr>
                <w:rFonts w:hint="eastAsia" w:ascii="楷体" w:hAnsi="楷体" w:eastAsia="楷体"/>
                <w:sz w:val="24"/>
                <w:szCs w:val="24"/>
                <w:lang w:val="en-US" w:eastAsia="zh-CN"/>
              </w:rPr>
            </w:pPr>
          </w:p>
          <w:p>
            <w:pPr>
              <w:spacing w:line="360" w:lineRule="auto"/>
              <w:rPr>
                <w:rFonts w:hint="eastAsia" w:ascii="楷体" w:hAnsi="楷体" w:eastAsia="楷体"/>
                <w:sz w:val="24"/>
                <w:szCs w:val="24"/>
                <w:lang w:val="en-US" w:eastAsia="zh-CN"/>
              </w:rPr>
            </w:pPr>
          </w:p>
          <w:p>
            <w:pPr>
              <w:spacing w:line="360" w:lineRule="auto"/>
              <w:rPr>
                <w:rFonts w:hint="eastAsia" w:ascii="楷体" w:hAnsi="楷体" w:eastAsia="楷体"/>
                <w:sz w:val="24"/>
                <w:szCs w:val="24"/>
                <w:lang w:val="en-US" w:eastAsia="zh-CN"/>
              </w:rPr>
            </w:pPr>
          </w:p>
          <w:p>
            <w:pPr>
              <w:spacing w:line="360" w:lineRule="auto"/>
              <w:rPr>
                <w:rFonts w:hint="eastAsia" w:ascii="楷体" w:hAnsi="楷体" w:eastAsia="楷体"/>
                <w:sz w:val="24"/>
                <w:szCs w:val="24"/>
                <w:lang w:val="en-US" w:eastAsia="zh-CN"/>
              </w:rPr>
            </w:pPr>
          </w:p>
          <w:p>
            <w:pPr>
              <w:spacing w:line="360" w:lineRule="auto"/>
              <w:rPr>
                <w:rFonts w:hint="eastAsia" w:ascii="楷体" w:hAnsi="楷体" w:eastAsia="楷体"/>
                <w:sz w:val="24"/>
                <w:szCs w:val="24"/>
                <w:lang w:val="en-US" w:eastAsia="zh-CN"/>
              </w:rPr>
            </w:pPr>
          </w:p>
          <w:p>
            <w:pPr>
              <w:spacing w:line="360" w:lineRule="auto"/>
              <w:rPr>
                <w:rFonts w:hint="eastAsia" w:ascii="楷体" w:hAnsi="楷体" w:eastAsia="楷体"/>
                <w:sz w:val="24"/>
                <w:szCs w:val="24"/>
                <w:lang w:val="en-US" w:eastAsia="zh-CN"/>
              </w:rPr>
            </w:pPr>
          </w:p>
          <w:p>
            <w:pPr>
              <w:spacing w:line="360" w:lineRule="auto"/>
              <w:rPr>
                <w:rFonts w:hint="eastAsia" w:ascii="楷体" w:hAnsi="楷体" w:eastAsia="楷体"/>
                <w:sz w:val="24"/>
                <w:szCs w:val="24"/>
                <w:lang w:val="en-US" w:eastAsia="zh-CN"/>
              </w:rPr>
            </w:pPr>
          </w:p>
          <w:p>
            <w:pPr>
              <w:spacing w:line="360" w:lineRule="auto"/>
              <w:rPr>
                <w:rFonts w:hint="eastAsia" w:ascii="楷体" w:hAnsi="楷体" w:eastAsia="楷体"/>
                <w:sz w:val="24"/>
                <w:szCs w:val="24"/>
                <w:lang w:val="en-US" w:eastAsia="zh-CN"/>
              </w:rPr>
            </w:pPr>
          </w:p>
          <w:p>
            <w:pPr>
              <w:spacing w:line="360" w:lineRule="auto"/>
              <w:rPr>
                <w:rFonts w:hint="eastAsia" w:ascii="楷体" w:hAnsi="楷体" w:eastAsia="楷体"/>
                <w:sz w:val="24"/>
                <w:szCs w:val="24"/>
                <w:lang w:val="en-US" w:eastAsia="zh-CN"/>
              </w:rPr>
            </w:pPr>
          </w:p>
          <w:p>
            <w:pPr>
              <w:spacing w:line="360" w:lineRule="auto"/>
              <w:rPr>
                <w:rFonts w:hint="eastAsia" w:ascii="楷体" w:hAnsi="楷体" w:eastAsia="楷体"/>
                <w:sz w:val="24"/>
                <w:szCs w:val="24"/>
                <w:lang w:val="en-US" w:eastAsia="zh-CN"/>
              </w:rPr>
            </w:pPr>
          </w:p>
          <w:p>
            <w:pPr>
              <w:spacing w:line="360" w:lineRule="auto"/>
              <w:rPr>
                <w:rFonts w:hint="eastAsia" w:ascii="楷体" w:hAnsi="楷体" w:eastAsia="楷体"/>
                <w:sz w:val="24"/>
                <w:szCs w:val="24"/>
                <w:lang w:val="en-US" w:eastAsia="zh-CN"/>
              </w:rPr>
            </w:pPr>
          </w:p>
          <w:p>
            <w:pPr>
              <w:spacing w:line="360" w:lineRule="auto"/>
              <w:rPr>
                <w:rFonts w:hint="eastAsia" w:ascii="楷体" w:hAnsi="楷体" w:eastAsia="楷体"/>
                <w:sz w:val="24"/>
                <w:szCs w:val="24"/>
                <w:lang w:val="en-US" w:eastAsia="zh-CN"/>
              </w:rPr>
            </w:pPr>
          </w:p>
          <w:p>
            <w:pPr>
              <w:spacing w:line="360" w:lineRule="auto"/>
              <w:rPr>
                <w:rFonts w:hint="eastAsia" w:ascii="楷体" w:hAnsi="楷体" w:eastAsia="楷体"/>
                <w:sz w:val="24"/>
                <w:szCs w:val="24"/>
                <w:lang w:val="en-US" w:eastAsia="zh-CN"/>
              </w:rPr>
            </w:pPr>
          </w:p>
          <w:p>
            <w:pPr>
              <w:spacing w:line="360" w:lineRule="auto"/>
              <w:rPr>
                <w:rFonts w:hint="eastAsia" w:ascii="楷体" w:hAnsi="楷体" w:eastAsia="楷体"/>
                <w:sz w:val="24"/>
                <w:szCs w:val="24"/>
                <w:lang w:val="en-US" w:eastAsia="zh-CN"/>
              </w:rPr>
            </w:pPr>
          </w:p>
          <w:p>
            <w:pPr>
              <w:spacing w:line="360" w:lineRule="auto"/>
              <w:rPr>
                <w:rFonts w:hint="eastAsia" w:ascii="楷体" w:hAnsi="楷体" w:eastAsia="楷体"/>
                <w:sz w:val="24"/>
                <w:szCs w:val="24"/>
                <w:lang w:val="en-US" w:eastAsia="zh-CN"/>
              </w:rPr>
            </w:pPr>
          </w:p>
          <w:p>
            <w:pPr>
              <w:spacing w:line="360" w:lineRule="auto"/>
              <w:rPr>
                <w:rFonts w:hint="eastAsia" w:ascii="楷体" w:hAnsi="楷体" w:eastAsia="楷体"/>
                <w:sz w:val="24"/>
                <w:szCs w:val="24"/>
                <w:lang w:val="en-US" w:eastAsia="zh-CN"/>
              </w:rPr>
            </w:pPr>
          </w:p>
          <w:p>
            <w:pPr>
              <w:pStyle w:val="2"/>
              <w:rPr>
                <w:rFonts w:hint="default"/>
                <w:lang w:val="en-US" w:eastAsia="zh-CN"/>
              </w:rPr>
            </w:pPr>
            <w:r>
              <w:rPr>
                <w:rFonts w:hint="eastAsia" w:ascii="楷体" w:hAnsi="楷体" w:eastAsia="楷体"/>
                <w:sz w:val="24"/>
                <w:szCs w:val="24"/>
                <w:lang w:val="en-US" w:eastAsia="zh-CN"/>
              </w:rPr>
              <w:t>N</w:t>
            </w:r>
          </w:p>
          <w:p>
            <w:pPr>
              <w:spacing w:line="360" w:lineRule="auto"/>
              <w:rPr>
                <w:rFonts w:hint="eastAsia" w:ascii="楷体" w:hAnsi="楷体" w:eastAsia="楷体"/>
                <w:sz w:val="24"/>
                <w:szCs w:val="24"/>
                <w:lang w:val="en-US" w:eastAsia="zh-CN"/>
              </w:rPr>
            </w:pPr>
          </w:p>
          <w:p>
            <w:pPr>
              <w:spacing w:line="360" w:lineRule="auto"/>
              <w:rPr>
                <w:rFonts w:hint="eastAsia" w:ascii="楷体" w:hAnsi="楷体" w:eastAsia="楷体"/>
                <w:sz w:val="24"/>
                <w:szCs w:val="24"/>
                <w:lang w:val="en-US" w:eastAsia="zh-CN"/>
              </w:rPr>
            </w:pPr>
          </w:p>
          <w:p>
            <w:pPr>
              <w:spacing w:line="360" w:lineRule="auto"/>
              <w:rPr>
                <w:rFonts w:hint="eastAsia" w:ascii="楷体" w:hAnsi="楷体" w:eastAsia="楷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1809" w:type="dxa"/>
          </w:tcPr>
          <w:p>
            <w:pPr>
              <w:spacing w:line="360" w:lineRule="auto"/>
              <w:rPr>
                <w:rFonts w:ascii="楷体" w:hAnsi="楷体" w:eastAsia="楷体" w:cs="宋体"/>
                <w:sz w:val="24"/>
                <w:szCs w:val="24"/>
              </w:rPr>
            </w:pPr>
            <w:r>
              <w:rPr>
                <w:rFonts w:hint="eastAsia" w:ascii="楷体" w:hAnsi="楷体" w:eastAsia="楷体"/>
                <w:bCs/>
                <w:sz w:val="24"/>
                <w:szCs w:val="24"/>
              </w:rPr>
              <w:t>应急准备和相应</w:t>
            </w:r>
          </w:p>
        </w:tc>
        <w:tc>
          <w:tcPr>
            <w:tcW w:w="1311" w:type="dxa"/>
          </w:tcPr>
          <w:p>
            <w:pPr>
              <w:spacing w:line="360" w:lineRule="auto"/>
              <w:rPr>
                <w:rFonts w:ascii="楷体" w:hAnsi="楷体" w:eastAsia="楷体" w:cs="宋体"/>
                <w:sz w:val="24"/>
                <w:szCs w:val="24"/>
              </w:rPr>
            </w:pPr>
            <w:r>
              <w:rPr>
                <w:rFonts w:hint="eastAsia" w:ascii="楷体" w:hAnsi="楷体" w:eastAsia="楷体"/>
                <w:bCs/>
                <w:sz w:val="24"/>
                <w:szCs w:val="24"/>
              </w:rPr>
              <w:t>E8.2</w:t>
            </w:r>
          </w:p>
        </w:tc>
        <w:tc>
          <w:tcPr>
            <w:tcW w:w="10004" w:type="dxa"/>
          </w:tcPr>
          <w:p>
            <w:pPr>
              <w:spacing w:line="360" w:lineRule="auto"/>
              <w:ind w:firstLine="480" w:firstLineChars="200"/>
              <w:rPr>
                <w:rFonts w:ascii="楷体" w:hAnsi="楷体" w:eastAsia="楷体" w:cs="宋体"/>
                <w:sz w:val="24"/>
                <w:szCs w:val="24"/>
              </w:rPr>
            </w:pPr>
            <w:r>
              <w:rPr>
                <w:rFonts w:hint="eastAsia" w:ascii="楷体" w:hAnsi="楷体" w:eastAsia="楷体" w:cs="宋体"/>
                <w:sz w:val="24"/>
                <w:szCs w:val="24"/>
                <w:lang w:eastAsia="zh-CN"/>
              </w:rPr>
              <w:t>生产科</w:t>
            </w:r>
            <w:r>
              <w:rPr>
                <w:rFonts w:hint="eastAsia" w:ascii="楷体" w:hAnsi="楷体" w:eastAsia="楷体" w:cs="宋体"/>
                <w:sz w:val="24"/>
                <w:szCs w:val="24"/>
              </w:rPr>
              <w:t>按照策划的《应急准备和响应控制程序程序》《消防安全应急预案》等，明确了相应的运行准则。</w:t>
            </w:r>
            <w:bookmarkStart w:id="0" w:name="_GoBack"/>
            <w:bookmarkEnd w:id="0"/>
          </w:p>
          <w:p>
            <w:pPr>
              <w:spacing w:line="360" w:lineRule="auto"/>
              <w:ind w:firstLine="480" w:firstLineChars="200"/>
              <w:rPr>
                <w:rFonts w:ascii="楷体" w:hAnsi="楷体" w:eastAsia="楷体" w:cs="宋体"/>
                <w:sz w:val="24"/>
                <w:szCs w:val="24"/>
              </w:rPr>
            </w:pPr>
            <w:r>
              <w:rPr>
                <w:rFonts w:hint="eastAsia" w:ascii="楷体" w:hAnsi="楷体" w:eastAsia="楷体" w:cs="宋体"/>
                <w:sz w:val="24"/>
                <w:szCs w:val="24"/>
              </w:rPr>
              <w:t>生产过程中加强用电安全，防止触电事故和火灾事故的发生，安装了漏电保护器。</w:t>
            </w:r>
          </w:p>
          <w:p>
            <w:pPr>
              <w:spacing w:line="360" w:lineRule="auto"/>
              <w:ind w:firstLine="480" w:firstLineChars="200"/>
              <w:rPr>
                <w:rFonts w:ascii="楷体" w:hAnsi="楷体" w:eastAsia="楷体" w:cs="宋体"/>
                <w:sz w:val="24"/>
                <w:szCs w:val="24"/>
              </w:rPr>
            </w:pPr>
            <w:r>
              <w:rPr>
                <w:rFonts w:hint="eastAsia" w:ascii="楷体" w:hAnsi="楷体" w:eastAsia="楷体" w:cs="宋体"/>
                <w:sz w:val="24"/>
                <w:szCs w:val="24"/>
              </w:rPr>
              <w:t xml:space="preserve">现场审核时现场查看车间门口有灭火器若干，在有效期内。  </w:t>
            </w:r>
          </w:p>
          <w:p>
            <w:pPr>
              <w:spacing w:line="360" w:lineRule="auto"/>
              <w:ind w:firstLine="480" w:firstLineChars="200"/>
              <w:rPr>
                <w:rFonts w:ascii="楷体" w:hAnsi="楷体" w:eastAsia="楷体" w:cs="宋体"/>
                <w:sz w:val="24"/>
                <w:szCs w:val="24"/>
              </w:rPr>
            </w:pPr>
            <w:r>
              <w:rPr>
                <w:rFonts w:hint="eastAsia" w:ascii="楷体" w:hAnsi="楷体" w:eastAsia="楷体" w:cs="宋体"/>
                <w:sz w:val="24"/>
                <w:szCs w:val="24"/>
              </w:rPr>
              <w:t>生产现场有“禁止吸烟”， 等环保、安全警示标识。</w:t>
            </w:r>
          </w:p>
          <w:p>
            <w:pPr>
              <w:spacing w:line="360" w:lineRule="auto"/>
              <w:ind w:firstLine="420" w:firstLineChars="200"/>
              <w:rPr>
                <w:rFonts w:ascii="楷体" w:hAnsi="楷体" w:eastAsia="楷体"/>
                <w:sz w:val="24"/>
                <w:szCs w:val="24"/>
              </w:rPr>
            </w:pPr>
            <w:r>
              <w:rPr>
                <w:rFonts w:hint="eastAsia"/>
                <w:lang w:val="en-US" w:eastAsia="zh-CN"/>
              </w:rPr>
              <w:t>2020.7.19</w:t>
            </w:r>
            <w:r>
              <w:rPr>
                <w:rFonts w:hint="eastAsia"/>
              </w:rPr>
              <w:t>日</w:t>
            </w:r>
            <w:r>
              <w:rPr>
                <w:rFonts w:hint="eastAsia" w:ascii="楷体" w:hAnsi="楷体" w:eastAsia="楷体"/>
                <w:sz w:val="24"/>
                <w:szCs w:val="24"/>
              </w:rPr>
              <w:t>参加了总公司组织的消防应急预案演练。</w:t>
            </w:r>
          </w:p>
          <w:p>
            <w:pPr>
              <w:spacing w:line="360" w:lineRule="auto"/>
              <w:ind w:firstLine="480" w:firstLineChars="200"/>
              <w:rPr>
                <w:rFonts w:ascii="楷体" w:hAnsi="楷体" w:eastAsia="楷体" w:cs="宋体"/>
                <w:sz w:val="24"/>
                <w:szCs w:val="24"/>
              </w:rPr>
            </w:pPr>
            <w:r>
              <w:rPr>
                <w:rFonts w:hint="eastAsia" w:ascii="楷体" w:hAnsi="楷体" w:eastAsia="楷体" w:cs="宋体"/>
                <w:sz w:val="24"/>
                <w:szCs w:val="24"/>
              </w:rPr>
              <w:t>自体系运行以来未出现应急事故情况。</w:t>
            </w:r>
          </w:p>
        </w:tc>
        <w:tc>
          <w:tcPr>
            <w:tcW w:w="1585" w:type="dxa"/>
          </w:tcPr>
          <w:p>
            <w:pPr>
              <w:spacing w:line="360" w:lineRule="auto"/>
            </w:pPr>
          </w:p>
          <w:p>
            <w:pPr>
              <w:pStyle w:val="2"/>
            </w:pPr>
          </w:p>
          <w:p>
            <w:pPr>
              <w:pStyle w:val="3"/>
              <w:rPr>
                <w:rFonts w:ascii="楷体" w:hAnsi="楷体" w:eastAsia="楷体"/>
                <w:sz w:val="24"/>
                <w:szCs w:val="24"/>
              </w:rPr>
            </w:pPr>
          </w:p>
          <w:p>
            <w:pPr>
              <w:pStyle w:val="3"/>
              <w:rPr>
                <w:rFonts w:hint="eastAsia" w:ascii="楷体" w:hAnsi="楷体" w:eastAsia="楷体"/>
                <w:sz w:val="24"/>
                <w:szCs w:val="24"/>
                <w:lang w:val="en-US" w:eastAsia="zh-CN"/>
              </w:rPr>
            </w:pPr>
          </w:p>
          <w:p>
            <w:pPr>
              <w:pStyle w:val="3"/>
              <w:rPr>
                <w:rFonts w:hint="eastAsia" w:ascii="楷体" w:hAnsi="楷体" w:eastAsia="楷体"/>
                <w:sz w:val="24"/>
                <w:szCs w:val="24"/>
                <w:lang w:val="en-US" w:eastAsia="zh-CN"/>
              </w:rPr>
            </w:pPr>
          </w:p>
          <w:p>
            <w:pPr>
              <w:pStyle w:val="3"/>
              <w:rPr>
                <w:rFonts w:hint="eastAsia" w:ascii="楷体" w:hAnsi="楷体" w:eastAsia="楷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809" w:type="dxa"/>
          </w:tcPr>
          <w:p>
            <w:pPr>
              <w:spacing w:line="360" w:lineRule="auto"/>
              <w:rPr>
                <w:rFonts w:ascii="楷体" w:hAnsi="楷体" w:eastAsia="楷体"/>
                <w:sz w:val="24"/>
                <w:szCs w:val="24"/>
              </w:rPr>
            </w:pPr>
          </w:p>
        </w:tc>
        <w:tc>
          <w:tcPr>
            <w:tcW w:w="1311" w:type="dxa"/>
          </w:tcPr>
          <w:p>
            <w:pPr>
              <w:spacing w:line="360" w:lineRule="auto"/>
              <w:rPr>
                <w:rFonts w:ascii="楷体" w:hAnsi="楷体" w:eastAsia="楷体"/>
                <w:sz w:val="24"/>
                <w:szCs w:val="24"/>
              </w:rPr>
            </w:pPr>
          </w:p>
        </w:tc>
        <w:tc>
          <w:tcPr>
            <w:tcW w:w="10004" w:type="dxa"/>
          </w:tcPr>
          <w:p>
            <w:pPr>
              <w:spacing w:line="360" w:lineRule="auto"/>
              <w:ind w:firstLine="480" w:firstLineChars="200"/>
              <w:rPr>
                <w:rFonts w:ascii="楷体" w:hAnsi="楷体" w:eastAsia="楷体"/>
                <w:sz w:val="24"/>
                <w:szCs w:val="24"/>
              </w:rPr>
            </w:pPr>
          </w:p>
        </w:tc>
        <w:tc>
          <w:tcPr>
            <w:tcW w:w="1585" w:type="dxa"/>
          </w:tcPr>
          <w:p>
            <w:pPr>
              <w:spacing w:line="360" w:lineRule="auto"/>
              <w:rPr>
                <w:rFonts w:ascii="楷体" w:hAnsi="楷体" w:eastAsia="楷体"/>
                <w:sz w:val="24"/>
                <w:szCs w:val="24"/>
              </w:rPr>
            </w:pPr>
          </w:p>
        </w:tc>
      </w:tr>
    </w:tbl>
    <w:p>
      <w:pPr>
        <w:spacing w:line="360" w:lineRule="auto"/>
        <w:rPr>
          <w:rFonts w:ascii="楷体" w:hAnsi="楷体" w:eastAsia="楷体"/>
        </w:rPr>
      </w:pPr>
      <w:r>
        <w:rPr>
          <w:rFonts w:ascii="楷体" w:hAnsi="楷体" w:eastAsia="楷体"/>
        </w:rPr>
        <w:ptab w:relativeTo="margin" w:alignment="center" w:leader="none"/>
      </w:r>
    </w:p>
    <w:p>
      <w:pPr>
        <w:spacing w:line="360" w:lineRule="auto"/>
        <w:rPr>
          <w:rFonts w:ascii="楷体" w:hAnsi="楷体" w:eastAsia="楷体"/>
        </w:rPr>
      </w:pPr>
    </w:p>
    <w:p>
      <w:pPr>
        <w:pStyle w:val="5"/>
        <w:spacing w:line="360" w:lineRule="auto"/>
        <w:rPr>
          <w:rFonts w:ascii="楷体" w:hAnsi="楷体" w:eastAsia="楷体"/>
        </w:rPr>
      </w:pPr>
      <w:r>
        <w:rPr>
          <w:rFonts w:hint="eastAsia" w:ascii="楷体" w:hAnsi="楷体" w:eastAsia="楷体"/>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0" w:usb3="00000000" w:csb0="00100000" w:csb1="00000000"/>
  </w:font>
  <w:font w:name="Arial Unicode MS">
    <w:altName w:val="宋体"/>
    <w:panose1 w:val="020B0604020202020204"/>
    <w:charset w:val="86"/>
    <w:family w:val="swiss"/>
    <w:pitch w:val="default"/>
    <w:sig w:usb0="00000000" w:usb1="00000000" w:usb2="0000003F" w:usb3="00000000" w:csb0="003F01FF" w:csb1="00000000"/>
  </w:font>
  <w:font w:name="楷体">
    <w:panose1 w:val="02010609060101010101"/>
    <w:charset w:val="86"/>
    <w:family w:val="modern"/>
    <w:pitch w:val="default"/>
    <w:sig w:usb0="800002BF" w:usb1="38CF7CFA" w:usb2="00000016" w:usb3="00000000" w:csb0="00040001" w:csb1="00000000"/>
  </w:font>
  <w:font w:name="SimSun-Identity-H">
    <w:altName w:val="宋体"/>
    <w:panose1 w:val="00000000000000000000"/>
    <w:charset w:val="86"/>
    <w:family w:val="auto"/>
    <w:pitch w:val="default"/>
    <w:sig w:usb0="00000000" w:usb1="00000000" w:usb2="00000010" w:usb3="00000000" w:csb0="00040000" w:csb1="00000000"/>
  </w:font>
  <w:font w:name="PMingLiU-ExtB">
    <w:panose1 w:val="02020500000000000000"/>
    <w:charset w:val="88"/>
    <w:family w:val="auto"/>
    <w:pitch w:val="default"/>
    <w:sig w:usb0="8000002F" w:usb1="02000008" w:usb2="00000000" w:usb3="00000000" w:csb0="00100001" w:csb1="00000000"/>
  </w:font>
  <w:font w:name="方正仿宋简体">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15</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6"/>
      <w:pBdr>
        <w:bottom w:val="none" w:color="auto" w:sz="0" w:space="1"/>
      </w:pBdr>
      <w:spacing w:line="320" w:lineRule="exact"/>
      <w:jc w:val="left"/>
    </w:pPr>
    <w:r>
      <w:pict>
        <v:shape id="文本框 1" o:spid="_x0000_s2050"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ISC-B-II-10 管理体系审核记录表(03版)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75A3B2"/>
    <w:multiLevelType w:val="singleLevel"/>
    <w:tmpl w:val="C675A3B2"/>
    <w:lvl w:ilvl="0" w:tentative="0">
      <w:start w:val="4"/>
      <w:numFmt w:val="decimal"/>
      <w:suff w:val="nothing"/>
      <w:lvlText w:val="%1、"/>
      <w:lvlJc w:val="left"/>
    </w:lvl>
  </w:abstractNum>
  <w:abstractNum w:abstractNumId="1">
    <w:nsid w:val="0C10E4DD"/>
    <w:multiLevelType w:val="singleLevel"/>
    <w:tmpl w:val="0C10E4DD"/>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42A2"/>
    <w:rsid w:val="00010B05"/>
    <w:rsid w:val="00020CA6"/>
    <w:rsid w:val="000214B6"/>
    <w:rsid w:val="00032462"/>
    <w:rsid w:val="0003373A"/>
    <w:rsid w:val="000421F8"/>
    <w:rsid w:val="00050B17"/>
    <w:rsid w:val="0005199E"/>
    <w:rsid w:val="000557D8"/>
    <w:rsid w:val="0005697E"/>
    <w:rsid w:val="00061925"/>
    <w:rsid w:val="00062EC3"/>
    <w:rsid w:val="00081821"/>
    <w:rsid w:val="00084276"/>
    <w:rsid w:val="000849D2"/>
    <w:rsid w:val="000A5E44"/>
    <w:rsid w:val="000A6DBB"/>
    <w:rsid w:val="000B1394"/>
    <w:rsid w:val="000B13C1"/>
    <w:rsid w:val="000B40BD"/>
    <w:rsid w:val="000C123B"/>
    <w:rsid w:val="000D0422"/>
    <w:rsid w:val="000E2B69"/>
    <w:rsid w:val="000E43EE"/>
    <w:rsid w:val="000F0B40"/>
    <w:rsid w:val="000F35F1"/>
    <w:rsid w:val="000F49B5"/>
    <w:rsid w:val="00102221"/>
    <w:rsid w:val="001027A6"/>
    <w:rsid w:val="00102C0C"/>
    <w:rsid w:val="001037D5"/>
    <w:rsid w:val="00127276"/>
    <w:rsid w:val="00133A9E"/>
    <w:rsid w:val="00133F17"/>
    <w:rsid w:val="00160177"/>
    <w:rsid w:val="00162423"/>
    <w:rsid w:val="00164832"/>
    <w:rsid w:val="00171246"/>
    <w:rsid w:val="00183D2D"/>
    <w:rsid w:val="00186785"/>
    <w:rsid w:val="00191AFC"/>
    <w:rsid w:val="00194BAF"/>
    <w:rsid w:val="0019749C"/>
    <w:rsid w:val="001A2D7F"/>
    <w:rsid w:val="001A3DF8"/>
    <w:rsid w:val="001A4802"/>
    <w:rsid w:val="001C1344"/>
    <w:rsid w:val="001C345C"/>
    <w:rsid w:val="001C5C73"/>
    <w:rsid w:val="001C5C87"/>
    <w:rsid w:val="001D0C70"/>
    <w:rsid w:val="00206BE5"/>
    <w:rsid w:val="00214671"/>
    <w:rsid w:val="00222532"/>
    <w:rsid w:val="00234803"/>
    <w:rsid w:val="00237445"/>
    <w:rsid w:val="00241B7D"/>
    <w:rsid w:val="002673C1"/>
    <w:rsid w:val="0028271B"/>
    <w:rsid w:val="002926AE"/>
    <w:rsid w:val="00295B8A"/>
    <w:rsid w:val="002A0E6E"/>
    <w:rsid w:val="002A1B7E"/>
    <w:rsid w:val="002A7679"/>
    <w:rsid w:val="002B018A"/>
    <w:rsid w:val="002C3E0D"/>
    <w:rsid w:val="002D41FB"/>
    <w:rsid w:val="002D46B3"/>
    <w:rsid w:val="002E09DF"/>
    <w:rsid w:val="002E1E1D"/>
    <w:rsid w:val="002E1F5A"/>
    <w:rsid w:val="002F4DA9"/>
    <w:rsid w:val="003015A0"/>
    <w:rsid w:val="003046BD"/>
    <w:rsid w:val="003358F7"/>
    <w:rsid w:val="003370D7"/>
    <w:rsid w:val="00337922"/>
    <w:rsid w:val="00340867"/>
    <w:rsid w:val="00342857"/>
    <w:rsid w:val="00355472"/>
    <w:rsid w:val="00361197"/>
    <w:rsid w:val="003627B6"/>
    <w:rsid w:val="003655B1"/>
    <w:rsid w:val="003708D5"/>
    <w:rsid w:val="00380837"/>
    <w:rsid w:val="00381A3A"/>
    <w:rsid w:val="003836CA"/>
    <w:rsid w:val="00386A98"/>
    <w:rsid w:val="003B712F"/>
    <w:rsid w:val="003D6BE3"/>
    <w:rsid w:val="003F20A5"/>
    <w:rsid w:val="004012E9"/>
    <w:rsid w:val="00405D5F"/>
    <w:rsid w:val="00410914"/>
    <w:rsid w:val="00425E89"/>
    <w:rsid w:val="00432436"/>
    <w:rsid w:val="0043494E"/>
    <w:rsid w:val="00453CC3"/>
    <w:rsid w:val="00463775"/>
    <w:rsid w:val="00465FE1"/>
    <w:rsid w:val="00475FEA"/>
    <w:rsid w:val="004772FA"/>
    <w:rsid w:val="00483C7A"/>
    <w:rsid w:val="00491735"/>
    <w:rsid w:val="00492096"/>
    <w:rsid w:val="004A368C"/>
    <w:rsid w:val="004B217F"/>
    <w:rsid w:val="004B5E36"/>
    <w:rsid w:val="004C07FE"/>
    <w:rsid w:val="004E4394"/>
    <w:rsid w:val="004E4AA7"/>
    <w:rsid w:val="00500FC6"/>
    <w:rsid w:val="00513D49"/>
    <w:rsid w:val="00521CF0"/>
    <w:rsid w:val="00533E7D"/>
    <w:rsid w:val="00536930"/>
    <w:rsid w:val="00536EB7"/>
    <w:rsid w:val="00544570"/>
    <w:rsid w:val="00555215"/>
    <w:rsid w:val="00564E53"/>
    <w:rsid w:val="00570D1C"/>
    <w:rsid w:val="00583277"/>
    <w:rsid w:val="00592C3E"/>
    <w:rsid w:val="005A000F"/>
    <w:rsid w:val="005B0413"/>
    <w:rsid w:val="005B6888"/>
    <w:rsid w:val="005C1225"/>
    <w:rsid w:val="005D76D0"/>
    <w:rsid w:val="005E489C"/>
    <w:rsid w:val="005F1B92"/>
    <w:rsid w:val="005F3411"/>
    <w:rsid w:val="005F6C65"/>
    <w:rsid w:val="005F7730"/>
    <w:rsid w:val="00600F02"/>
    <w:rsid w:val="00603024"/>
    <w:rsid w:val="0060444D"/>
    <w:rsid w:val="00611DAE"/>
    <w:rsid w:val="00623D43"/>
    <w:rsid w:val="00634439"/>
    <w:rsid w:val="00642776"/>
    <w:rsid w:val="00644FE2"/>
    <w:rsid w:val="00645FB8"/>
    <w:rsid w:val="00646B24"/>
    <w:rsid w:val="00651986"/>
    <w:rsid w:val="006545E8"/>
    <w:rsid w:val="00664CAA"/>
    <w:rsid w:val="00665980"/>
    <w:rsid w:val="006702AA"/>
    <w:rsid w:val="0067640C"/>
    <w:rsid w:val="00684534"/>
    <w:rsid w:val="00692C4C"/>
    <w:rsid w:val="00694F0E"/>
    <w:rsid w:val="00695256"/>
    <w:rsid w:val="00695570"/>
    <w:rsid w:val="00696AF1"/>
    <w:rsid w:val="006A1F44"/>
    <w:rsid w:val="006A3B31"/>
    <w:rsid w:val="006A68F3"/>
    <w:rsid w:val="006A7EAD"/>
    <w:rsid w:val="006B4127"/>
    <w:rsid w:val="006B5535"/>
    <w:rsid w:val="006B6352"/>
    <w:rsid w:val="006B7A73"/>
    <w:rsid w:val="006C40B9"/>
    <w:rsid w:val="006D2A9F"/>
    <w:rsid w:val="006D5113"/>
    <w:rsid w:val="006E520F"/>
    <w:rsid w:val="006E678B"/>
    <w:rsid w:val="006F00CC"/>
    <w:rsid w:val="006F594E"/>
    <w:rsid w:val="006F7E33"/>
    <w:rsid w:val="00714FEF"/>
    <w:rsid w:val="007170AA"/>
    <w:rsid w:val="007171D0"/>
    <w:rsid w:val="00730589"/>
    <w:rsid w:val="00732B66"/>
    <w:rsid w:val="007406DE"/>
    <w:rsid w:val="00743E79"/>
    <w:rsid w:val="00750554"/>
    <w:rsid w:val="00751C37"/>
    <w:rsid w:val="007757F3"/>
    <w:rsid w:val="00777EAC"/>
    <w:rsid w:val="007815DC"/>
    <w:rsid w:val="00782345"/>
    <w:rsid w:val="00792DBE"/>
    <w:rsid w:val="00793A60"/>
    <w:rsid w:val="007960BC"/>
    <w:rsid w:val="007A47FB"/>
    <w:rsid w:val="007B106B"/>
    <w:rsid w:val="007B275D"/>
    <w:rsid w:val="007E339C"/>
    <w:rsid w:val="007E6AEB"/>
    <w:rsid w:val="007F01EC"/>
    <w:rsid w:val="007F030C"/>
    <w:rsid w:val="007F6A42"/>
    <w:rsid w:val="007F7DF2"/>
    <w:rsid w:val="00803405"/>
    <w:rsid w:val="008079FA"/>
    <w:rsid w:val="0085122B"/>
    <w:rsid w:val="00864902"/>
    <w:rsid w:val="0086555F"/>
    <w:rsid w:val="00880718"/>
    <w:rsid w:val="00882522"/>
    <w:rsid w:val="00890931"/>
    <w:rsid w:val="00896C56"/>
    <w:rsid w:val="008973EE"/>
    <w:rsid w:val="008B0F25"/>
    <w:rsid w:val="008D089D"/>
    <w:rsid w:val="008E0152"/>
    <w:rsid w:val="008F0B04"/>
    <w:rsid w:val="008F6A77"/>
    <w:rsid w:val="008F76A9"/>
    <w:rsid w:val="00904E1B"/>
    <w:rsid w:val="00923EDF"/>
    <w:rsid w:val="00924483"/>
    <w:rsid w:val="00930694"/>
    <w:rsid w:val="009323D0"/>
    <w:rsid w:val="0093521F"/>
    <w:rsid w:val="00945677"/>
    <w:rsid w:val="00946670"/>
    <w:rsid w:val="00962F78"/>
    <w:rsid w:val="0096609F"/>
    <w:rsid w:val="009711D4"/>
    <w:rsid w:val="00971600"/>
    <w:rsid w:val="0097317D"/>
    <w:rsid w:val="00977B3A"/>
    <w:rsid w:val="009973B4"/>
    <w:rsid w:val="009C7777"/>
    <w:rsid w:val="009E30DA"/>
    <w:rsid w:val="009E35C0"/>
    <w:rsid w:val="009F7EED"/>
    <w:rsid w:val="00A04935"/>
    <w:rsid w:val="00A138EC"/>
    <w:rsid w:val="00A456AF"/>
    <w:rsid w:val="00A4606C"/>
    <w:rsid w:val="00A56A93"/>
    <w:rsid w:val="00A62689"/>
    <w:rsid w:val="00A653E2"/>
    <w:rsid w:val="00A712F4"/>
    <w:rsid w:val="00A76D36"/>
    <w:rsid w:val="00A801DE"/>
    <w:rsid w:val="00A90A22"/>
    <w:rsid w:val="00A964A3"/>
    <w:rsid w:val="00AB41FC"/>
    <w:rsid w:val="00AB4BFA"/>
    <w:rsid w:val="00AB7D2F"/>
    <w:rsid w:val="00AC0A90"/>
    <w:rsid w:val="00AC19B4"/>
    <w:rsid w:val="00AD74C7"/>
    <w:rsid w:val="00AE37CA"/>
    <w:rsid w:val="00AF0AAB"/>
    <w:rsid w:val="00AF1D79"/>
    <w:rsid w:val="00AF546C"/>
    <w:rsid w:val="00B0437A"/>
    <w:rsid w:val="00B0685B"/>
    <w:rsid w:val="00B166EA"/>
    <w:rsid w:val="00B411A9"/>
    <w:rsid w:val="00B434A0"/>
    <w:rsid w:val="00B45C2D"/>
    <w:rsid w:val="00B8202D"/>
    <w:rsid w:val="00B822C7"/>
    <w:rsid w:val="00B931E4"/>
    <w:rsid w:val="00B931F5"/>
    <w:rsid w:val="00B94210"/>
    <w:rsid w:val="00B95F69"/>
    <w:rsid w:val="00BA1E88"/>
    <w:rsid w:val="00BA25C0"/>
    <w:rsid w:val="00BC2015"/>
    <w:rsid w:val="00BD6549"/>
    <w:rsid w:val="00BE2A1A"/>
    <w:rsid w:val="00BF04D9"/>
    <w:rsid w:val="00BF4401"/>
    <w:rsid w:val="00BF4EC2"/>
    <w:rsid w:val="00BF597E"/>
    <w:rsid w:val="00C24C9B"/>
    <w:rsid w:val="00C31C73"/>
    <w:rsid w:val="00C51A36"/>
    <w:rsid w:val="00C548BE"/>
    <w:rsid w:val="00C55228"/>
    <w:rsid w:val="00C67A2A"/>
    <w:rsid w:val="00C67E19"/>
    <w:rsid w:val="00C67E47"/>
    <w:rsid w:val="00C71E85"/>
    <w:rsid w:val="00C86F9B"/>
    <w:rsid w:val="00CA1C09"/>
    <w:rsid w:val="00CA690D"/>
    <w:rsid w:val="00CB1E22"/>
    <w:rsid w:val="00CB260B"/>
    <w:rsid w:val="00CC187B"/>
    <w:rsid w:val="00CC2F1B"/>
    <w:rsid w:val="00CC3D9A"/>
    <w:rsid w:val="00CE315A"/>
    <w:rsid w:val="00CE7BE1"/>
    <w:rsid w:val="00CF1726"/>
    <w:rsid w:val="00CF6C5C"/>
    <w:rsid w:val="00CF7E7F"/>
    <w:rsid w:val="00D06F59"/>
    <w:rsid w:val="00D0742D"/>
    <w:rsid w:val="00D21285"/>
    <w:rsid w:val="00D3392D"/>
    <w:rsid w:val="00D36203"/>
    <w:rsid w:val="00D43964"/>
    <w:rsid w:val="00D5397E"/>
    <w:rsid w:val="00D55E69"/>
    <w:rsid w:val="00D562F6"/>
    <w:rsid w:val="00D6418F"/>
    <w:rsid w:val="00D83753"/>
    <w:rsid w:val="00D8388C"/>
    <w:rsid w:val="00D838ED"/>
    <w:rsid w:val="00D91EE4"/>
    <w:rsid w:val="00DA3748"/>
    <w:rsid w:val="00DA7238"/>
    <w:rsid w:val="00DB5EE9"/>
    <w:rsid w:val="00DD15AC"/>
    <w:rsid w:val="00DD690F"/>
    <w:rsid w:val="00DE15C5"/>
    <w:rsid w:val="00DE2645"/>
    <w:rsid w:val="00DE2D80"/>
    <w:rsid w:val="00DE2F81"/>
    <w:rsid w:val="00DE650B"/>
    <w:rsid w:val="00DF11FF"/>
    <w:rsid w:val="00DF72F9"/>
    <w:rsid w:val="00E038E4"/>
    <w:rsid w:val="00E06FC4"/>
    <w:rsid w:val="00E10651"/>
    <w:rsid w:val="00E11153"/>
    <w:rsid w:val="00E14458"/>
    <w:rsid w:val="00E173A4"/>
    <w:rsid w:val="00E43418"/>
    <w:rsid w:val="00E43822"/>
    <w:rsid w:val="00E51D6F"/>
    <w:rsid w:val="00E63714"/>
    <w:rsid w:val="00E64B9B"/>
    <w:rsid w:val="00E65129"/>
    <w:rsid w:val="00E8025C"/>
    <w:rsid w:val="00E95A68"/>
    <w:rsid w:val="00E97424"/>
    <w:rsid w:val="00EA55F7"/>
    <w:rsid w:val="00EA6F97"/>
    <w:rsid w:val="00EB0164"/>
    <w:rsid w:val="00EB0BDD"/>
    <w:rsid w:val="00EC42F5"/>
    <w:rsid w:val="00ED0F62"/>
    <w:rsid w:val="00EE654C"/>
    <w:rsid w:val="00F019E4"/>
    <w:rsid w:val="00F06CFC"/>
    <w:rsid w:val="00F075C4"/>
    <w:rsid w:val="00F1123C"/>
    <w:rsid w:val="00F136ED"/>
    <w:rsid w:val="00F35603"/>
    <w:rsid w:val="00F606E1"/>
    <w:rsid w:val="00F67CBA"/>
    <w:rsid w:val="00F721C7"/>
    <w:rsid w:val="00F83639"/>
    <w:rsid w:val="00F840C3"/>
    <w:rsid w:val="00F94E47"/>
    <w:rsid w:val="00F956F5"/>
    <w:rsid w:val="00FA0833"/>
    <w:rsid w:val="00FA350D"/>
    <w:rsid w:val="00FA4584"/>
    <w:rsid w:val="00FB7752"/>
    <w:rsid w:val="00FC5B50"/>
    <w:rsid w:val="00FC7CBE"/>
    <w:rsid w:val="00FD2869"/>
    <w:rsid w:val="00FD5EE5"/>
    <w:rsid w:val="00FD72A6"/>
    <w:rsid w:val="00FE76F9"/>
    <w:rsid w:val="00FF6091"/>
    <w:rsid w:val="03586C19"/>
    <w:rsid w:val="0FB1318A"/>
    <w:rsid w:val="108219C2"/>
    <w:rsid w:val="17931D42"/>
    <w:rsid w:val="235B322E"/>
    <w:rsid w:val="2ECA48F1"/>
    <w:rsid w:val="310F26D9"/>
    <w:rsid w:val="4AF876C0"/>
    <w:rsid w:val="52835E6C"/>
    <w:rsid w:val="53DA1A29"/>
    <w:rsid w:val="5EA12B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3"/>
    <w:qFormat/>
    <w:uiPriority w:val="0"/>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table" w:styleId="9">
    <w:name w:val="Table Grid"/>
    <w:basedOn w:val="8"/>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6"/>
    <w:qFormat/>
    <w:uiPriority w:val="99"/>
    <w:rPr>
      <w:rFonts w:ascii="Times New Roman" w:hAnsi="Times New Roman" w:eastAsia="宋体" w:cs="Times New Roman"/>
      <w:sz w:val="18"/>
      <w:szCs w:val="18"/>
    </w:rPr>
  </w:style>
  <w:style w:type="character" w:customStyle="1" w:styleId="12">
    <w:name w:val="页脚 Char"/>
    <w:basedOn w:val="10"/>
    <w:link w:val="5"/>
    <w:qFormat/>
    <w:uiPriority w:val="99"/>
    <w:rPr>
      <w:rFonts w:ascii="Times New Roman" w:hAnsi="Times New Roman" w:eastAsia="宋体" w:cs="Times New Roman"/>
      <w:sz w:val="18"/>
      <w:szCs w:val="18"/>
    </w:rPr>
  </w:style>
  <w:style w:type="character" w:customStyle="1" w:styleId="13">
    <w:name w:val="批注框文本 Char"/>
    <w:basedOn w:val="10"/>
    <w:link w:val="4"/>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464</Words>
  <Characters>2651</Characters>
  <Lines>22</Lines>
  <Paragraphs>6</Paragraphs>
  <TotalTime>1</TotalTime>
  <ScaleCrop>false</ScaleCrop>
  <LinksUpToDate>false</LinksUpToDate>
  <CharactersWithSpaces>3109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LIL</cp:lastModifiedBy>
  <dcterms:modified xsi:type="dcterms:W3CDTF">2020-12-15T16:15:12Z</dcterms:modified>
  <cp:revision>487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