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受审核部门：办公室     主管领导：尚铁娃      陪同人员：赵欢</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审核员：李俐        审核时间：20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12</w:t>
            </w:r>
            <w:r>
              <w:rPr>
                <w:rFonts w:hint="eastAsia" w:ascii="楷体" w:hAnsi="楷体" w:eastAsia="楷体"/>
                <w:sz w:val="24"/>
                <w:szCs w:val="24"/>
              </w:rPr>
              <w:t>.</w:t>
            </w:r>
            <w:r>
              <w:rPr>
                <w:rFonts w:hint="eastAsia" w:ascii="楷体" w:hAnsi="楷体" w:eastAsia="楷体"/>
                <w:sz w:val="24"/>
                <w:szCs w:val="24"/>
                <w:lang w:val="en-US" w:eastAsia="zh-CN"/>
              </w:rPr>
              <w:t>12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pPr>
            <w:r>
              <w:rPr>
                <w:rFonts w:hint="eastAsia"/>
              </w:rPr>
              <w:t>审核条款：</w:t>
            </w:r>
          </w:p>
          <w:p>
            <w:pPr>
              <w:spacing w:line="360" w:lineRule="auto"/>
              <w:rPr>
                <w:szCs w:val="22"/>
              </w:rPr>
            </w:pPr>
            <w:r>
              <w:rPr>
                <w:rFonts w:hint="eastAsia"/>
                <w:szCs w:val="22"/>
              </w:rPr>
              <w:t>EMS：5.3组织的岗位、职责和权限、6.2环境目标、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p>
            <w:pPr>
              <w:pStyle w:val="3"/>
              <w:ind w:left="0"/>
              <w:rPr>
                <w:rFonts w:ascii="楷体" w:hAnsi="楷体" w:eastAsia="楷体"/>
                <w:szCs w:val="21"/>
              </w:rPr>
            </w:pP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组织的岗位、职责和权限</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cs="楷体"/>
                <w:sz w:val="24"/>
                <w:szCs w:val="24"/>
              </w:rPr>
              <w:t>E：</w:t>
            </w:r>
            <w:r>
              <w:rPr>
                <w:rFonts w:hint="eastAsia" w:ascii="楷体" w:hAnsi="楷体" w:eastAsia="楷体"/>
                <w:sz w:val="24"/>
                <w:szCs w:val="24"/>
              </w:rPr>
              <w:t>5.3</w:t>
            </w:r>
          </w:p>
        </w:tc>
        <w:tc>
          <w:tcPr>
            <w:tcW w:w="10004" w:type="dxa"/>
          </w:tcPr>
          <w:p>
            <w:pPr>
              <w:spacing w:line="360" w:lineRule="auto"/>
            </w:pPr>
            <w:r>
              <w:rPr>
                <w:rFonts w:hint="eastAsia"/>
              </w:rPr>
              <w:t>询问部门负责人尚铁娃，主要职责：</w:t>
            </w:r>
          </w:p>
          <w:p>
            <w:pPr>
              <w:spacing w:line="360" w:lineRule="auto"/>
              <w:rPr>
                <w:szCs w:val="22"/>
              </w:rPr>
            </w:pPr>
            <w:r>
              <w:rPr>
                <w:rFonts w:hint="eastAsia"/>
                <w:szCs w:val="22"/>
              </w:rPr>
              <w:t>负责管理体系的建立、体系文件的编制和发布；管理体系文件、方针目标、管理方案及其他管理体系文件的培训；收集整理与公司业务有关的法律法规和要求，并识别相关的合规义务。负责合规义务的评价；公司办公活动中环境因素的识别和评价、重要环境因素的识别和评价、管理方案实施的检查；环境管理体系运行的检查工作，并对不符合项进行跟踪检查，组织相关人员和部门进行风险评估；组织公司的管理评审工作，及管理评审建议改进计划的实施检查；公司固体废弃物的集中管理和处理；公司水、电灯能源和资源消耗的控制；公司特种设备、计量设备、环保设备的检定检验工作；需要持证上岗人员的培训、换证、审核等工作。</w:t>
            </w:r>
          </w:p>
          <w:p>
            <w:pPr>
              <w:spacing w:line="360" w:lineRule="auto"/>
              <w:rPr>
                <w:szCs w:val="22"/>
              </w:rPr>
            </w:pPr>
            <w:r>
              <w:rPr>
                <w:rFonts w:hint="eastAsia"/>
                <w:szCs w:val="22"/>
              </w:rPr>
              <w:t>负责管理体系文件资料的管理工作等。</w:t>
            </w:r>
          </w:p>
          <w:p>
            <w:pPr>
              <w:spacing w:line="360" w:lineRule="auto"/>
            </w:pPr>
            <w:r>
              <w:rPr>
                <w:rFonts w:hint="eastAsia"/>
              </w:rPr>
              <w:t>部门职责清晰、明确，办公室负责人能基本阐述本部门的主要职责。</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809" w:type="dxa"/>
            <w:vAlign w:val="center"/>
          </w:tcPr>
          <w:p>
            <w:pPr>
              <w:spacing w:line="360" w:lineRule="auto"/>
              <w:rPr>
                <w:rFonts w:ascii="楷体" w:hAnsi="楷体" w:eastAsia="楷体"/>
                <w:sz w:val="24"/>
                <w:szCs w:val="24"/>
              </w:rPr>
            </w:pPr>
            <w:r>
              <w:rPr>
                <w:rFonts w:ascii="楷体" w:hAnsi="楷体" w:eastAsia="楷体"/>
                <w:sz w:val="24"/>
                <w:szCs w:val="24"/>
              </w:rPr>
              <w:t>目标</w:t>
            </w:r>
          </w:p>
        </w:tc>
        <w:tc>
          <w:tcPr>
            <w:tcW w:w="1311" w:type="dxa"/>
            <w:vAlign w:val="center"/>
          </w:tcPr>
          <w:p>
            <w:pPr>
              <w:tabs>
                <w:tab w:val="left" w:pos="6597"/>
              </w:tabs>
              <w:spacing w:line="360" w:lineRule="auto"/>
            </w:pPr>
            <w:r>
              <w:rPr>
                <w:rFonts w:hint="eastAsia"/>
              </w:rPr>
              <w:t>E：6.2</w:t>
            </w:r>
          </w:p>
          <w:p>
            <w:pPr>
              <w:pStyle w:val="2"/>
              <w:rPr>
                <w:rFonts w:ascii="Times New Roman" w:eastAsia="宋体"/>
                <w:kern w:val="2"/>
                <w:sz w:val="21"/>
                <w:szCs w:val="22"/>
              </w:rPr>
            </w:pPr>
            <w:r>
              <w:rPr>
                <w:rFonts w:hint="eastAsia" w:ascii="Times New Roman" w:eastAsia="宋体"/>
                <w:kern w:val="2"/>
                <w:sz w:val="21"/>
                <w:szCs w:val="22"/>
              </w:rPr>
              <w:t>6.2.1</w:t>
            </w:r>
          </w:p>
          <w:p>
            <w:pPr>
              <w:pStyle w:val="2"/>
            </w:pPr>
            <w:r>
              <w:rPr>
                <w:rFonts w:hint="eastAsia" w:ascii="Times New Roman" w:eastAsia="宋体"/>
                <w:kern w:val="2"/>
                <w:sz w:val="21"/>
                <w:szCs w:val="22"/>
              </w:rPr>
              <w:t>6.2.2</w:t>
            </w:r>
          </w:p>
        </w:tc>
        <w:tc>
          <w:tcPr>
            <w:tcW w:w="10004" w:type="dxa"/>
          </w:tcPr>
          <w:p>
            <w:pPr>
              <w:spacing w:line="360" w:lineRule="auto"/>
              <w:rPr>
                <w:b/>
                <w:bCs/>
                <w:szCs w:val="22"/>
              </w:rPr>
            </w:pPr>
            <w:r>
              <w:rPr>
                <w:rFonts w:hint="eastAsia"/>
                <w:b/>
                <w:bCs/>
                <w:szCs w:val="22"/>
              </w:rPr>
              <w:t>查到公司的环境目标：</w:t>
            </w:r>
          </w:p>
          <w:p>
            <w:pPr>
              <w:spacing w:line="360" w:lineRule="auto"/>
              <w:ind w:firstLine="210" w:firstLineChars="100"/>
              <w:rPr>
                <w:szCs w:val="22"/>
              </w:rPr>
            </w:pPr>
            <w:r>
              <w:rPr>
                <w:rFonts w:hint="eastAsia"/>
                <w:szCs w:val="22"/>
              </w:rPr>
              <w:t>a）无重大环境污染事故；</w:t>
            </w:r>
          </w:p>
          <w:p>
            <w:pPr>
              <w:spacing w:line="360" w:lineRule="auto"/>
              <w:ind w:firstLine="210" w:firstLineChars="100"/>
              <w:rPr>
                <w:szCs w:val="22"/>
              </w:rPr>
            </w:pPr>
            <w:r>
              <w:rPr>
                <w:rFonts w:hint="eastAsia"/>
                <w:szCs w:val="22"/>
              </w:rPr>
              <w:t>b）火灾事故为零；</w:t>
            </w:r>
          </w:p>
          <w:p>
            <w:pPr>
              <w:spacing w:line="360" w:lineRule="auto"/>
              <w:ind w:firstLine="210" w:firstLineChars="100"/>
              <w:rPr>
                <w:szCs w:val="22"/>
              </w:rPr>
            </w:pPr>
            <w:r>
              <w:rPr>
                <w:rFonts w:hint="eastAsia"/>
                <w:szCs w:val="22"/>
              </w:rPr>
              <w:t>c）环境影响投诉次数为零；</w:t>
            </w:r>
          </w:p>
          <w:p>
            <w:pPr>
              <w:spacing w:line="360" w:lineRule="auto"/>
              <w:ind w:firstLine="210" w:firstLineChars="100"/>
              <w:rPr>
                <w:szCs w:val="22"/>
              </w:rPr>
            </w:pPr>
            <w:r>
              <w:rPr>
                <w:rFonts w:hint="eastAsia"/>
                <w:szCs w:val="22"/>
              </w:rPr>
              <w:t>d）固体废弃物的分类处理率为100%。</w:t>
            </w:r>
          </w:p>
          <w:p>
            <w:pPr>
              <w:spacing w:line="360" w:lineRule="auto"/>
              <w:rPr>
                <w:rFonts w:hint="eastAsia" w:eastAsia="宋体"/>
                <w:szCs w:val="22"/>
                <w:lang w:eastAsia="zh-CN"/>
              </w:rPr>
            </w:pPr>
            <w:r>
              <w:rPr>
                <w:rFonts w:hint="eastAsia"/>
                <w:szCs w:val="22"/>
              </w:rPr>
              <w:t>提供《目标指标及措施计划》：办公室</w:t>
            </w:r>
            <w:r>
              <w:rPr>
                <w:rFonts w:hint="eastAsia"/>
                <w:szCs w:val="22"/>
                <w:lang w:val="en-US" w:eastAsia="zh-CN"/>
              </w:rPr>
              <w:t>.</w:t>
            </w:r>
          </w:p>
          <w:tbl>
            <w:tblPr>
              <w:tblStyle w:val="8"/>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9"/>
              <w:gridCol w:w="414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pPr>
                    <w:ind w:left="210" w:leftChars="100" w:firstLine="1260" w:firstLineChars="600"/>
                    <w:rPr>
                      <w:szCs w:val="22"/>
                    </w:rPr>
                  </w:pPr>
                  <w:r>
                    <w:rPr>
                      <w:rFonts w:hint="eastAsia"/>
                      <w:szCs w:val="22"/>
                    </w:rPr>
                    <w:t>目标指标</w:t>
                  </w:r>
                </w:p>
              </w:tc>
              <w:tc>
                <w:tcPr>
                  <w:tcW w:w="4145" w:type="dxa"/>
                </w:tcPr>
                <w:p>
                  <w:pPr>
                    <w:ind w:left="210" w:leftChars="100" w:firstLine="840" w:firstLineChars="400"/>
                    <w:rPr>
                      <w:szCs w:val="22"/>
                    </w:rPr>
                  </w:pPr>
                  <w:r>
                    <w:rPr>
                      <w:rFonts w:hint="eastAsia"/>
                      <w:szCs w:val="22"/>
                    </w:rPr>
                    <w:t>措施</w:t>
                  </w:r>
                </w:p>
              </w:tc>
              <w:tc>
                <w:tcPr>
                  <w:tcW w:w="1220" w:type="dxa"/>
                </w:tcPr>
                <w:p>
                  <w:pPr>
                    <w:rPr>
                      <w:rFonts w:hint="eastAsia"/>
                      <w:szCs w:val="22"/>
                    </w:rPr>
                  </w:pPr>
                  <w:r>
                    <w:rPr>
                      <w:rFonts w:hint="eastAsia"/>
                      <w:szCs w:val="2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pPr>
                    <w:pStyle w:val="2"/>
                    <w:spacing w:line="240" w:lineRule="auto"/>
                    <w:ind w:left="210" w:leftChars="100"/>
                    <w:jc w:val="both"/>
                    <w:outlineLvl w:val="1"/>
                  </w:pPr>
                  <w:r>
                    <w:rPr>
                      <w:rFonts w:hint="eastAsia" w:ascii="Times New Roman" w:eastAsia="宋体"/>
                      <w:kern w:val="2"/>
                      <w:sz w:val="21"/>
                      <w:szCs w:val="22"/>
                    </w:rPr>
                    <w:t>固体废弃物有效处理率为100%</w:t>
                  </w:r>
                </w:p>
              </w:tc>
              <w:tc>
                <w:tcPr>
                  <w:tcW w:w="4145" w:type="dxa"/>
                </w:tcPr>
                <w:p>
                  <w:pPr>
                    <w:ind w:left="210" w:leftChars="100"/>
                    <w:rPr>
                      <w:szCs w:val="22"/>
                    </w:rPr>
                  </w:pPr>
                  <w:r>
                    <w:rPr>
                      <w:rFonts w:hint="eastAsia"/>
                      <w:szCs w:val="22"/>
                    </w:rPr>
                    <w:t>制定固体废弃物分类标准</w:t>
                  </w:r>
                </w:p>
                <w:p>
                  <w:pPr>
                    <w:ind w:left="210" w:leftChars="100"/>
                    <w:rPr>
                      <w:szCs w:val="22"/>
                    </w:rPr>
                  </w:pPr>
                  <w:r>
                    <w:rPr>
                      <w:rFonts w:hint="eastAsia"/>
                      <w:szCs w:val="22"/>
                    </w:rPr>
                    <w:t>购置固体废弃物分类存放容器并标识</w:t>
                  </w:r>
                </w:p>
                <w:p>
                  <w:pPr>
                    <w:ind w:left="210" w:leftChars="100"/>
                  </w:pPr>
                  <w:r>
                    <w:rPr>
                      <w:rFonts w:hint="eastAsia"/>
                      <w:szCs w:val="22"/>
                    </w:rPr>
                    <w:t>根据分类交由有资质的回收方回收处理。</w:t>
                  </w:r>
                </w:p>
              </w:tc>
              <w:tc>
                <w:tcPr>
                  <w:tcW w:w="1220" w:type="dxa"/>
                  <w:vAlign w:val="center"/>
                </w:tcPr>
                <w:p>
                  <w:pPr>
                    <w:spacing w:line="360" w:lineRule="auto"/>
                    <w:rPr>
                      <w:rFonts w:hint="eastAsia" w:ascii="Times New Roman" w:hAnsi="Times New Roman" w:eastAsia="宋体" w:cs="Times New Roman"/>
                      <w:kern w:val="2"/>
                      <w:sz w:val="21"/>
                      <w:szCs w:val="22"/>
                      <w:lang w:val="en-US" w:eastAsia="zh-CN" w:bidi="ar-SA"/>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pPr>
                    <w:ind w:left="210" w:leftChars="100"/>
                    <w:rPr>
                      <w:szCs w:val="22"/>
                    </w:rPr>
                  </w:pPr>
                  <w:r>
                    <w:rPr>
                      <w:rFonts w:hint="eastAsia"/>
                      <w:szCs w:val="22"/>
                    </w:rPr>
                    <w:t>培训计划有效执行率100%</w:t>
                  </w:r>
                </w:p>
                <w:p>
                  <w:pPr>
                    <w:pStyle w:val="2"/>
                    <w:spacing w:line="240" w:lineRule="auto"/>
                    <w:ind w:left="210" w:leftChars="100"/>
                    <w:outlineLvl w:val="1"/>
                  </w:pPr>
                </w:p>
              </w:tc>
              <w:tc>
                <w:tcPr>
                  <w:tcW w:w="4145" w:type="dxa"/>
                </w:tcPr>
                <w:p>
                  <w:pPr>
                    <w:ind w:left="210" w:leftChars="100"/>
                    <w:rPr>
                      <w:szCs w:val="22"/>
                    </w:rPr>
                  </w:pPr>
                  <w:r>
                    <w:rPr>
                      <w:rFonts w:hint="eastAsia"/>
                      <w:szCs w:val="22"/>
                    </w:rPr>
                    <w:t>培训计划合理制定</w:t>
                  </w:r>
                </w:p>
                <w:p>
                  <w:pPr>
                    <w:ind w:left="210" w:leftChars="100"/>
                  </w:pPr>
                  <w:r>
                    <w:rPr>
                      <w:rFonts w:hint="eastAsia"/>
                      <w:szCs w:val="22"/>
                    </w:rPr>
                    <w:t>专人负责定期检查</w:t>
                  </w:r>
                </w:p>
              </w:tc>
              <w:tc>
                <w:tcPr>
                  <w:tcW w:w="1220" w:type="dxa"/>
                  <w:vAlign w:val="center"/>
                </w:tcPr>
                <w:p>
                  <w:pPr>
                    <w:spacing w:line="360" w:lineRule="auto"/>
                    <w:rPr>
                      <w:rFonts w:hint="eastAsia" w:ascii="Times New Roman" w:hAnsi="Times New Roman" w:eastAsia="宋体" w:cs="Times New Roman"/>
                      <w:kern w:val="2"/>
                      <w:sz w:val="21"/>
                      <w:szCs w:val="22"/>
                      <w:lang w:val="en-US" w:eastAsia="zh-CN" w:bidi="ar-SA"/>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pPr>
                    <w:ind w:left="210" w:leftChars="100"/>
                    <w:rPr>
                      <w:szCs w:val="22"/>
                    </w:rPr>
                  </w:pPr>
                  <w:r>
                    <w:rPr>
                      <w:rFonts w:hint="eastAsia"/>
                      <w:szCs w:val="22"/>
                    </w:rPr>
                    <w:t>环保、健康安全资金落实率90%以上</w:t>
                  </w:r>
                </w:p>
                <w:p>
                  <w:pPr>
                    <w:pStyle w:val="2"/>
                    <w:spacing w:line="240" w:lineRule="auto"/>
                    <w:ind w:left="210" w:leftChars="100"/>
                    <w:outlineLvl w:val="1"/>
                  </w:pPr>
                </w:p>
              </w:tc>
              <w:tc>
                <w:tcPr>
                  <w:tcW w:w="4145" w:type="dxa"/>
                </w:tcPr>
                <w:p>
                  <w:pPr>
                    <w:ind w:left="210" w:leftChars="100"/>
                    <w:rPr>
                      <w:szCs w:val="22"/>
                    </w:rPr>
                  </w:pPr>
                  <w:r>
                    <w:rPr>
                      <w:rFonts w:hint="eastAsia"/>
                      <w:szCs w:val="22"/>
                    </w:rPr>
                    <w:t>制定列支计划表实时记录</w:t>
                  </w:r>
                </w:p>
                <w:p>
                  <w:pPr>
                    <w:ind w:left="210" w:leftChars="100"/>
                  </w:pPr>
                  <w:r>
                    <w:rPr>
                      <w:rFonts w:hint="eastAsia"/>
                      <w:szCs w:val="22"/>
                    </w:rPr>
                    <w:t>专人负责，定期间检查</w:t>
                  </w:r>
                </w:p>
              </w:tc>
              <w:tc>
                <w:tcPr>
                  <w:tcW w:w="1220" w:type="dxa"/>
                  <w:vAlign w:val="center"/>
                </w:tcPr>
                <w:p>
                  <w:pPr>
                    <w:spacing w:line="360" w:lineRule="auto"/>
                    <w:rPr>
                      <w:rFonts w:hint="eastAsia" w:ascii="Times New Roman" w:hAnsi="Times New Roman" w:eastAsia="宋体" w:cs="Times New Roman"/>
                      <w:kern w:val="2"/>
                      <w:sz w:val="21"/>
                      <w:szCs w:val="22"/>
                      <w:lang w:val="en-US" w:eastAsia="zh-CN" w:bidi="ar-SA"/>
                    </w:rPr>
                  </w:pPr>
                  <w:r>
                    <w:rPr>
                      <w:rFonts w:hint="eastAsia"/>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tcPr>
                <w:p>
                  <w:pPr>
                    <w:ind w:left="210" w:leftChars="100"/>
                    <w:rPr>
                      <w:szCs w:val="22"/>
                    </w:rPr>
                  </w:pPr>
                  <w:r>
                    <w:rPr>
                      <w:rFonts w:hint="eastAsia"/>
                      <w:szCs w:val="22"/>
                    </w:rPr>
                    <w:t>火灾发生率0</w:t>
                  </w:r>
                </w:p>
                <w:p>
                  <w:pPr>
                    <w:pStyle w:val="2"/>
                    <w:spacing w:line="240" w:lineRule="auto"/>
                    <w:ind w:left="210" w:leftChars="100"/>
                    <w:outlineLvl w:val="1"/>
                  </w:pPr>
                </w:p>
              </w:tc>
              <w:tc>
                <w:tcPr>
                  <w:tcW w:w="4145" w:type="dxa"/>
                </w:tcPr>
                <w:p>
                  <w:pPr>
                    <w:ind w:left="210" w:leftChars="100"/>
                    <w:rPr>
                      <w:szCs w:val="22"/>
                    </w:rPr>
                  </w:pPr>
                  <w:r>
                    <w:rPr>
                      <w:rFonts w:hint="eastAsia"/>
                      <w:szCs w:val="22"/>
                    </w:rPr>
                    <w:t>建立安全环保检查制度</w:t>
                  </w:r>
                </w:p>
                <w:p>
                  <w:pPr>
                    <w:ind w:left="210" w:leftChars="100"/>
                    <w:rPr>
                      <w:szCs w:val="22"/>
                    </w:rPr>
                  </w:pPr>
                  <w:r>
                    <w:rPr>
                      <w:rFonts w:hint="eastAsia"/>
                      <w:szCs w:val="22"/>
                    </w:rPr>
                    <w:t>专人负责定期检查，如实记录</w:t>
                  </w:r>
                </w:p>
                <w:p>
                  <w:pPr>
                    <w:ind w:left="210" w:leftChars="100"/>
                  </w:pPr>
                  <w:r>
                    <w:rPr>
                      <w:rFonts w:hint="eastAsia"/>
                      <w:szCs w:val="22"/>
                    </w:rPr>
                    <w:t>有效整改不符合项</w:t>
                  </w:r>
                </w:p>
              </w:tc>
              <w:tc>
                <w:tcPr>
                  <w:tcW w:w="1220" w:type="dxa"/>
                  <w:vAlign w:val="center"/>
                </w:tcPr>
                <w:p>
                  <w:pPr>
                    <w:spacing w:line="360" w:lineRule="auto"/>
                    <w:rPr>
                      <w:rFonts w:hint="eastAsia" w:ascii="Times New Roman" w:hAnsi="Times New Roman" w:eastAsia="宋体" w:cs="Times New Roman"/>
                      <w:kern w:val="2"/>
                      <w:sz w:val="21"/>
                      <w:szCs w:val="22"/>
                      <w:lang w:val="en-US" w:eastAsia="zh-CN" w:bidi="ar-SA"/>
                    </w:rPr>
                  </w:pPr>
                  <w:r>
                    <w:rPr>
                      <w:rFonts w:hint="eastAsia"/>
                      <w:szCs w:val="22"/>
                    </w:rPr>
                    <w:t>0</w:t>
                  </w:r>
                </w:p>
              </w:tc>
            </w:tr>
          </w:tbl>
          <w:p>
            <w:pPr>
              <w:pStyle w:val="2"/>
            </w:pPr>
          </w:p>
          <w:p>
            <w:pPr>
              <w:spacing w:line="360" w:lineRule="auto"/>
              <w:rPr>
                <w:szCs w:val="22"/>
              </w:rPr>
            </w:pPr>
            <w:r>
              <w:rPr>
                <w:rFonts w:hint="eastAsia"/>
                <w:szCs w:val="22"/>
              </w:rPr>
              <w:t>查到《20</w:t>
            </w:r>
            <w:r>
              <w:rPr>
                <w:rFonts w:hint="eastAsia"/>
                <w:szCs w:val="22"/>
                <w:lang w:val="en-US" w:eastAsia="zh-CN"/>
              </w:rPr>
              <w:t>20</w:t>
            </w:r>
            <w:r>
              <w:rPr>
                <w:rFonts w:hint="eastAsia"/>
                <w:szCs w:val="22"/>
              </w:rPr>
              <w:t>年目标指标统计表》目标完成情况考核表：考核日期：</w:t>
            </w:r>
            <w:bookmarkStart w:id="0" w:name="_GoBack"/>
            <w:r>
              <w:rPr>
                <w:rFonts w:hint="eastAsia"/>
                <w:szCs w:val="22"/>
              </w:rPr>
              <w:t>20</w:t>
            </w:r>
            <w:r>
              <w:rPr>
                <w:rFonts w:hint="eastAsia"/>
                <w:szCs w:val="22"/>
                <w:lang w:val="en-US" w:eastAsia="zh-CN"/>
              </w:rPr>
              <w:t>20.7.4</w:t>
            </w:r>
            <w:bookmarkEnd w:id="0"/>
          </w:p>
          <w:p>
            <w:pPr>
              <w:spacing w:line="360" w:lineRule="auto"/>
              <w:rPr>
                <w:szCs w:val="22"/>
              </w:rPr>
            </w:pPr>
            <w:r>
              <w:rPr>
                <w:rFonts w:hint="eastAsia"/>
                <w:szCs w:val="22"/>
              </w:rPr>
              <w:t>查到公司制定的</w:t>
            </w:r>
            <w:r>
              <w:rPr>
                <w:rFonts w:hint="eastAsia"/>
                <w:szCs w:val="22"/>
                <w:lang w:val="en-US" w:eastAsia="zh-CN"/>
              </w:rPr>
              <w:t>2020</w:t>
            </w:r>
            <w:r>
              <w:rPr>
                <w:rFonts w:hint="eastAsia"/>
                <w:szCs w:val="22"/>
              </w:rPr>
              <w:t>年度“环境管理方案”，主要加强固体废物管理；降低设备噪声；火灾事故的发生等管理方案。</w:t>
            </w:r>
          </w:p>
          <w:p>
            <w:pPr>
              <w:spacing w:line="360" w:lineRule="auto"/>
              <w:ind w:firstLine="420" w:firstLineChars="200"/>
              <w:rPr>
                <w:szCs w:val="22"/>
              </w:rPr>
            </w:pPr>
            <w:r>
              <w:rPr>
                <w:rFonts w:hint="eastAsia"/>
                <w:szCs w:val="22"/>
              </w:rPr>
              <w:t>抽查杜绝火灾管理方案，</w:t>
            </w:r>
          </w:p>
          <w:p>
            <w:pPr>
              <w:spacing w:line="360" w:lineRule="auto"/>
              <w:ind w:firstLine="420" w:firstLineChars="200"/>
              <w:rPr>
                <w:szCs w:val="22"/>
              </w:rPr>
            </w:pPr>
            <w:r>
              <w:rPr>
                <w:rFonts w:hint="eastAsia"/>
                <w:szCs w:val="22"/>
              </w:rPr>
              <w:t>管理目标：火灾事故发生率为0，</w:t>
            </w:r>
          </w:p>
          <w:p>
            <w:pPr>
              <w:spacing w:line="360" w:lineRule="auto"/>
              <w:ind w:firstLine="420" w:firstLineChars="200"/>
              <w:rPr>
                <w:szCs w:val="22"/>
              </w:rPr>
            </w:pPr>
            <w:r>
              <w:rPr>
                <w:rFonts w:hint="eastAsia"/>
                <w:szCs w:val="22"/>
              </w:rPr>
              <w:t>管理组织及职责：规定了各部门负责人及工作人员的职责及控制方法，费用预算、完成时间。</w:t>
            </w:r>
          </w:p>
          <w:p>
            <w:pPr>
              <w:spacing w:line="360" w:lineRule="auto"/>
              <w:ind w:firstLine="420" w:firstLineChars="200"/>
              <w:rPr>
                <w:szCs w:val="22"/>
              </w:rPr>
            </w:pPr>
            <w:r>
              <w:rPr>
                <w:rFonts w:hint="eastAsia"/>
                <w:szCs w:val="22"/>
                <w:lang w:val="en-US" w:eastAsia="zh-CN"/>
              </w:rPr>
              <w:t>2019年环境</w:t>
            </w:r>
            <w:r>
              <w:rPr>
                <w:rFonts w:hint="eastAsia"/>
                <w:szCs w:val="22"/>
              </w:rPr>
              <w:t>措施：增加环保设备、加强电器设备的维护和保养；加强对于仓库和车间易燃部位管理，杜绝火灾隐患；确保厂区应急通道畅通；确保消防设施完好；加强火灾安全意识。</w:t>
            </w:r>
          </w:p>
          <w:p>
            <w:pPr>
              <w:spacing w:line="360" w:lineRule="auto"/>
              <w:rPr>
                <w:rFonts w:hint="eastAsia" w:eastAsia="宋体"/>
                <w:szCs w:val="22"/>
                <w:lang w:eastAsia="zh-CN"/>
              </w:rPr>
            </w:pPr>
            <w:r>
              <w:rPr>
                <w:rFonts w:hint="eastAsia"/>
                <w:szCs w:val="22"/>
              </w:rPr>
              <w:t>费用1</w:t>
            </w:r>
            <w:r>
              <w:rPr>
                <w:rFonts w:hint="eastAsia"/>
                <w:szCs w:val="22"/>
                <w:lang w:val="en-US" w:eastAsia="zh-CN"/>
              </w:rPr>
              <w:t>200</w:t>
            </w:r>
            <w:r>
              <w:rPr>
                <w:rFonts w:hint="eastAsia"/>
                <w:szCs w:val="22"/>
              </w:rPr>
              <w:t>0元，2019.12月</w:t>
            </w:r>
            <w:r>
              <w:rPr>
                <w:rFonts w:hint="eastAsia"/>
                <w:szCs w:val="22"/>
                <w:lang w:val="en-US" w:eastAsia="zh-CN"/>
              </w:rPr>
              <w:t>已</w:t>
            </w:r>
            <w:r>
              <w:rPr>
                <w:rFonts w:hint="eastAsia"/>
                <w:szCs w:val="22"/>
              </w:rPr>
              <w:t xml:space="preserve">完成，责任人：尚铁娃 </w:t>
            </w:r>
            <w:r>
              <w:rPr>
                <w:rFonts w:hint="eastAsia"/>
                <w:szCs w:val="22"/>
                <w:lang w:eastAsia="zh-CN"/>
              </w:rPr>
              <w:t>。</w:t>
            </w:r>
          </w:p>
          <w:p>
            <w:pPr>
              <w:spacing w:line="360" w:lineRule="auto"/>
              <w:rPr>
                <w:szCs w:val="22"/>
              </w:rPr>
            </w:pPr>
            <w:r>
              <w:rPr>
                <w:rFonts w:hint="eastAsia"/>
                <w:szCs w:val="22"/>
                <w:lang w:val="en-US" w:eastAsia="zh-CN"/>
              </w:rPr>
              <w:t>2020年制定了</w:t>
            </w:r>
            <w:r>
              <w:rPr>
                <w:rFonts w:hint="eastAsia"/>
                <w:szCs w:val="22"/>
              </w:rPr>
              <w:t>管理方案编制人：尚铁娃，批准：赵国军，日期：20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月6日。</w:t>
            </w:r>
          </w:p>
          <w:p>
            <w:pPr>
              <w:spacing w:line="360" w:lineRule="auto"/>
              <w:rPr>
                <w:szCs w:val="22"/>
              </w:rPr>
            </w:pPr>
            <w:r>
              <w:rPr>
                <w:rFonts w:hint="eastAsia"/>
                <w:szCs w:val="22"/>
                <w:lang w:val="en-US" w:eastAsia="zh-CN"/>
              </w:rPr>
              <w:t>提供</w:t>
            </w:r>
            <w:r>
              <w:rPr>
                <w:rFonts w:hint="eastAsia"/>
                <w:szCs w:val="22"/>
              </w:rPr>
              <w:t>降低设备噪声的管理方案、加强固体废物管理的管理方案，制定了管理控制措施，明确的责任人、费用和完成期限，经过审批。</w:t>
            </w:r>
          </w:p>
          <w:p>
            <w:pPr>
              <w:spacing w:line="360" w:lineRule="auto"/>
              <w:ind w:firstLine="420" w:firstLineChars="200"/>
            </w:pPr>
            <w:r>
              <w:rPr>
                <w:rFonts w:hint="eastAsia"/>
                <w:szCs w:val="22"/>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809" w:type="dxa"/>
            <w:vAlign w:val="center"/>
          </w:tcPr>
          <w:p>
            <w:pPr>
              <w:snapToGrid w:val="0"/>
              <w:spacing w:line="360" w:lineRule="auto"/>
              <w:ind w:firstLine="240" w:firstLineChars="100"/>
              <w:rPr>
                <w:rFonts w:ascii="楷体" w:hAnsi="楷体" w:eastAsia="楷体"/>
                <w:sz w:val="24"/>
                <w:szCs w:val="24"/>
              </w:rPr>
            </w:pPr>
            <w:r>
              <w:rPr>
                <w:rFonts w:hint="eastAsia" w:ascii="楷体" w:hAnsi="楷体" w:eastAsia="楷体" w:cs="Arial"/>
                <w:sz w:val="24"/>
                <w:szCs w:val="24"/>
              </w:rPr>
              <w:t>环境因素</w:t>
            </w:r>
          </w:p>
        </w:tc>
        <w:tc>
          <w:tcPr>
            <w:tcW w:w="1311"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004" w:type="dxa"/>
          </w:tcPr>
          <w:p>
            <w:pPr>
              <w:spacing w:line="360" w:lineRule="auto"/>
              <w:ind w:firstLine="420" w:firstLineChars="200"/>
              <w:rPr>
                <w:szCs w:val="22"/>
              </w:rPr>
            </w:pPr>
            <w:r>
              <w:rPr>
                <w:rFonts w:hint="eastAsia"/>
                <w:szCs w:val="22"/>
              </w:rPr>
              <w:t xml:space="preserve">提供了“环境因素识别评价汇总表”，识别了体系覆盖的各过程的环境因素，如水电消耗、废旧办公设备排放、生活垃圾排放、运输汽车尾气扬尘排放、废气排放、设备噪声的排放等环境因素。 </w:t>
            </w:r>
          </w:p>
          <w:p>
            <w:pPr>
              <w:spacing w:line="360" w:lineRule="auto"/>
              <w:ind w:firstLine="420" w:firstLineChars="200"/>
              <w:rPr>
                <w:szCs w:val="22"/>
              </w:rPr>
            </w:pPr>
            <w:r>
              <w:rPr>
                <w:rFonts w:hint="eastAsia"/>
                <w:szCs w:val="22"/>
              </w:rPr>
              <w:t>现场提供了《重要环境因素清单》，通过评价，公司共识别出重要环境因素4项。</w:t>
            </w:r>
          </w:p>
          <w:p>
            <w:pPr>
              <w:spacing w:line="360" w:lineRule="auto"/>
              <w:ind w:firstLine="420" w:firstLineChars="200"/>
              <w:rPr>
                <w:szCs w:val="22"/>
              </w:rPr>
            </w:pPr>
            <w:r>
              <w:rPr>
                <w:rFonts w:hint="eastAsia"/>
                <w:szCs w:val="22"/>
              </w:rPr>
              <w:t>查办公室环境因素识别情况：识别了办公过程的如下环境因素：办公过程中的电能消耗、资源消耗等。</w:t>
            </w:r>
          </w:p>
          <w:p>
            <w:pPr>
              <w:spacing w:line="360" w:lineRule="auto"/>
              <w:ind w:firstLine="420" w:firstLineChars="200"/>
              <w:rPr>
                <w:szCs w:val="22"/>
              </w:rPr>
            </w:pPr>
            <w:r>
              <w:rPr>
                <w:rFonts w:hint="eastAsia"/>
                <w:szCs w:val="22"/>
              </w:rPr>
              <w:t>涉及办公室的重要环境因素有2项：办公活动过程中的火灾及固废排放。</w:t>
            </w:r>
          </w:p>
          <w:p>
            <w:pPr>
              <w:spacing w:line="360" w:lineRule="auto"/>
              <w:ind w:firstLine="420" w:firstLineChars="200"/>
            </w:pPr>
            <w:r>
              <w:rPr>
                <w:rFonts w:hint="eastAsia"/>
                <w:szCs w:val="22"/>
              </w:rPr>
              <w:t>对于重要环境因素的控制，通过建立火灾应急预案，并实施演练、每年对公司用电线路检查检修、每月对消防设施实施定期检查、固废分类存放、收集、交由有资质单位处理；</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宋体"/>
                <w:sz w:val="24"/>
                <w:szCs w:val="24"/>
              </w:rPr>
            </w:pPr>
            <w:r>
              <w:rPr>
                <w:rFonts w:hint="eastAsia" w:ascii="楷体" w:hAnsi="楷体" w:eastAsia="楷体" w:cs="Arial"/>
                <w:sz w:val="24"/>
                <w:szCs w:val="24"/>
              </w:rPr>
              <w:t>合规义务</w:t>
            </w:r>
          </w:p>
        </w:tc>
        <w:tc>
          <w:tcPr>
            <w:tcW w:w="1311"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6.1.3</w:t>
            </w:r>
          </w:p>
        </w:tc>
        <w:tc>
          <w:tcPr>
            <w:tcW w:w="10004" w:type="dxa"/>
            <w:vAlign w:val="center"/>
          </w:tcPr>
          <w:p>
            <w:pPr>
              <w:spacing w:line="360" w:lineRule="auto"/>
              <w:rPr>
                <w:szCs w:val="22"/>
              </w:rPr>
            </w:pPr>
            <w:r>
              <w:rPr>
                <w:rFonts w:hint="eastAsia"/>
                <w:szCs w:val="22"/>
              </w:rPr>
              <w:t>提供了“法律法规合规性评价记录”，包含了</w:t>
            </w:r>
          </w:p>
          <w:p>
            <w:pPr>
              <w:spacing w:line="360" w:lineRule="auto"/>
              <w:ind w:firstLine="420" w:firstLineChars="200"/>
              <w:rPr>
                <w:rFonts w:hint="eastAsia"/>
                <w:szCs w:val="22"/>
              </w:rPr>
            </w:pPr>
            <w:r>
              <w:rPr>
                <w:rFonts w:hint="eastAsia"/>
                <w:szCs w:val="22"/>
              </w:rPr>
              <w:t>废水排放（中华人民共和国水污染防治法、中华人民共和国水污染防治法实施细则、污水综合排放标准、中华人民共和国水法、国务院关于加强城市供水节水和水污染防治的通知、陕西省取水许可和水资源费征收管理办法、西安市节约用水办法、西安市地下水管理办法）；</w:t>
            </w:r>
          </w:p>
          <w:p>
            <w:pPr>
              <w:spacing w:line="360" w:lineRule="auto"/>
              <w:ind w:firstLine="420" w:firstLineChars="200"/>
              <w:rPr>
                <w:rFonts w:hint="eastAsia"/>
                <w:szCs w:val="22"/>
              </w:rPr>
            </w:pPr>
            <w:r>
              <w:rPr>
                <w:rFonts w:hint="eastAsia"/>
                <w:szCs w:val="22"/>
              </w:rPr>
              <w:t>粉尘排放（中华人民共和国大气污染防治法、地方环境质量标准和污染物排放标准备案管理办法、大气污染综合排放标准、环境空气质量标准）；</w:t>
            </w:r>
          </w:p>
          <w:p>
            <w:pPr>
              <w:spacing w:line="360" w:lineRule="auto"/>
              <w:ind w:firstLine="420" w:firstLineChars="200"/>
              <w:rPr>
                <w:rFonts w:hint="eastAsia"/>
                <w:szCs w:val="22"/>
              </w:rPr>
            </w:pPr>
            <w:r>
              <w:rPr>
                <w:rFonts w:hint="eastAsia"/>
                <w:szCs w:val="22"/>
              </w:rPr>
              <w:t>噪声排放（中华人民共和国环境噪声污染防治法、声环境质量标准建筑施工厂界环境噪音排放标、噪音作业分级）；</w:t>
            </w:r>
          </w:p>
          <w:p>
            <w:pPr>
              <w:spacing w:line="360" w:lineRule="auto"/>
              <w:ind w:firstLine="420" w:firstLineChars="200"/>
              <w:rPr>
                <w:rFonts w:hint="eastAsia"/>
                <w:szCs w:val="22"/>
              </w:rPr>
            </w:pPr>
            <w:r>
              <w:rPr>
                <w:rFonts w:hint="eastAsia"/>
                <w:szCs w:val="22"/>
              </w:rPr>
              <w:t>固体废弃物排放（中华人民共和国固体废物污染环境防治法、国家危险废物名录、危险化学品安全管理条例、一般工业固体废物贮存、处置场所污染控制标准、城市生活垃圾分类及其评价标准；</w:t>
            </w:r>
          </w:p>
          <w:p>
            <w:pPr>
              <w:spacing w:line="360" w:lineRule="auto"/>
              <w:ind w:firstLine="420" w:firstLineChars="200"/>
              <w:rPr>
                <w:rFonts w:hint="eastAsia"/>
                <w:szCs w:val="22"/>
              </w:rPr>
            </w:pPr>
            <w:r>
              <w:rPr>
                <w:rFonts w:hint="eastAsia"/>
                <w:szCs w:val="22"/>
              </w:rPr>
              <w:t>能（资）源使用（中华人民共和国节约能源法、国务院关于加强节能工作的决定、城市节约用水管理规定、中华人民共和国清洁生产促进法）；</w:t>
            </w:r>
          </w:p>
          <w:p>
            <w:pPr>
              <w:spacing w:line="360" w:lineRule="auto"/>
              <w:ind w:firstLine="420" w:firstLineChars="200"/>
              <w:rPr>
                <w:rFonts w:hint="eastAsia"/>
                <w:szCs w:val="22"/>
              </w:rPr>
            </w:pPr>
            <w:r>
              <w:rPr>
                <w:rFonts w:hint="eastAsia"/>
                <w:szCs w:val="22"/>
              </w:rPr>
              <w:t>化学品管理（危险化学品目录、危险化学品安全管理条例、危险化学品贮存通则、工作场所安全使用化学品规定危险废物转移联单管理办法）、</w:t>
            </w:r>
          </w:p>
          <w:p>
            <w:pPr>
              <w:spacing w:line="360" w:lineRule="auto"/>
              <w:ind w:firstLine="420" w:firstLineChars="200"/>
              <w:rPr>
                <w:rFonts w:hint="eastAsia"/>
                <w:szCs w:val="22"/>
              </w:rPr>
            </w:pPr>
            <w:r>
              <w:rPr>
                <w:rFonts w:hint="eastAsia"/>
                <w:szCs w:val="22"/>
              </w:rPr>
              <w:t>落后产能淘汰、消防安全管理、其它等方面适用的法律法规47个，进行评价，通过执行情况分析，评价结果：满足要求。</w:t>
            </w:r>
          </w:p>
          <w:p>
            <w:pPr>
              <w:spacing w:line="360" w:lineRule="auto"/>
              <w:ind w:firstLine="420" w:firstLineChars="200"/>
              <w:rPr>
                <w:rFonts w:ascii="楷体" w:hAnsi="楷体" w:eastAsia="楷体" w:cs="楷体"/>
                <w:sz w:val="24"/>
                <w:szCs w:val="24"/>
              </w:rPr>
            </w:pPr>
            <w:r>
              <w:rPr>
                <w:rFonts w:hint="eastAsia"/>
                <w:szCs w:val="22"/>
              </w:rPr>
              <w:t>办公室根据需要随时网上获取、识别更新，并通过培训、宣传、会议等形式传达给员工和相关方，各部门如有需要随时到办公室查阅。</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809" w:type="dxa"/>
            <w:vAlign w:val="center"/>
          </w:tcPr>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措施的策划</w:t>
            </w:r>
          </w:p>
        </w:tc>
        <w:tc>
          <w:tcPr>
            <w:tcW w:w="1311" w:type="dxa"/>
          </w:tcPr>
          <w:p>
            <w:pPr>
              <w:spacing w:line="360" w:lineRule="auto"/>
              <w:rPr>
                <w:rFonts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E6.1.4</w:t>
            </w:r>
          </w:p>
        </w:tc>
        <w:tc>
          <w:tcPr>
            <w:tcW w:w="10004" w:type="dxa"/>
            <w:vAlign w:val="center"/>
          </w:tcPr>
          <w:p>
            <w:pPr>
              <w:spacing w:line="360" w:lineRule="auto"/>
              <w:ind w:firstLine="420" w:firstLineChars="200"/>
              <w:rPr>
                <w:szCs w:val="22"/>
              </w:rPr>
            </w:pPr>
            <w:r>
              <w:rPr>
                <w:rFonts w:hint="eastAsia"/>
                <w:szCs w:val="22"/>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szCs w:val="22"/>
              </w:rPr>
            </w:pPr>
            <w:r>
              <w:rPr>
                <w:rFonts w:hint="eastAsia"/>
                <w:szCs w:val="22"/>
              </w:rPr>
              <w:t>制定了《法律、法规和其他要求控制程序》、《合规性评价控制程序》，每年对公司适用的合规义务进行识别更新并定期评价、检查。</w:t>
            </w:r>
          </w:p>
          <w:p>
            <w:pPr>
              <w:spacing w:line="360" w:lineRule="auto"/>
              <w:rPr>
                <w:rFonts w:ascii="楷体" w:hAnsi="楷体" w:eastAsia="楷体" w:cs="楷体"/>
                <w:sz w:val="24"/>
                <w:szCs w:val="24"/>
              </w:rPr>
            </w:pPr>
            <w:r>
              <w:rPr>
                <w:rFonts w:hint="eastAsia"/>
                <w:szCs w:val="22"/>
              </w:rPr>
              <w:t>经组织评价，组织策划的措施基本能够满足风险和机遇应对需要，与潜在影响相适应，基本满足标准要求。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能力、意识</w:t>
            </w:r>
          </w:p>
        </w:tc>
        <w:tc>
          <w:tcPr>
            <w:tcW w:w="1311" w:type="dxa"/>
          </w:tcPr>
          <w:p>
            <w:pPr>
              <w:spacing w:line="360" w:lineRule="auto"/>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7.2</w:t>
            </w:r>
          </w:p>
          <w:p>
            <w:pPr>
              <w:spacing w:line="360" w:lineRule="auto"/>
              <w:ind w:firstLine="240" w:firstLineChars="100"/>
              <w:rPr>
                <w:rFonts w:ascii="楷体" w:hAnsi="楷体" w:eastAsia="楷体"/>
                <w:sz w:val="24"/>
                <w:szCs w:val="24"/>
              </w:rPr>
            </w:pPr>
            <w:r>
              <w:rPr>
                <w:rFonts w:hint="eastAsia" w:ascii="楷体" w:hAnsi="楷体" w:eastAsia="楷体"/>
                <w:sz w:val="24"/>
                <w:szCs w:val="24"/>
              </w:rPr>
              <w:t>7.3</w:t>
            </w:r>
          </w:p>
        </w:tc>
        <w:tc>
          <w:tcPr>
            <w:tcW w:w="10004" w:type="dxa"/>
          </w:tcPr>
          <w:p>
            <w:pPr>
              <w:spacing w:line="360" w:lineRule="auto"/>
              <w:ind w:firstLine="420" w:firstLineChars="200"/>
              <w:rPr>
                <w:szCs w:val="22"/>
              </w:rPr>
            </w:pPr>
            <w:r>
              <w:rPr>
                <w:rFonts w:hint="eastAsia"/>
                <w:szCs w:val="22"/>
              </w:rPr>
              <w:t>公司制定了《岗位人员任职要求》，对各部门领导层、生产科、供销科、办公室、技术质量科负责人岗位能力工作权限与内容、任职资格（经验知识个人素质、专业技能）的等作出了规定。</w:t>
            </w:r>
          </w:p>
          <w:p>
            <w:pPr>
              <w:spacing w:line="360" w:lineRule="auto"/>
              <w:ind w:firstLine="420" w:firstLineChars="200"/>
              <w:rPr>
                <w:szCs w:val="22"/>
              </w:rPr>
            </w:pPr>
            <w:r>
              <w:rPr>
                <w:rFonts w:hint="eastAsia"/>
                <w:szCs w:val="22"/>
              </w:rPr>
              <w:t>查看《员工任职能力评价表》，20</w:t>
            </w:r>
            <w:r>
              <w:rPr>
                <w:rFonts w:hint="eastAsia"/>
                <w:szCs w:val="22"/>
                <w:lang w:val="en-US" w:eastAsia="zh-CN"/>
              </w:rPr>
              <w:t>20</w:t>
            </w:r>
            <w:r>
              <w:rPr>
                <w:rFonts w:hint="eastAsia"/>
                <w:szCs w:val="22"/>
              </w:rPr>
              <w:t>.5.20 评估人： 赵国军 其中包括：总经理、管代、各部门负责人等。能够满足公司环境管理体系运行以及体系覆盖产品生产和服务的需求。</w:t>
            </w:r>
          </w:p>
          <w:p>
            <w:pPr>
              <w:spacing w:line="360" w:lineRule="auto"/>
              <w:ind w:firstLine="420" w:firstLineChars="200"/>
              <w:rPr>
                <w:szCs w:val="22"/>
              </w:rPr>
            </w:pPr>
            <w:r>
              <w:rPr>
                <w:rFonts w:hint="eastAsia"/>
                <w:szCs w:val="22"/>
              </w:rPr>
              <w:t>查看20</w:t>
            </w:r>
            <w:r>
              <w:rPr>
                <w:rFonts w:hint="eastAsia"/>
                <w:szCs w:val="22"/>
                <w:lang w:val="en-US" w:eastAsia="zh-CN"/>
              </w:rPr>
              <w:t>20</w:t>
            </w:r>
            <w:r>
              <w:rPr>
                <w:rFonts w:hint="eastAsia"/>
                <w:szCs w:val="22"/>
              </w:rPr>
              <w:t>年培训计划表，内容包括：管理方针、目标及管理方案</w:t>
            </w:r>
            <w:r>
              <w:rPr>
                <w:rFonts w:hint="eastAsia"/>
                <w:szCs w:val="22"/>
                <w:lang w:eastAsia="zh-CN"/>
              </w:rPr>
              <w:t>、</w:t>
            </w:r>
            <w:r>
              <w:rPr>
                <w:rFonts w:hint="eastAsia"/>
                <w:szCs w:val="22"/>
              </w:rPr>
              <w:t>环境、安全基础知识培训、GB/T24001标准各条款详解、管理手册、程序文件、环境因素评价及控制等培训。</w:t>
            </w:r>
          </w:p>
          <w:p>
            <w:pPr>
              <w:spacing w:line="360" w:lineRule="auto"/>
              <w:ind w:firstLine="420" w:firstLineChars="200"/>
              <w:rPr>
                <w:szCs w:val="22"/>
              </w:rPr>
            </w:pPr>
            <w:r>
              <w:rPr>
                <w:rFonts w:hint="eastAsia"/>
                <w:szCs w:val="22"/>
              </w:rPr>
              <w:t>抽1：</w:t>
            </w:r>
            <w:r>
              <w:rPr>
                <w:rFonts w:hint="eastAsia" w:ascii="宋体" w:hAnsi="宋体"/>
              </w:rPr>
              <w:t>20</w:t>
            </w:r>
            <w:r>
              <w:rPr>
                <w:rFonts w:hint="eastAsia" w:ascii="宋体" w:hAnsi="宋体"/>
                <w:lang w:val="en-US" w:eastAsia="zh-CN"/>
              </w:rPr>
              <w:t>20.6.10</w:t>
            </w:r>
            <w:r>
              <w:rPr>
                <w:rFonts w:hint="eastAsia"/>
                <w:szCs w:val="22"/>
              </w:rPr>
              <w:t>在会议室进行了GB/T24001-2016标准及环境管理体系知识培训，培训效果评价，经过培训通过对培训人员的提问，接受培训人员均能正确回答问题，对标准文件的内容和要求掌握清晰明确。培训有效，</w:t>
            </w:r>
            <w:r>
              <w:rPr>
                <w:rFonts w:hint="eastAsia"/>
              </w:rPr>
              <w:t>评价人：</w:t>
            </w:r>
            <w:r>
              <w:rPr>
                <w:rFonts w:hint="eastAsia"/>
                <w:lang w:val="en-US" w:eastAsia="zh-CN"/>
              </w:rPr>
              <w:t>尚铁娃</w:t>
            </w:r>
            <w:r>
              <w:rPr>
                <w:rFonts w:hint="eastAsia"/>
              </w:rPr>
              <w:t xml:space="preserve"> </w:t>
            </w:r>
            <w:r>
              <w:rPr>
                <w:rFonts w:hint="eastAsia"/>
                <w:szCs w:val="22"/>
              </w:rPr>
              <w:t>。</w:t>
            </w:r>
          </w:p>
          <w:p>
            <w:pPr>
              <w:spacing w:line="360" w:lineRule="auto"/>
              <w:ind w:firstLine="420" w:firstLineChars="200"/>
              <w:rPr>
                <w:szCs w:val="22"/>
              </w:rPr>
            </w:pPr>
            <w:r>
              <w:rPr>
                <w:rFonts w:hint="eastAsia"/>
                <w:szCs w:val="22"/>
              </w:rPr>
              <w:t>抽</w:t>
            </w:r>
            <w:r>
              <w:rPr>
                <w:rFonts w:hint="eastAsia" w:ascii="宋体" w:hAnsi="宋体"/>
                <w:szCs w:val="22"/>
              </w:rPr>
              <w:t>2：20</w:t>
            </w:r>
            <w:r>
              <w:rPr>
                <w:rFonts w:hint="eastAsia" w:ascii="宋体" w:hAnsi="宋体"/>
                <w:lang w:val="en-US" w:eastAsia="zh-CN"/>
              </w:rPr>
              <w:t>20</w:t>
            </w:r>
            <w:r>
              <w:rPr>
                <w:rFonts w:hint="eastAsia" w:ascii="宋体" w:hAnsi="宋体"/>
              </w:rPr>
              <w:t>.5.</w:t>
            </w:r>
            <w:r>
              <w:rPr>
                <w:rFonts w:hint="eastAsia" w:ascii="宋体" w:hAnsi="宋体"/>
                <w:lang w:val="en-US" w:eastAsia="zh-CN"/>
              </w:rPr>
              <w:t>23</w:t>
            </w:r>
            <w:r>
              <w:rPr>
                <w:rFonts w:hint="eastAsia" w:ascii="宋体" w:hAnsi="宋体"/>
              </w:rPr>
              <w:t>-</w:t>
            </w:r>
            <w:r>
              <w:rPr>
                <w:rFonts w:hint="eastAsia" w:ascii="宋体" w:hAnsi="宋体"/>
                <w:lang w:val="en-US" w:eastAsia="zh-CN"/>
              </w:rPr>
              <w:t>24</w:t>
            </w:r>
            <w:r>
              <w:rPr>
                <w:rFonts w:hint="eastAsia" w:ascii="宋体" w:hAnsi="宋体"/>
              </w:rPr>
              <w:t>，</w:t>
            </w:r>
            <w:r>
              <w:rPr>
                <w:rFonts w:hint="eastAsia"/>
              </w:rPr>
              <w:t xml:space="preserve"> 管理手册和程序文件</w:t>
            </w:r>
            <w:r>
              <w:rPr>
                <w:rFonts w:hint="eastAsia"/>
                <w:szCs w:val="22"/>
              </w:rPr>
              <w:t>，培训取得预期效果，</w:t>
            </w:r>
            <w:r>
              <w:rPr>
                <w:rFonts w:hint="eastAsia"/>
              </w:rPr>
              <w:t>评价人：</w:t>
            </w:r>
            <w:r>
              <w:rPr>
                <w:rFonts w:hint="eastAsia"/>
                <w:lang w:val="en-US" w:eastAsia="zh-CN"/>
              </w:rPr>
              <w:t>尚铁娃</w:t>
            </w:r>
            <w:r>
              <w:rPr>
                <w:rFonts w:hint="eastAsia"/>
                <w:szCs w:val="22"/>
              </w:rPr>
              <w:t>。</w:t>
            </w:r>
          </w:p>
          <w:p>
            <w:pPr>
              <w:spacing w:line="360" w:lineRule="auto"/>
              <w:ind w:firstLine="420" w:firstLineChars="200"/>
              <w:rPr>
                <w:rFonts w:ascii="宋体" w:hAnsi="宋体"/>
                <w:szCs w:val="22"/>
              </w:rPr>
            </w:pPr>
            <w:r>
              <w:rPr>
                <w:rFonts w:hint="eastAsia" w:ascii="宋体" w:hAnsi="宋体"/>
                <w:szCs w:val="22"/>
              </w:rPr>
              <w:t>抽3、20</w:t>
            </w:r>
            <w:r>
              <w:rPr>
                <w:rFonts w:hint="eastAsia" w:ascii="宋体" w:hAnsi="宋体"/>
                <w:szCs w:val="22"/>
                <w:lang w:val="en-US" w:eastAsia="zh-CN"/>
              </w:rPr>
              <w:t>20</w:t>
            </w:r>
            <w:r>
              <w:rPr>
                <w:rFonts w:hint="eastAsia" w:ascii="宋体" w:hAnsi="宋体"/>
                <w:szCs w:val="22"/>
              </w:rPr>
              <w:t>.</w:t>
            </w:r>
            <w:r>
              <w:rPr>
                <w:rFonts w:hint="eastAsia" w:ascii="宋体" w:hAnsi="宋体"/>
                <w:szCs w:val="22"/>
                <w:lang w:val="en-US" w:eastAsia="zh-CN"/>
              </w:rPr>
              <w:t>4</w:t>
            </w:r>
            <w:r>
              <w:rPr>
                <w:rFonts w:hint="eastAsia" w:ascii="宋体" w:hAnsi="宋体"/>
                <w:szCs w:val="22"/>
              </w:rPr>
              <w:t>.2</w:t>
            </w:r>
            <w:r>
              <w:rPr>
                <w:rFonts w:hint="eastAsia" w:ascii="宋体" w:hAnsi="宋体"/>
                <w:szCs w:val="22"/>
                <w:lang w:val="en-US" w:eastAsia="zh-CN"/>
              </w:rPr>
              <w:t>0</w:t>
            </w:r>
            <w:r>
              <w:rPr>
                <w:rFonts w:hint="eastAsia" w:ascii="宋体" w:hAnsi="宋体"/>
                <w:szCs w:val="22"/>
              </w:rPr>
              <w:t>，环境因素识别及管理方案，</w:t>
            </w:r>
            <w:r>
              <w:rPr>
                <w:rFonts w:hint="eastAsia"/>
              </w:rPr>
              <w:t>评价人：</w:t>
            </w:r>
            <w:r>
              <w:rPr>
                <w:rFonts w:hint="eastAsia"/>
                <w:lang w:val="en-US" w:eastAsia="zh-CN"/>
              </w:rPr>
              <w:t>尚铁娃</w:t>
            </w:r>
            <w:r>
              <w:rPr>
                <w:rFonts w:hint="eastAsia"/>
                <w:szCs w:val="22"/>
              </w:rPr>
              <w:t>。</w:t>
            </w:r>
          </w:p>
          <w:p>
            <w:pPr>
              <w:spacing w:line="360" w:lineRule="auto"/>
              <w:ind w:firstLine="420" w:firstLineChars="200"/>
              <w:rPr>
                <w:rFonts w:hint="eastAsia" w:ascii="宋体" w:hAnsi="宋体"/>
                <w:szCs w:val="22"/>
              </w:rPr>
            </w:pPr>
          </w:p>
          <w:p>
            <w:pPr>
              <w:spacing w:line="360" w:lineRule="auto"/>
              <w:ind w:firstLine="420" w:firstLineChars="200"/>
              <w:rPr>
                <w:rFonts w:hint="eastAsia" w:ascii="宋体" w:hAnsi="宋体"/>
                <w:szCs w:val="22"/>
              </w:rPr>
            </w:pPr>
          </w:p>
          <w:p>
            <w:pPr>
              <w:spacing w:line="360" w:lineRule="auto"/>
              <w:ind w:firstLine="420" w:firstLineChars="200"/>
            </w:pPr>
            <w:r>
              <w:rPr>
                <w:rFonts w:hint="eastAsia" w:ascii="宋体" w:hAnsi="宋体"/>
                <w:szCs w:val="22"/>
              </w:rPr>
              <w:t>提供《持证人员登记表》</w:t>
            </w:r>
          </w:p>
          <w:tbl>
            <w:tblPr>
              <w:tblStyle w:val="7"/>
              <w:tblW w:w="9759" w:type="dxa"/>
              <w:tblInd w:w="0" w:type="dxa"/>
              <w:tblLayout w:type="fixed"/>
              <w:tblCellMar>
                <w:top w:w="0" w:type="dxa"/>
                <w:left w:w="0" w:type="dxa"/>
                <w:bottom w:w="0" w:type="dxa"/>
                <w:right w:w="0" w:type="dxa"/>
              </w:tblCellMar>
            </w:tblPr>
            <w:tblGrid>
              <w:gridCol w:w="444"/>
              <w:gridCol w:w="920"/>
              <w:gridCol w:w="680"/>
              <w:gridCol w:w="1680"/>
              <w:gridCol w:w="740"/>
              <w:gridCol w:w="1780"/>
              <w:gridCol w:w="1060"/>
              <w:gridCol w:w="2455"/>
            </w:tblGrid>
            <w:tr>
              <w:tblPrEx>
                <w:tblCellMar>
                  <w:top w:w="0" w:type="dxa"/>
                  <w:left w:w="0" w:type="dxa"/>
                  <w:bottom w:w="0" w:type="dxa"/>
                  <w:right w:w="0" w:type="dxa"/>
                </w:tblCellMar>
              </w:tblPrEx>
              <w:trPr>
                <w:trHeight w:val="405"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姓名</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身份证号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证书名称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证书号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有效期</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发证机构</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赵金宝</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610321197110082000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叉车证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610321197110082000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sz w:val="18"/>
                      <w:szCs w:val="18"/>
                    </w:rPr>
                    <w:t>2023.07.18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宝鸡市质量技术监督局</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赵欢欢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w:t>
                  </w:r>
                  <w:r>
                    <w:rPr>
                      <w:rStyle w:val="18"/>
                      <w:rFonts w:hint="default"/>
                      <w:sz w:val="18"/>
                      <w:szCs w:val="18"/>
                      <w:lang w:bidi="ar"/>
                    </w:rPr>
                    <w:t>10321198609262130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叉车证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6</w:t>
                  </w:r>
                  <w:r>
                    <w:rPr>
                      <w:rStyle w:val="18"/>
                      <w:rFonts w:hint="default"/>
                      <w:sz w:val="18"/>
                      <w:szCs w:val="18"/>
                      <w:lang w:bidi="ar"/>
                    </w:rPr>
                    <w:t>10321198609262130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sz w:val="18"/>
                      <w:szCs w:val="18"/>
                    </w:rPr>
                    <w:t>2023.07.18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宝鸡市质量技术监督局</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许峰</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男</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610302196905041510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电工证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0826002001200464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2020.12.26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陕西省职业技能鉴定指导中心</w:t>
                  </w:r>
                </w:p>
              </w:tc>
            </w:tr>
          </w:tbl>
          <w:p>
            <w:pPr>
              <w:spacing w:line="360" w:lineRule="auto"/>
              <w:ind w:firstLine="420" w:firstLineChars="200"/>
              <w:rPr>
                <w:szCs w:val="22"/>
              </w:rPr>
            </w:pPr>
            <w:r>
              <w:rPr>
                <w:rFonts w:hint="eastAsia"/>
                <w:szCs w:val="22"/>
              </w:rPr>
              <w:t>人力资源控制基本满足要求。</w:t>
            </w:r>
          </w:p>
          <w:p>
            <w:pPr>
              <w:spacing w:line="360" w:lineRule="auto"/>
              <w:ind w:firstLine="420" w:firstLineChars="200"/>
              <w:rPr>
                <w:szCs w:val="22"/>
              </w:rPr>
            </w:pPr>
            <w:r>
              <w:rPr>
                <w:rFonts w:hint="eastAsia"/>
                <w:szCs w:val="22"/>
              </w:rPr>
              <w:t>尚主任介绍到通过培训、面谈等沟通方式，提高了员工的素质，增强了员工的环保意识，员工认识到了自身贡献的重要性。</w:t>
            </w:r>
          </w:p>
          <w:p>
            <w:pPr>
              <w:spacing w:line="360" w:lineRule="auto"/>
              <w:ind w:firstLine="420" w:firstLineChars="200"/>
              <w:rPr>
                <w:rFonts w:ascii="楷体" w:hAnsi="楷体" w:eastAsia="楷体"/>
                <w:sz w:val="24"/>
                <w:szCs w:val="24"/>
              </w:rPr>
            </w:pPr>
            <w:r>
              <w:rPr>
                <w:rFonts w:hint="eastAsia"/>
                <w:szCs w:val="22"/>
              </w:rPr>
              <w:t>企业已对人力资源的管理、控制进行了策划，并已实施控制，针对体系文件的系统学习进行了交流。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形成文件的信息总则</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7.5.1</w:t>
            </w:r>
          </w:p>
          <w:p>
            <w:pPr>
              <w:spacing w:line="360" w:lineRule="auto"/>
              <w:rPr>
                <w:rFonts w:ascii="楷体" w:hAnsi="楷体" w:eastAsia="楷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 xml:space="preserve">尚主任介绍：企业根据公司建立了管理体系的要求及其体系覆盖范围、企业员工的文化水平、各过程的控制难易程度、企业的实际情况建立了管理体系，企业环境管理体系文件主要包括：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ascii="宋体" w:hAnsi="宋体" w:cs="宋体"/>
                <w:szCs w:val="21"/>
              </w:rPr>
            </w:pPr>
            <w:r>
              <w:rPr>
                <w:rFonts w:hint="eastAsia" w:ascii="宋体" w:hAnsi="宋体" w:cs="宋体"/>
                <w:szCs w:val="21"/>
              </w:rPr>
              <w:t>1）在企业管理手册、程序文件中包括了：管理方针、体系覆盖范围的描述、管理目标、主要要素、过程及其相互作用的描述，以及相关文件查询途径。</w:t>
            </w:r>
          </w:p>
          <w:p>
            <w:pPr>
              <w:spacing w:line="360" w:lineRule="auto"/>
              <w:rPr>
                <w:rFonts w:ascii="宋体" w:hAnsi="宋体" w:cs="宋体"/>
                <w:szCs w:val="21"/>
              </w:rPr>
            </w:pPr>
            <w:r>
              <w:rPr>
                <w:rFonts w:hint="eastAsia" w:ascii="宋体" w:hAnsi="宋体" w:cs="宋体"/>
                <w:szCs w:val="21"/>
              </w:rPr>
              <w:t>2）编制了涉及质量、安全、环境体系过程所需体系有效运行所需管理制度；</w:t>
            </w:r>
          </w:p>
          <w:p>
            <w:pPr>
              <w:spacing w:line="360" w:lineRule="auto"/>
              <w:rPr>
                <w:rFonts w:ascii="宋体" w:hAnsi="宋体" w:cs="宋体"/>
                <w:szCs w:val="21"/>
              </w:rPr>
            </w:pPr>
            <w:r>
              <w:rPr>
                <w:rFonts w:hint="eastAsia" w:ascii="宋体" w:hAnsi="宋体" w:cs="宋体"/>
                <w:szCs w:val="21"/>
              </w:rPr>
              <w:t>3）收集了有关外来文件；</w:t>
            </w:r>
          </w:p>
          <w:p>
            <w:pPr>
              <w:spacing w:line="360" w:lineRule="auto"/>
              <w:rPr>
                <w:rFonts w:ascii="宋体" w:hAnsi="宋体" w:cs="宋体"/>
                <w:szCs w:val="21"/>
              </w:rPr>
            </w:pPr>
            <w:r>
              <w:rPr>
                <w:rFonts w:hint="eastAsia" w:ascii="宋体" w:hAnsi="宋体" w:cs="宋体"/>
                <w:szCs w:val="21"/>
              </w:rPr>
              <w:t>4）策划了有关体系运行的记录。</w:t>
            </w:r>
          </w:p>
          <w:p>
            <w:pPr>
              <w:spacing w:line="360" w:lineRule="auto"/>
              <w:rPr>
                <w:rFonts w:ascii="宋体" w:hAnsi="宋体" w:cs="宋体"/>
                <w:szCs w:val="21"/>
              </w:rPr>
            </w:pPr>
            <w:r>
              <w:rPr>
                <w:rFonts w:hint="eastAsia" w:ascii="宋体" w:hAnsi="宋体" w:cs="宋体"/>
                <w:szCs w:val="21"/>
              </w:rPr>
              <w:t>企业编制了以上文件经总经理梁永旭批准，于2019年5月1日发布实施</w:t>
            </w:r>
            <w:r>
              <w:rPr>
                <w:rFonts w:hint="eastAsia" w:ascii="宋体" w:hAnsi="宋体" w:cs="宋体"/>
                <w:szCs w:val="21"/>
                <w:lang w:eastAsia="zh-CN"/>
              </w:rPr>
              <w:t>，</w:t>
            </w:r>
            <w:r>
              <w:rPr>
                <w:rFonts w:hint="eastAsia" w:ascii="宋体" w:hAnsi="宋体" w:cs="宋体"/>
                <w:szCs w:val="21"/>
                <w:lang w:val="en-US" w:eastAsia="zh-CN"/>
              </w:rPr>
              <w:t>体系运行一年多未修改</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企业手册依据标准的要求，对企业适用情况进行了描述。</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ascii="楷体" w:hAnsi="楷体" w:eastAsia="楷体"/>
                <w:sz w:val="24"/>
                <w:szCs w:val="24"/>
              </w:rPr>
              <w:t>文件控制</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7.5.2</w:t>
            </w:r>
          </w:p>
          <w:p>
            <w:pPr>
              <w:spacing w:line="360" w:lineRule="auto"/>
              <w:rPr>
                <w:rFonts w:ascii="楷体" w:hAnsi="楷体" w:eastAsia="楷体"/>
                <w:sz w:val="24"/>
                <w:szCs w:val="24"/>
              </w:rPr>
            </w:pPr>
            <w:r>
              <w:rPr>
                <w:rFonts w:hint="eastAsia" w:ascii="楷体" w:hAnsi="楷体" w:eastAsia="楷体"/>
                <w:sz w:val="24"/>
                <w:szCs w:val="24"/>
              </w:rPr>
              <w:t>7.5.3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lang w:val="en-US" w:eastAsia="zh-CN"/>
              </w:rPr>
              <w:t>提供</w:t>
            </w:r>
            <w:r>
              <w:rPr>
                <w:rFonts w:hint="eastAsia" w:ascii="宋体" w:hAnsi="宋体" w:cs="宋体"/>
                <w:szCs w:val="21"/>
              </w:rPr>
              <w:t>《文件控制程序》、《记录控制程序》，规定了有关企业文件、记录编制、标识、外来文件的收集编制、控制、管理要求。</w:t>
            </w:r>
          </w:p>
          <w:p>
            <w:pPr>
              <w:spacing w:line="360" w:lineRule="auto"/>
              <w:ind w:firstLine="420" w:firstLineChars="200"/>
              <w:rPr>
                <w:rFonts w:ascii="宋体" w:hAnsi="宋体" w:cs="宋体"/>
                <w:szCs w:val="21"/>
              </w:rPr>
            </w:pPr>
            <w:r>
              <w:rPr>
                <w:rFonts w:hint="eastAsia" w:ascii="宋体" w:hAnsi="宋体" w:cs="宋体"/>
                <w:szCs w:val="21"/>
              </w:rPr>
              <w:t>为确保企业体系文件的适宜性和充分性，规定了企业文件资料的标识、格式、评审和批准的要求。</w:t>
            </w:r>
          </w:p>
          <w:p>
            <w:pPr>
              <w:spacing w:line="360" w:lineRule="auto"/>
              <w:rPr>
                <w:rFonts w:ascii="宋体" w:hAnsi="宋体" w:cs="宋体"/>
                <w:szCs w:val="21"/>
              </w:rPr>
            </w:pPr>
            <w:r>
              <w:rPr>
                <w:rFonts w:hint="eastAsia" w:ascii="宋体" w:hAnsi="宋体" w:cs="宋体"/>
                <w:szCs w:val="21"/>
              </w:rPr>
              <w:t>查企业提供的《环境管理手册》，查阅文审部分已经进行了修改，经过批准后进行更改。一阶段问题已整改有效，文件均为打印文稿，保持清晰，易于识别。</w:t>
            </w:r>
          </w:p>
          <w:p>
            <w:pPr>
              <w:spacing w:line="360" w:lineRule="auto"/>
              <w:ind w:firstLine="420" w:firstLineChars="200"/>
              <w:rPr>
                <w:rFonts w:ascii="宋体" w:hAnsi="宋体" w:cs="宋体"/>
                <w:szCs w:val="21"/>
              </w:rPr>
            </w:pPr>
            <w:r>
              <w:rPr>
                <w:rFonts w:hint="eastAsia" w:ascii="宋体" w:hAnsi="宋体" w:cs="宋体"/>
                <w:szCs w:val="21"/>
              </w:rPr>
              <w:t xml:space="preserve">企业提供了针对以上文件的《文件发放记录》，记录了以上有关体系文件的发放情况。 </w:t>
            </w:r>
          </w:p>
          <w:p>
            <w:pPr>
              <w:spacing w:line="360" w:lineRule="auto"/>
              <w:ind w:firstLine="420" w:firstLineChars="200"/>
              <w:rPr>
                <w:rFonts w:ascii="宋体" w:hAnsi="宋体" w:cs="宋体"/>
                <w:szCs w:val="21"/>
              </w:rPr>
            </w:pPr>
            <w:r>
              <w:rPr>
                <w:rFonts w:hint="eastAsia" w:ascii="宋体" w:hAnsi="宋体" w:cs="宋体"/>
                <w:szCs w:val="21"/>
              </w:rPr>
              <w:t>提供了《法律法规清单》列入了相关机械加工、锻造生产的质量、安全、环境法规外来文件，并形成文件的信息的控制。对以上进行识别、收集。</w:t>
            </w:r>
          </w:p>
          <w:p>
            <w:pPr>
              <w:spacing w:line="360" w:lineRule="auto"/>
              <w:ind w:firstLine="420" w:firstLineChars="200"/>
              <w:rPr>
                <w:rFonts w:hint="eastAsia" w:ascii="宋体" w:hAnsi="宋体" w:cs="宋体"/>
                <w:szCs w:val="21"/>
              </w:rPr>
            </w:pPr>
            <w:r>
              <w:rPr>
                <w:rFonts w:hint="eastAsia" w:ascii="宋体" w:hAnsi="宋体" w:cs="宋体"/>
                <w:szCs w:val="21"/>
              </w:rPr>
              <w:t>由办公室负责通过到主管部门、网上收集、标准发布部门进行购买，并对外来文件的识别、跟踪、控制。</w:t>
            </w:r>
          </w:p>
          <w:p>
            <w:pPr>
              <w:spacing w:line="360" w:lineRule="auto"/>
              <w:ind w:firstLine="420" w:firstLineChars="200"/>
              <w:rPr>
                <w:rFonts w:hint="eastAsia" w:ascii="宋体" w:hAnsi="宋体" w:cs="宋体"/>
                <w:szCs w:val="21"/>
              </w:rPr>
            </w:pPr>
            <w:r>
              <w:rPr>
                <w:rFonts w:hint="eastAsia" w:ascii="宋体" w:hAnsi="宋体" w:cs="宋体"/>
                <w:szCs w:val="21"/>
              </w:rPr>
              <w:t>查到“记录清单”，有编号、保存年限、保存部门的要求。</w:t>
            </w:r>
          </w:p>
          <w:p>
            <w:pPr>
              <w:spacing w:line="360" w:lineRule="auto"/>
              <w:ind w:firstLine="420" w:firstLineChars="200"/>
              <w:rPr>
                <w:rFonts w:ascii="宋体" w:hAnsi="宋体" w:cs="宋体"/>
                <w:szCs w:val="21"/>
              </w:rPr>
            </w:pPr>
            <w:r>
              <w:rPr>
                <w:rFonts w:hint="eastAsia" w:ascii="宋体" w:hAnsi="宋体" w:cs="宋体"/>
                <w:szCs w:val="21"/>
              </w:rPr>
              <w:t>抽查合规性评价报告、</w:t>
            </w:r>
            <w:r>
              <w:rPr>
                <w:rFonts w:hint="eastAsia"/>
                <w:szCs w:val="22"/>
              </w:rPr>
              <w:t>重要环境因素清单、内审报告</w:t>
            </w:r>
            <w:r>
              <w:rPr>
                <w:rFonts w:hint="eastAsia" w:ascii="宋体" w:hAnsi="宋体" w:cs="宋体"/>
                <w:szCs w:val="21"/>
              </w:rPr>
              <w:t>记录填写清楚，签字明确，标识清楚，易于检索。未出现更改、借阅、处置等情况。</w:t>
            </w:r>
          </w:p>
          <w:p>
            <w:pPr>
              <w:spacing w:line="360" w:lineRule="auto"/>
              <w:rPr>
                <w:rFonts w:ascii="宋体" w:hAnsi="宋体" w:cs="宋体"/>
                <w:szCs w:val="21"/>
              </w:rPr>
            </w:pPr>
            <w:r>
              <w:rPr>
                <w:rFonts w:hint="eastAsia" w:ascii="宋体" w:hAnsi="宋体" w:cs="宋体"/>
                <w:szCs w:val="21"/>
              </w:rPr>
              <w:t>公司统一进行储存在资料室柜，记录保存在保护良好，自体系运行以来尚未处理。</w:t>
            </w:r>
          </w:p>
          <w:p>
            <w:pPr>
              <w:spacing w:line="360" w:lineRule="auto"/>
              <w:rPr>
                <w:rFonts w:hint="eastAsia" w:eastAsiaTheme="minorEastAsia"/>
              </w:rPr>
            </w:pPr>
            <w:r>
              <w:rPr>
                <w:rFonts w:hint="eastAsia" w:ascii="宋体" w:hAnsi="宋体" w:cs="宋体"/>
                <w:szCs w:val="21"/>
              </w:rPr>
              <w:t xml:space="preserve">   目前尚无记录作废情况发生。</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E9.1.2</w:t>
            </w:r>
          </w:p>
        </w:tc>
        <w:tc>
          <w:tcPr>
            <w:tcW w:w="10004" w:type="dxa"/>
            <w:vAlign w:val="center"/>
          </w:tcPr>
          <w:p>
            <w:pPr>
              <w:spacing w:line="360" w:lineRule="auto"/>
              <w:rPr>
                <w:rFonts w:ascii="宋体" w:hAnsi="宋体" w:cs="宋体"/>
                <w:szCs w:val="21"/>
              </w:rPr>
            </w:pPr>
            <w:r>
              <w:rPr>
                <w:rFonts w:hint="eastAsia" w:ascii="宋体" w:hAnsi="宋体" w:cs="宋体"/>
                <w:szCs w:val="21"/>
              </w:rPr>
              <w:t>现场提供了“20</w:t>
            </w:r>
            <w:r>
              <w:rPr>
                <w:rFonts w:hint="eastAsia" w:ascii="宋体" w:hAnsi="宋体" w:cs="宋体"/>
                <w:szCs w:val="21"/>
                <w:lang w:val="en-US" w:eastAsia="zh-CN"/>
              </w:rPr>
              <w:t>20</w:t>
            </w:r>
            <w:r>
              <w:rPr>
                <w:rFonts w:hint="eastAsia" w:ascii="宋体" w:hAnsi="宋体" w:cs="宋体"/>
                <w:szCs w:val="21"/>
              </w:rPr>
              <w:t>年度合规性评价报告”, 对公司的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ascii="宋体" w:hAnsi="宋体" w:cs="宋体"/>
                <w:szCs w:val="21"/>
              </w:rPr>
            </w:pPr>
            <w:r>
              <w:rPr>
                <w:rFonts w:hint="eastAsia" w:ascii="宋体" w:hAnsi="宋体" w:cs="宋体"/>
                <w:szCs w:val="21"/>
              </w:rPr>
              <w:t>评价结论：“我公司没有违法国家法律、法规及相关标准，严格遵守国家有关环境方面的规定，密切关注法律法规的变化，并适时调整，严格按体系标准执行。公司和各部门都能够有效遵循法律法规进行施工，未发生重大安全生产事故，未发生环境扰民事件，无个人或单位投诉，无环境污染事件发生。各项目的环境行为符合法律法规、环境要求，对于合规性评价分析所确定的薄弱环节，公司将制定改进措施，以持续改进公司的环境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spacing w:line="360" w:lineRule="auto"/>
              <w:rPr>
                <w:rFonts w:ascii="楷体" w:hAnsi="楷体"/>
                <w:sz w:val="24"/>
                <w:szCs w:val="24"/>
              </w:rPr>
            </w:pPr>
            <w:r>
              <w:rPr>
                <w:rFonts w:hint="eastAsia" w:ascii="宋体" w:hAnsi="宋体" w:cs="宋体"/>
                <w:szCs w:val="21"/>
              </w:rPr>
              <w:t>评审：赵国军、赵占奎、赵欢、尚铁娃、李少强。</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311"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 xml:space="preserve">E：9.1.1  </w:t>
            </w:r>
          </w:p>
        </w:tc>
        <w:tc>
          <w:tcPr>
            <w:tcW w:w="10004" w:type="dxa"/>
            <w:vAlign w:val="center"/>
          </w:tcPr>
          <w:p>
            <w:pPr>
              <w:spacing w:line="360" w:lineRule="auto"/>
            </w:pPr>
            <w:r>
              <w:rPr>
                <w:rFonts w:hint="eastAsia"/>
              </w:rPr>
              <w:t>查到《质量、环境和职业健康安全目标指标考核表》，记录了公司质量、环境、职业健康安全目标完成情况，</w:t>
            </w:r>
            <w:r>
              <w:rPr>
                <w:rFonts w:hint="eastAsia"/>
                <w:szCs w:val="22"/>
              </w:rPr>
              <w:t>20</w:t>
            </w:r>
            <w:r>
              <w:rPr>
                <w:rFonts w:hint="eastAsia"/>
                <w:szCs w:val="22"/>
                <w:lang w:val="en-US" w:eastAsia="zh-CN"/>
              </w:rPr>
              <w:t>20.7.4</w:t>
            </w:r>
            <w:r>
              <w:rPr>
                <w:rFonts w:hint="eastAsia"/>
              </w:rPr>
              <w:t>完成情况：目标均已完成。</w:t>
            </w:r>
          </w:p>
          <w:p>
            <w:pPr>
              <w:widowControl/>
              <w:spacing w:line="360" w:lineRule="auto"/>
              <w:ind w:firstLine="420" w:firstLineChars="200"/>
              <w:jc w:val="left"/>
            </w:pPr>
            <w:r>
              <w:rPr>
                <w:rFonts w:hint="eastAsia"/>
              </w:rPr>
              <w:t>提供《</w:t>
            </w:r>
            <w:r>
              <w:rPr>
                <w:rFonts w:hint="eastAsia"/>
                <w:lang w:val="en-US" w:eastAsia="zh-CN"/>
              </w:rPr>
              <w:t>车间环境检查表</w:t>
            </w:r>
            <w:r>
              <w:rPr>
                <w:rFonts w:hint="eastAsia"/>
              </w:rPr>
              <w:t>》，每月对各部门进行环境安全事项的例行检查，检查项目包括资源能源使用、固体废弃物管理、污水控制、噪声控制、消防设施管理、管理方案控制等。</w:t>
            </w:r>
          </w:p>
          <w:p>
            <w:pPr>
              <w:widowControl/>
              <w:spacing w:line="360" w:lineRule="auto"/>
              <w:ind w:left="480"/>
              <w:jc w:val="left"/>
            </w:pPr>
            <w:r>
              <w:rPr>
                <w:rFonts w:hint="eastAsia"/>
              </w:rPr>
              <w:t>抽查20</w:t>
            </w:r>
            <w:r>
              <w:rPr>
                <w:rFonts w:hint="eastAsia"/>
                <w:lang w:val="en-US" w:eastAsia="zh-CN"/>
              </w:rPr>
              <w:t>20</w:t>
            </w:r>
            <w:r>
              <w:rPr>
                <w:rFonts w:hint="eastAsia"/>
              </w:rPr>
              <w:t>.7.</w:t>
            </w:r>
            <w:r>
              <w:rPr>
                <w:rFonts w:hint="eastAsia"/>
                <w:lang w:val="en-US" w:eastAsia="zh-CN"/>
              </w:rPr>
              <w:t>15</w:t>
            </w:r>
            <w:r>
              <w:rPr>
                <w:rFonts w:hint="eastAsia"/>
                <w:lang w:eastAsia="zh-CN"/>
              </w:rPr>
              <w:t>、</w:t>
            </w:r>
            <w:r>
              <w:rPr>
                <w:rFonts w:hint="eastAsia"/>
                <w:lang w:val="en-US" w:eastAsia="zh-CN"/>
              </w:rPr>
              <w:t>2020.8.10、2020.12.7</w:t>
            </w:r>
            <w:r>
              <w:rPr>
                <w:rFonts w:hint="eastAsia"/>
              </w:rPr>
              <w:t>日，检查人：</w:t>
            </w:r>
            <w:r>
              <w:rPr>
                <w:rFonts w:hint="eastAsia"/>
                <w:lang w:val="en-US" w:eastAsia="zh-CN"/>
              </w:rPr>
              <w:t>赵金宝</w:t>
            </w:r>
            <w:r>
              <w:rPr>
                <w:rFonts w:hint="eastAsia"/>
              </w:rPr>
              <w:t>。</w:t>
            </w:r>
          </w:p>
          <w:p>
            <w:pPr>
              <w:widowControl/>
              <w:spacing w:line="360" w:lineRule="auto"/>
              <w:jc w:val="left"/>
              <w:rPr>
                <w:rFonts w:hint="eastAsia"/>
                <w:szCs w:val="22"/>
              </w:rPr>
            </w:pPr>
            <w:r>
              <w:rPr>
                <w:rFonts w:hint="eastAsia"/>
                <w:szCs w:val="22"/>
              </w:rPr>
              <w:t>查到《宝鸡市陈仓区东升锻造厂</w:t>
            </w:r>
            <w:r>
              <w:rPr>
                <w:rFonts w:hint="eastAsia"/>
                <w:szCs w:val="22"/>
                <w:lang w:val="en-US" w:eastAsia="zh-CN"/>
              </w:rPr>
              <w:t>项目监测</w:t>
            </w:r>
            <w:r>
              <w:rPr>
                <w:rFonts w:hint="eastAsia"/>
                <w:szCs w:val="22"/>
              </w:rPr>
              <w:t>》 噪声监测报告，编号：锦润</w:t>
            </w:r>
            <w:r>
              <w:rPr>
                <w:rFonts w:hint="eastAsia"/>
                <w:szCs w:val="22"/>
                <w:lang w:val="en-US" w:eastAsia="zh-CN"/>
              </w:rPr>
              <w:t>[</w:t>
            </w:r>
            <w:r>
              <w:rPr>
                <w:rFonts w:hint="eastAsia"/>
                <w:szCs w:val="22"/>
              </w:rPr>
              <w:t>声</w:t>
            </w:r>
            <w:r>
              <w:rPr>
                <w:rFonts w:hint="eastAsia"/>
                <w:szCs w:val="22"/>
                <w:lang w:val="en-US" w:eastAsia="zh-CN"/>
              </w:rPr>
              <w:t>]</w:t>
            </w:r>
            <w:r>
              <w:rPr>
                <w:rFonts w:hint="eastAsia"/>
                <w:szCs w:val="22"/>
              </w:rPr>
              <w:t>字（20</w:t>
            </w:r>
            <w:r>
              <w:rPr>
                <w:rFonts w:hint="eastAsia"/>
                <w:szCs w:val="22"/>
                <w:lang w:val="en-US" w:eastAsia="zh-CN"/>
              </w:rPr>
              <w:t>20</w:t>
            </w:r>
            <w:r>
              <w:rPr>
                <w:rFonts w:hint="eastAsia"/>
                <w:szCs w:val="22"/>
              </w:rPr>
              <w:t>）第</w:t>
            </w:r>
            <w:r>
              <w:rPr>
                <w:rFonts w:hint="eastAsia"/>
                <w:szCs w:val="22"/>
                <w:lang w:val="en-US" w:eastAsia="zh-CN"/>
              </w:rPr>
              <w:t>009</w:t>
            </w:r>
            <w:r>
              <w:rPr>
                <w:rFonts w:hint="eastAsia"/>
                <w:szCs w:val="22"/>
              </w:rPr>
              <w:t>号，报告日期20</w:t>
            </w:r>
            <w:r>
              <w:rPr>
                <w:rFonts w:hint="eastAsia"/>
                <w:szCs w:val="22"/>
                <w:lang w:val="en-US" w:eastAsia="zh-CN"/>
              </w:rPr>
              <w:t>20</w:t>
            </w:r>
            <w:r>
              <w:rPr>
                <w:rFonts w:hint="eastAsia"/>
                <w:szCs w:val="22"/>
              </w:rPr>
              <w:t>.</w:t>
            </w:r>
            <w:r>
              <w:rPr>
                <w:rFonts w:hint="eastAsia"/>
                <w:szCs w:val="22"/>
                <w:lang w:val="en-US" w:eastAsia="zh-CN"/>
              </w:rPr>
              <w:t>1</w:t>
            </w:r>
            <w:r>
              <w:rPr>
                <w:rFonts w:hint="eastAsia"/>
                <w:szCs w:val="22"/>
              </w:rPr>
              <w:t>.15日，监测单位：陕西锦润环保检测有限公司，监测结果：由监测结果可知，本次1、2、3、4监测点位，昼间、夜间监测值均符合《</w:t>
            </w:r>
            <w:r>
              <w:rPr>
                <w:rFonts w:hint="eastAsia"/>
                <w:szCs w:val="22"/>
                <w:lang w:val="en-US" w:eastAsia="zh-CN"/>
              </w:rPr>
              <w:t>声环境质量标准</w:t>
            </w:r>
            <w:r>
              <w:rPr>
                <w:rFonts w:hint="eastAsia"/>
                <w:szCs w:val="22"/>
              </w:rPr>
              <w:t>》(GB</w:t>
            </w:r>
            <w:r>
              <w:rPr>
                <w:rFonts w:hint="eastAsia"/>
                <w:szCs w:val="22"/>
                <w:lang w:val="en-US" w:eastAsia="zh-CN"/>
              </w:rPr>
              <w:t>3096-2008）</w:t>
            </w:r>
          </w:p>
          <w:p>
            <w:pPr>
              <w:widowControl/>
              <w:spacing w:line="360" w:lineRule="auto"/>
              <w:jc w:val="left"/>
              <w:rPr>
                <w:rFonts w:hint="eastAsia"/>
                <w:szCs w:val="22"/>
              </w:rPr>
            </w:pPr>
            <w:r>
              <w:rPr>
                <w:rFonts w:hint="eastAsia"/>
                <w:szCs w:val="22"/>
              </w:rPr>
              <w:t>查到《宝鸡市陈仓区东升锻造厂汽车配件加工》监测报告，编号：锦润{气}字（2019）第202号，报告日期2019.5.23日，监测单位：陕西锦润环保检测有限公司，</w:t>
            </w:r>
          </w:p>
          <w:p>
            <w:pPr>
              <w:widowControl/>
              <w:spacing w:line="360" w:lineRule="auto"/>
              <w:jc w:val="left"/>
              <w:rPr>
                <w:rFonts w:hint="eastAsia"/>
                <w:szCs w:val="22"/>
              </w:rPr>
            </w:pPr>
            <w:r>
              <w:rPr>
                <w:rFonts w:hint="eastAsia"/>
                <w:szCs w:val="22"/>
                <w:lang w:val="en-US" w:eastAsia="zh-CN"/>
              </w:rPr>
              <w:t>1、</w:t>
            </w:r>
            <w:r>
              <w:rPr>
                <w:rFonts w:hint="eastAsia"/>
                <w:szCs w:val="22"/>
              </w:rPr>
              <w:t>布袋除尘器排气筒出口的监测结果：此次验收监测期间，布袋除尘器排气简出口较物最大放浓度符合《大气污染物综合排放标准》(GB16297-1996)中表2标准标准限值。</w:t>
            </w:r>
          </w:p>
          <w:p>
            <w:pPr>
              <w:widowControl/>
              <w:spacing w:line="360" w:lineRule="auto"/>
              <w:jc w:val="left"/>
              <w:rPr>
                <w:rFonts w:hint="eastAsia"/>
                <w:szCs w:val="22"/>
              </w:rPr>
            </w:pPr>
            <w:r>
              <w:rPr>
                <w:rFonts w:hint="eastAsia"/>
                <w:szCs w:val="22"/>
                <w:lang w:val="en-US" w:eastAsia="zh-CN"/>
              </w:rPr>
              <w:t>2、</w:t>
            </w:r>
            <w:r>
              <w:rPr>
                <w:rFonts w:hint="eastAsia"/>
                <w:szCs w:val="22"/>
              </w:rPr>
              <w:t>饮食业油烟设施排气筒进出口监测结果：此次验收监测期间，出口饮食业油烟最大浓度符合《饮食业油烟摔放标准》(试行)GB18483-2001中表2标准限值。</w:t>
            </w:r>
          </w:p>
          <w:p>
            <w:pPr>
              <w:widowControl/>
              <w:spacing w:line="360" w:lineRule="auto"/>
              <w:jc w:val="left"/>
              <w:rPr>
                <w:rFonts w:hint="eastAsia"/>
                <w:szCs w:val="22"/>
              </w:rPr>
            </w:pPr>
            <w:r>
              <w:rPr>
                <w:rFonts w:hint="eastAsia"/>
                <w:szCs w:val="22"/>
              </w:rPr>
              <w:t>3、大气无组织污染物监测结果：此次验收监测期间，颗粒物最大浓度符合《大气污染物综合排放标准)(CB16297-1996)中表2无组织标准。</w:t>
            </w:r>
          </w:p>
          <w:p>
            <w:pPr>
              <w:widowControl/>
              <w:spacing w:line="360" w:lineRule="auto"/>
              <w:jc w:val="left"/>
              <w:rPr>
                <w:rFonts w:ascii="楷体" w:hAnsi="楷体" w:eastAsia="楷体" w:cs="楷体"/>
                <w:color w:val="FF0000"/>
                <w:sz w:val="24"/>
                <w:szCs w:val="24"/>
              </w:rPr>
            </w:pPr>
            <w:r>
              <w:rPr>
                <w:rFonts w:hint="eastAsia"/>
              </w:rPr>
              <w:t>经交流公司无用于环境监测的设备。</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004" w:type="dxa"/>
            <w:vAlign w:val="center"/>
          </w:tcPr>
          <w:p>
            <w:pPr>
              <w:spacing w:line="360" w:lineRule="auto"/>
              <w:ind w:firstLine="420" w:firstLineChars="200"/>
              <w:rPr>
                <w:szCs w:val="22"/>
              </w:rPr>
            </w:pPr>
            <w:r>
              <w:rPr>
                <w:rFonts w:hint="eastAsia"/>
                <w:szCs w:val="22"/>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ind w:firstLine="420" w:firstLineChars="200"/>
              <w:rPr>
                <w:szCs w:val="22"/>
              </w:rPr>
            </w:pPr>
            <w:r>
              <w:rPr>
                <w:rFonts w:hint="eastAsia"/>
                <w:szCs w:val="22"/>
              </w:rPr>
              <w:t>查到20</w:t>
            </w:r>
            <w:r>
              <w:rPr>
                <w:rFonts w:hint="eastAsia"/>
                <w:szCs w:val="22"/>
                <w:lang w:val="en-US" w:eastAsia="zh-CN"/>
              </w:rPr>
              <w:t>20</w:t>
            </w:r>
            <w:r>
              <w:rPr>
                <w:rFonts w:hint="eastAsia"/>
                <w:szCs w:val="22"/>
              </w:rPr>
              <w:t>年</w:t>
            </w:r>
            <w:r>
              <w:rPr>
                <w:rFonts w:hint="eastAsia"/>
                <w:szCs w:val="22"/>
                <w:lang w:val="en-US" w:eastAsia="zh-CN"/>
              </w:rPr>
              <w:t>5</w:t>
            </w:r>
            <w:r>
              <w:rPr>
                <w:rFonts w:hint="eastAsia"/>
                <w:szCs w:val="22"/>
              </w:rPr>
              <w:t>月 《</w:t>
            </w:r>
            <w:r>
              <w:rPr>
                <w:rFonts w:hint="eastAsia"/>
                <w:szCs w:val="22"/>
                <w:lang w:val="en-US" w:eastAsia="zh-CN"/>
              </w:rPr>
              <w:t>建设</w:t>
            </w:r>
            <w:r>
              <w:rPr>
                <w:rFonts w:hint="eastAsia"/>
                <w:szCs w:val="22"/>
              </w:rPr>
              <w:t>项目环境影响评估表》，</w:t>
            </w:r>
            <w:r>
              <w:rPr>
                <w:rFonts w:hint="eastAsia"/>
                <w:szCs w:val="22"/>
                <w:lang w:val="en-US" w:eastAsia="zh-CN"/>
              </w:rPr>
              <w:t>项目名称：</w:t>
            </w:r>
            <w:r>
              <w:rPr>
                <w:rFonts w:hint="eastAsia"/>
                <w:szCs w:val="22"/>
              </w:rPr>
              <w:t>东升汽车配件加工</w:t>
            </w:r>
            <w:r>
              <w:rPr>
                <w:rFonts w:hint="eastAsia"/>
                <w:szCs w:val="22"/>
                <w:lang w:val="en-US" w:eastAsia="zh-CN"/>
              </w:rPr>
              <w:t>项目，建设单位：</w:t>
            </w:r>
            <w:r>
              <w:rPr>
                <w:rFonts w:hint="eastAsia"/>
                <w:szCs w:val="22"/>
              </w:rPr>
              <w:t>宝鸡市陈仓区东升锻造厂</w:t>
            </w:r>
            <w:r>
              <w:rPr>
                <w:rFonts w:hint="eastAsia"/>
                <w:szCs w:val="22"/>
                <w:lang w:val="en-US" w:eastAsia="zh-CN"/>
              </w:rPr>
              <w:t>，</w:t>
            </w:r>
            <w:r>
              <w:rPr>
                <w:rFonts w:hint="eastAsia"/>
                <w:szCs w:val="22"/>
              </w:rPr>
              <w:t xml:space="preserve"> 编制单位：</w:t>
            </w:r>
            <w:r>
              <w:rPr>
                <w:rFonts w:hint="eastAsia"/>
                <w:szCs w:val="22"/>
                <w:lang w:val="en-US" w:eastAsia="zh-CN"/>
              </w:rPr>
              <w:t>宝鸡青润生态环境科技</w:t>
            </w:r>
            <w:r>
              <w:rPr>
                <w:rFonts w:hint="eastAsia"/>
                <w:szCs w:val="22"/>
              </w:rPr>
              <w:t>有限公司；</w:t>
            </w:r>
          </w:p>
          <w:p>
            <w:pPr>
              <w:spacing w:line="360" w:lineRule="auto"/>
              <w:ind w:firstLine="420" w:firstLineChars="200"/>
              <w:rPr>
                <w:szCs w:val="22"/>
              </w:rPr>
            </w:pPr>
            <w:r>
              <w:rPr>
                <w:rFonts w:hint="eastAsia"/>
                <w:szCs w:val="22"/>
              </w:rPr>
              <w:t>查到</w:t>
            </w:r>
            <w:r>
              <w:rPr>
                <w:rFonts w:hint="eastAsia"/>
                <w:szCs w:val="22"/>
                <w:lang w:val="en-US" w:eastAsia="zh-CN"/>
              </w:rPr>
              <w:t>2020.9.14</w:t>
            </w:r>
            <w:r>
              <w:rPr>
                <w:rFonts w:hint="eastAsia"/>
                <w:szCs w:val="22"/>
              </w:rPr>
              <w:t xml:space="preserve"> 宝鸡市环境保护局高新分局，高新环函[20</w:t>
            </w:r>
            <w:r>
              <w:rPr>
                <w:rFonts w:hint="eastAsia"/>
                <w:szCs w:val="22"/>
                <w:lang w:val="en-US" w:eastAsia="zh-CN"/>
              </w:rPr>
              <w:t>20</w:t>
            </w:r>
            <w:r>
              <w:rPr>
                <w:rFonts w:hint="eastAsia"/>
                <w:szCs w:val="22"/>
              </w:rPr>
              <w:t>]2</w:t>
            </w:r>
            <w:r>
              <w:rPr>
                <w:rFonts w:hint="eastAsia"/>
                <w:szCs w:val="22"/>
                <w:lang w:val="en-US" w:eastAsia="zh-CN"/>
              </w:rPr>
              <w:t>81</w:t>
            </w:r>
            <w:r>
              <w:rPr>
                <w:rFonts w:hint="eastAsia"/>
                <w:szCs w:val="22"/>
              </w:rPr>
              <w:t>号《宝鸡市环境保护局高新分局关于宝鸡市陈仓区东升锻造厂东升汽车零部件加工项目环境影响报告表的批复》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r>
              <w:rPr>
                <w:rFonts w:hint="eastAsia" w:ascii="宋体" w:hAnsi="宋体" w:cs="宋体"/>
                <w:sz w:val="21"/>
                <w:szCs w:val="21"/>
                <w:lang w:val="en-US" w:eastAsia="zh-CN"/>
              </w:rPr>
              <w:t>企业</w:t>
            </w:r>
            <w:r>
              <w:rPr>
                <w:rFonts w:hint="eastAsia" w:ascii="宋体" w:hAnsi="宋体" w:eastAsia="宋体" w:cs="宋体"/>
                <w:sz w:val="21"/>
                <w:szCs w:val="21"/>
              </w:rPr>
              <w:t>产生的生产废水，循环利用，不外排</w:t>
            </w:r>
            <w:r>
              <w:rPr>
                <w:rFonts w:hint="eastAsia" w:ascii="宋体" w:hAnsi="宋体" w:cs="宋体"/>
                <w:sz w:val="21"/>
                <w:szCs w:val="21"/>
                <w:lang w:eastAsia="zh-CN"/>
              </w:rPr>
              <w:t>；</w:t>
            </w:r>
            <w:r>
              <w:rPr>
                <w:rFonts w:hint="eastAsia" w:ascii="宋体" w:hAnsi="宋体" w:eastAsia="宋体" w:cs="宋体"/>
                <w:sz w:val="21"/>
                <w:szCs w:val="21"/>
              </w:rPr>
              <w:t>生活污水排入化粪池，定期清掏。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焊接烟尘利用移动式烟尘净化器处理</w:t>
            </w:r>
          </w:p>
          <w:p>
            <w:pPr>
              <w:spacing w:line="360" w:lineRule="auto"/>
              <w:ind w:left="183" w:leftChars="87" w:firstLine="210" w:firstLineChars="1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2台抛丸机产生的抛丸粉尘每台抛丸机自带的布袋除尘器处理后，经各自15m高排气简排放。</w:t>
            </w:r>
            <w:r>
              <w:rPr>
                <w:rFonts w:hint="eastAsia" w:ascii="宋体" w:hAnsi="宋体" w:cs="宋体"/>
                <w:sz w:val="21"/>
                <w:szCs w:val="21"/>
                <w:lang w:val="en-US" w:eastAsia="zh-CN"/>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投入使用后噪声主要为抛丸机、中频炉、正火炉、车床、辗环机、空压机、棒料剪断机等设备运行时产生的噪声，采取厂房内操作和选用低噪声的设备和工具并做消声和减振处理，同时加强设备的检查和维保，确保机械设备在正常工况下运行，经噪声监测达标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固废管控：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p>
            <w:pPr>
              <w:numPr>
                <w:ilvl w:val="0"/>
                <w:numId w:val="1"/>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生产过程注意节水、节电、节钢材，人走关闭设备和照明开关，现场未发现有漏水和浪费电能的现象。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公司生产车间和办公区域配备了消防栓、灭火器。</w:t>
            </w:r>
          </w:p>
          <w:p>
            <w:pPr>
              <w:numPr>
                <w:ilvl w:val="0"/>
                <w:numId w:val="2"/>
              </w:numPr>
              <w:spacing w:line="2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按有关程序和要求通报供方和顾客，采用〈告知函〉方式通报。查到相关方告知书。</w:t>
            </w:r>
          </w:p>
          <w:p>
            <w:pPr>
              <w:widowControl w:val="0"/>
              <w:numPr>
                <w:ilvl w:val="0"/>
                <w:numId w:val="0"/>
              </w:numPr>
              <w:spacing w:line="240" w:lineRule="exact"/>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对可回收的固体废弃物，由</w:t>
            </w:r>
            <w:r>
              <w:rPr>
                <w:rFonts w:hint="eastAsia" w:ascii="宋体" w:hAnsi="宋体" w:eastAsia="宋体" w:cs="宋体"/>
                <w:sz w:val="21"/>
                <w:szCs w:val="21"/>
                <w:lang w:val="en-US" w:eastAsia="zh-CN"/>
              </w:rPr>
              <w:t>陕西宝鸡恒兴石化科技有限公司</w:t>
            </w:r>
            <w:r>
              <w:rPr>
                <w:rFonts w:hint="eastAsia" w:ascii="宋体" w:hAnsi="宋体" w:eastAsia="宋体" w:cs="宋体"/>
                <w:sz w:val="21"/>
                <w:szCs w:val="21"/>
              </w:rPr>
              <w:t>回收。</w:t>
            </w:r>
            <w:r>
              <w:rPr>
                <w:rFonts w:hint="eastAsia" w:ascii="宋体" w:hAnsi="宋体" w:eastAsia="宋体" w:cs="宋体"/>
                <w:sz w:val="21"/>
                <w:szCs w:val="21"/>
                <w:lang w:val="en-US" w:eastAsia="zh-CN"/>
              </w:rPr>
              <w:t xml:space="preserve">提供合同编号：WF（2020）-0651 </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日与</w:t>
            </w:r>
            <w:r>
              <w:rPr>
                <w:rFonts w:hint="eastAsia" w:ascii="宋体" w:hAnsi="宋体" w:eastAsia="宋体" w:cs="宋体"/>
                <w:sz w:val="21"/>
                <w:szCs w:val="21"/>
                <w:lang w:val="en-US" w:eastAsia="zh-CN"/>
              </w:rPr>
              <w:t>陕西宝鸡恒兴石化科技有限公司</w:t>
            </w:r>
            <w:r>
              <w:rPr>
                <w:rFonts w:hint="eastAsia" w:ascii="宋体" w:hAnsi="宋体" w:eastAsia="宋体" w:cs="宋体"/>
                <w:sz w:val="21"/>
                <w:szCs w:val="21"/>
              </w:rPr>
              <w:t>签订了危险废物处置合同，经查处理方有处理资质，处理废</w:t>
            </w:r>
            <w:r>
              <w:rPr>
                <w:rFonts w:hint="eastAsia" w:ascii="宋体" w:hAnsi="宋体" w:eastAsia="宋体" w:cs="宋体"/>
                <w:sz w:val="21"/>
                <w:szCs w:val="21"/>
                <w:lang w:val="en-US" w:eastAsia="zh-CN"/>
              </w:rPr>
              <w:t>矿物油</w:t>
            </w:r>
            <w:r>
              <w:rPr>
                <w:rFonts w:hint="eastAsia" w:ascii="宋体" w:hAnsi="宋体" w:eastAsia="宋体" w:cs="宋体"/>
                <w:sz w:val="21"/>
                <w:szCs w:val="21"/>
              </w:rPr>
              <w:t>、废</w:t>
            </w:r>
            <w:r>
              <w:rPr>
                <w:rFonts w:hint="eastAsia" w:ascii="宋体" w:hAnsi="宋体" w:eastAsia="宋体" w:cs="宋体"/>
                <w:sz w:val="21"/>
                <w:szCs w:val="21"/>
                <w:lang w:val="en-US" w:eastAsia="zh-CN"/>
              </w:rPr>
              <w:t>乳化液、废弃包装物、沾染物及吸附介质</w:t>
            </w:r>
            <w:r>
              <w:rPr>
                <w:rFonts w:hint="eastAsia" w:ascii="宋体" w:hAnsi="宋体" w:eastAsia="宋体" w:cs="宋体"/>
                <w:sz w:val="21"/>
                <w:szCs w:val="21"/>
              </w:rPr>
              <w:t>等</w:t>
            </w:r>
            <w:r>
              <w:rPr>
                <w:rFonts w:hint="eastAsia" w:ascii="宋体" w:hAnsi="宋体" w:eastAsia="宋体" w:cs="宋体"/>
                <w:sz w:val="21"/>
                <w:szCs w:val="21"/>
                <w:lang w:val="en-US" w:eastAsia="zh-CN"/>
              </w:rPr>
              <w:t>危险废料</w:t>
            </w:r>
            <w:r>
              <w:rPr>
                <w:rFonts w:hint="eastAsia" w:ascii="宋体" w:hAnsi="宋体" w:eastAsia="宋体" w:cs="宋体"/>
                <w:sz w:val="21"/>
                <w:szCs w:val="21"/>
              </w:rPr>
              <w:t>。</w:t>
            </w:r>
          </w:p>
          <w:p>
            <w:pPr>
              <w:tabs>
                <w:tab w:val="left" w:pos="357"/>
              </w:tabs>
              <w:spacing w:line="360" w:lineRule="auto"/>
              <w:ind w:firstLine="210" w:firstLineChars="100"/>
              <w:rPr>
                <w:szCs w:val="22"/>
              </w:rPr>
            </w:pPr>
            <w:r>
              <w:rPr>
                <w:rFonts w:hint="eastAsia"/>
                <w:szCs w:val="22"/>
              </w:rPr>
              <w:t>2018.10.3与宝鸡市宏录物资有限公司签订《铁肖销售合同》、2018.12.31与宝鸡市高新区钓谓镇西崖村签订《生活垃圾清运协议》、与</w:t>
            </w:r>
            <w:r>
              <w:rPr>
                <w:rFonts w:hint="eastAsia"/>
                <w:szCs w:val="22"/>
                <w:lang w:val="en-US" w:eastAsia="zh-CN"/>
              </w:rPr>
              <w:t>2</w:t>
            </w:r>
            <w:r>
              <w:rPr>
                <w:rFonts w:hint="eastAsia"/>
                <w:szCs w:val="22"/>
              </w:rPr>
              <w:t>018.12.31宝鸡市高新区钓谓镇西崖村五组庞录明签订《化粪池清理协议》、《污水处理协议》。</w:t>
            </w:r>
          </w:p>
          <w:p>
            <w:pPr>
              <w:tabs>
                <w:tab w:val="left" w:pos="6597"/>
              </w:tabs>
              <w:spacing w:line="360" w:lineRule="auto"/>
              <w:rPr>
                <w:szCs w:val="22"/>
              </w:rPr>
            </w:pPr>
            <w:r>
              <w:rPr>
                <w:rFonts w:hint="eastAsia"/>
                <w:szCs w:val="22"/>
              </w:rPr>
              <w:t>提供20</w:t>
            </w:r>
            <w:r>
              <w:rPr>
                <w:rFonts w:hint="eastAsia"/>
                <w:szCs w:val="22"/>
                <w:lang w:val="en-US" w:eastAsia="zh-CN"/>
              </w:rPr>
              <w:t>20</w:t>
            </w:r>
            <w:r>
              <w:rPr>
                <w:rFonts w:hint="eastAsia"/>
                <w:szCs w:val="22"/>
              </w:rPr>
              <w:t>.1</w:t>
            </w:r>
            <w:r>
              <w:rPr>
                <w:rFonts w:hint="eastAsia"/>
                <w:szCs w:val="22"/>
                <w:lang w:val="en-US" w:eastAsia="zh-CN"/>
              </w:rPr>
              <w:t>1</w:t>
            </w:r>
            <w:r>
              <w:rPr>
                <w:rFonts w:hint="eastAsia"/>
                <w:szCs w:val="22"/>
              </w:rPr>
              <w:t>.19付庞录明5车粪，150元的收据；20</w:t>
            </w:r>
            <w:r>
              <w:rPr>
                <w:rFonts w:hint="eastAsia"/>
                <w:szCs w:val="22"/>
                <w:lang w:val="en-US" w:eastAsia="zh-CN"/>
              </w:rPr>
              <w:t>20</w:t>
            </w:r>
            <w:r>
              <w:rPr>
                <w:rFonts w:hint="eastAsia"/>
                <w:szCs w:val="22"/>
              </w:rPr>
              <w:t>.</w:t>
            </w:r>
            <w:r>
              <w:rPr>
                <w:rFonts w:hint="eastAsia"/>
                <w:szCs w:val="22"/>
                <w:lang w:val="en-US" w:eastAsia="zh-CN"/>
              </w:rPr>
              <w:t>5</w:t>
            </w:r>
            <w:r>
              <w:rPr>
                <w:rFonts w:hint="eastAsia"/>
                <w:szCs w:val="22"/>
              </w:rPr>
              <w:t>.9铁屑3.376吨、氧化皮7.834吨，共8607元的收据。</w:t>
            </w:r>
          </w:p>
          <w:p>
            <w:pPr>
              <w:tabs>
                <w:tab w:val="left" w:pos="6597"/>
              </w:tabs>
              <w:spacing w:line="360" w:lineRule="auto"/>
              <w:rPr>
                <w:szCs w:val="22"/>
              </w:rPr>
            </w:pPr>
            <w:r>
              <w:rPr>
                <w:rFonts w:hint="eastAsia"/>
                <w:szCs w:val="22"/>
              </w:rPr>
              <w:t>办公室内主要是电的使用，电器有漏电保护器，经常对电路、电源进行检查，没有露电现象发生。现场巡视办公区域灭火器正常，电线、电气插座完整，未见破损，空调设定在26℃。</w:t>
            </w:r>
          </w:p>
          <w:p>
            <w:pPr>
              <w:tabs>
                <w:tab w:val="left" w:pos="6597"/>
              </w:tabs>
              <w:spacing w:line="360" w:lineRule="auto"/>
              <w:ind w:firstLine="420" w:firstLineChars="200"/>
              <w:rPr>
                <w:szCs w:val="22"/>
              </w:rPr>
            </w:pPr>
            <w:r>
              <w:rPr>
                <w:rFonts w:hint="eastAsia"/>
                <w:szCs w:val="22"/>
              </w:rPr>
              <w:t>办公室部门运行控制基本符合规定要求。</w:t>
            </w:r>
          </w:p>
          <w:p>
            <w:pPr>
              <w:tabs>
                <w:tab w:val="left" w:pos="6597"/>
              </w:tabs>
              <w:spacing w:line="360" w:lineRule="auto"/>
              <w:ind w:firstLine="420" w:firstLineChars="200"/>
              <w:rPr>
                <w:rFonts w:ascii="楷体" w:hAnsi="楷体" w:eastAsia="楷体" w:cs="楷体"/>
                <w:sz w:val="24"/>
                <w:szCs w:val="24"/>
              </w:rPr>
            </w:pPr>
            <w:r>
              <w:rPr>
                <w:rFonts w:hint="eastAsia"/>
                <w:szCs w:val="22"/>
              </w:rPr>
              <w:t>部门运行控制能结合产品生命周期方法，基本符合规定要求。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1809" w:type="dxa"/>
            <w:vAlign w:val="center"/>
          </w:tcPr>
          <w:p>
            <w:pPr>
              <w:spacing w:line="360" w:lineRule="auto"/>
              <w:rPr>
                <w:rFonts w:ascii="楷体" w:hAnsi="楷体" w:eastAsia="楷体" w:cs="Arial"/>
                <w:sz w:val="24"/>
                <w:szCs w:val="24"/>
              </w:rPr>
            </w:pPr>
          </w:p>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1311" w:type="dxa"/>
          </w:tcPr>
          <w:p>
            <w:pPr>
              <w:pStyle w:val="3"/>
              <w:ind w:left="0"/>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004" w:type="dxa"/>
          </w:tcPr>
          <w:p>
            <w:pPr>
              <w:tabs>
                <w:tab w:val="left" w:pos="6597"/>
              </w:tabs>
              <w:spacing w:line="360" w:lineRule="auto"/>
              <w:ind w:firstLine="420" w:firstLineChars="200"/>
            </w:pPr>
            <w:r>
              <w:rPr>
                <w:rFonts w:hint="eastAsia"/>
              </w:rPr>
              <w:t>提供了《应急准备和响应控制程序》、《消防应急预案》，其中包括目的、适用范围、职责、应急领导小组成员职责、程序、现场应急措施等，相关内容基本充分。</w:t>
            </w:r>
          </w:p>
          <w:p>
            <w:pPr>
              <w:tabs>
                <w:tab w:val="left" w:pos="6597"/>
              </w:tabs>
              <w:spacing w:line="360" w:lineRule="auto"/>
              <w:ind w:firstLine="420" w:firstLineChars="200"/>
            </w:pPr>
            <w:r>
              <w:rPr>
                <w:rFonts w:hint="eastAsia"/>
              </w:rPr>
              <w:t>查到《消防应急预案演练记录》，</w:t>
            </w:r>
            <w:r>
              <w:rPr>
                <w:rFonts w:hint="eastAsia"/>
                <w:lang w:val="en-US" w:eastAsia="zh-CN"/>
              </w:rPr>
              <w:t>2020.7.19</w:t>
            </w:r>
            <w:r>
              <w:rPr>
                <w:rFonts w:hint="eastAsia"/>
              </w:rPr>
              <w:t>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asciiTheme="minorEastAsia" w:hAnsiTheme="minorEastAsia" w:cstheme="minorEastAsia"/>
                <w:szCs w:val="21"/>
              </w:rPr>
              <w:t>赵金宝</w:t>
            </w:r>
            <w:r>
              <w:rPr>
                <w:rFonts w:hint="eastAsia" w:asciiTheme="minorEastAsia" w:hAnsiTheme="minorEastAsia" w:cstheme="minorEastAsia"/>
                <w:szCs w:val="21"/>
              </w:rPr>
              <w:t>，20</w:t>
            </w:r>
            <w:r>
              <w:rPr>
                <w:rFonts w:hint="eastAsia" w:asciiTheme="minorEastAsia" w:hAnsiTheme="minorEastAsia" w:cstheme="minorEastAsia"/>
                <w:szCs w:val="21"/>
                <w:lang w:val="en-US" w:eastAsia="zh-CN"/>
              </w:rPr>
              <w:t>20</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rPr>
              <w:t>。</w:t>
            </w:r>
          </w:p>
          <w:p>
            <w:pPr>
              <w:tabs>
                <w:tab w:val="left" w:pos="6597"/>
              </w:tabs>
              <w:spacing w:line="360" w:lineRule="auto"/>
            </w:pPr>
            <w:r>
              <w:rPr>
                <w:rFonts w:hint="eastAsia"/>
              </w:rPr>
              <w:t>现场查看办公楼有消防栓和灭火器，状态正常。查到消防安全巡查记录表，</w:t>
            </w:r>
          </w:p>
          <w:p>
            <w:pPr>
              <w:tabs>
                <w:tab w:val="left" w:pos="6597"/>
              </w:tabs>
              <w:spacing w:line="360" w:lineRule="auto"/>
              <w:rPr>
                <w:rFonts w:ascii="楷体" w:hAnsi="楷体" w:eastAsia="楷体" w:cs="楷体"/>
                <w:sz w:val="24"/>
                <w:szCs w:val="24"/>
              </w:rPr>
            </w:pPr>
            <w:r>
              <w:rPr>
                <w:rFonts w:hint="eastAsia"/>
              </w:rPr>
              <w:t>抽查办公室20</w:t>
            </w:r>
            <w:r>
              <w:rPr>
                <w:rFonts w:hint="eastAsia"/>
                <w:lang w:val="en-US" w:eastAsia="zh-CN"/>
              </w:rPr>
              <w:t>20</w:t>
            </w:r>
            <w:r>
              <w:rPr>
                <w:rFonts w:hint="eastAsia"/>
              </w:rPr>
              <w:t>年</w:t>
            </w:r>
            <w:r>
              <w:rPr>
                <w:rFonts w:hint="eastAsia"/>
                <w:lang w:val="en-US" w:eastAsia="zh-CN"/>
              </w:rPr>
              <w:t>1-11月</w:t>
            </w:r>
            <w:r>
              <w:rPr>
                <w:rFonts w:hint="eastAsia"/>
              </w:rPr>
              <w:t>检查记录。自体系运行以来尚未发生紧急情况。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内部审核</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E：9.2 </w:t>
            </w:r>
          </w:p>
        </w:tc>
        <w:tc>
          <w:tcPr>
            <w:tcW w:w="10004" w:type="dxa"/>
          </w:tcPr>
          <w:p>
            <w:pPr>
              <w:spacing w:line="360" w:lineRule="auto"/>
              <w:ind w:firstLine="420" w:firstLineChars="200"/>
              <w:rPr>
                <w:szCs w:val="22"/>
              </w:rPr>
            </w:pPr>
            <w:r>
              <w:rPr>
                <w:rFonts w:hint="eastAsia"/>
                <w:szCs w:val="22"/>
              </w:rPr>
              <w:t>由组长赵占奎组织内部审核，查年度审核计划：提供《内部审核计划》，其内容已包括了审核目的、范围、依据。</w:t>
            </w:r>
          </w:p>
          <w:p>
            <w:pPr>
              <w:spacing w:line="360" w:lineRule="auto"/>
              <w:ind w:firstLine="420" w:firstLineChars="200"/>
              <w:rPr>
                <w:rFonts w:hint="eastAsia" w:eastAsia="宋体"/>
                <w:szCs w:val="22"/>
                <w:lang w:val="en-US" w:eastAsia="zh-CN"/>
              </w:rPr>
            </w:pPr>
            <w:r>
              <w:rPr>
                <w:rFonts w:hint="eastAsia"/>
                <w:szCs w:val="22"/>
              </w:rPr>
              <w:t>审核组构成：组长</w:t>
            </w:r>
            <w:r>
              <w:rPr>
                <w:rFonts w:hint="eastAsia"/>
                <w:szCs w:val="22"/>
                <w:lang w:val="en-US" w:eastAsia="zh-CN"/>
              </w:rPr>
              <w:t>庞东升</w:t>
            </w:r>
            <w:r>
              <w:rPr>
                <w:rFonts w:hint="eastAsia"/>
                <w:szCs w:val="22"/>
              </w:rPr>
              <w:t>、组员：A：</w:t>
            </w:r>
            <w:r>
              <w:rPr>
                <w:rFonts w:hint="eastAsia"/>
                <w:szCs w:val="22"/>
                <w:lang w:val="en-US" w:eastAsia="zh-CN"/>
              </w:rPr>
              <w:t>李少强</w:t>
            </w:r>
            <w:r>
              <w:rPr>
                <w:rFonts w:hint="eastAsia"/>
                <w:szCs w:val="22"/>
              </w:rPr>
              <w:t xml:space="preserve">    B：</w:t>
            </w:r>
            <w:r>
              <w:rPr>
                <w:rFonts w:hint="eastAsia"/>
                <w:szCs w:val="22"/>
                <w:lang w:val="en-US" w:eastAsia="zh-CN"/>
              </w:rPr>
              <w:t>尚铁娃</w:t>
            </w:r>
            <w:r>
              <w:rPr>
                <w:rFonts w:hint="eastAsia"/>
                <w:szCs w:val="22"/>
              </w:rPr>
              <w:t>。</w:t>
            </w:r>
            <w:r>
              <w:rPr>
                <w:rFonts w:hint="eastAsia"/>
                <w:szCs w:val="22"/>
                <w:lang w:val="en-US" w:eastAsia="zh-CN"/>
              </w:rPr>
              <w:t>C：庞东升</w:t>
            </w:r>
          </w:p>
          <w:p>
            <w:pPr>
              <w:spacing w:line="360" w:lineRule="auto"/>
              <w:ind w:firstLine="420" w:firstLineChars="200"/>
              <w:rPr>
                <w:szCs w:val="22"/>
              </w:rPr>
            </w:pPr>
            <w:r>
              <w:rPr>
                <w:rFonts w:hint="eastAsia"/>
                <w:szCs w:val="22"/>
              </w:rPr>
              <w:t>1.审核时间20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w:t>
            </w:r>
            <w:r>
              <w:rPr>
                <w:rFonts w:hint="eastAsia"/>
                <w:szCs w:val="22"/>
                <w:lang w:val="en-US" w:eastAsia="zh-CN"/>
              </w:rPr>
              <w:t>30-31</w:t>
            </w:r>
            <w:r>
              <w:rPr>
                <w:rFonts w:hint="eastAsia"/>
                <w:szCs w:val="22"/>
              </w:rPr>
              <w:t>日，</w:t>
            </w:r>
          </w:p>
          <w:p>
            <w:pPr>
              <w:spacing w:line="360" w:lineRule="auto"/>
              <w:ind w:firstLine="420" w:firstLineChars="200"/>
              <w:rPr>
                <w:szCs w:val="22"/>
              </w:rPr>
            </w:pPr>
            <w:r>
              <w:rPr>
                <w:rFonts w:hint="eastAsia"/>
                <w:szCs w:val="22"/>
              </w:rPr>
              <w:t>2.审核按计划进行，抽查检查表办公室、技术质量科、生产科审核记录与计划相一致，内审员经内部培训合格，能力还需加强；</w:t>
            </w:r>
          </w:p>
          <w:p>
            <w:pPr>
              <w:spacing w:line="360" w:lineRule="auto"/>
              <w:ind w:firstLine="420" w:firstLineChars="200"/>
              <w:rPr>
                <w:szCs w:val="22"/>
              </w:rPr>
            </w:pPr>
            <w:r>
              <w:rPr>
                <w:rFonts w:hint="eastAsia"/>
                <w:szCs w:val="22"/>
              </w:rPr>
              <w:t>审核计划已考虑到互查的公正性，无审核员审核本部门的工作，计划内容涉及各部门，条款覆盖整个体系。本次内审发现1个一般不符合项，针对这1个不合格，责任部门已分析了原因并采取了纠正措施，按要求进行了整改，最后内审员进行了验证，纠正措施实施有效</w:t>
            </w:r>
            <w:r>
              <w:rPr>
                <w:rFonts w:hint="eastAsia"/>
                <w:szCs w:val="22"/>
                <w:lang w:eastAsia="zh-CN"/>
              </w:rPr>
              <w:t>，</w:t>
            </w:r>
            <w:r>
              <w:rPr>
                <w:rFonts w:hint="eastAsia"/>
                <w:szCs w:val="22"/>
                <w:lang w:val="en-US" w:eastAsia="zh-CN"/>
              </w:rPr>
              <w:t>2020.8.5关闭</w:t>
            </w:r>
            <w:r>
              <w:rPr>
                <w:rFonts w:hint="eastAsia"/>
                <w:szCs w:val="22"/>
              </w:rPr>
              <w:t>。</w:t>
            </w:r>
          </w:p>
          <w:p>
            <w:pPr>
              <w:spacing w:line="360" w:lineRule="auto"/>
              <w:ind w:firstLine="420" w:firstLineChars="200"/>
              <w:rPr>
                <w:rFonts w:ascii="楷体" w:hAnsi="楷体" w:eastAsia="楷体"/>
                <w:sz w:val="24"/>
                <w:szCs w:val="24"/>
              </w:rPr>
            </w:pPr>
            <w:r>
              <w:rPr>
                <w:rFonts w:hint="eastAsia"/>
                <w:szCs w:val="22"/>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不合格和纠正措施</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10.2</w:t>
            </w:r>
          </w:p>
        </w:tc>
        <w:tc>
          <w:tcPr>
            <w:tcW w:w="10004" w:type="dxa"/>
          </w:tcPr>
          <w:p>
            <w:pPr>
              <w:spacing w:line="360" w:lineRule="auto"/>
              <w:ind w:firstLine="420" w:firstLineChars="200"/>
            </w:pPr>
            <w:r>
              <w:rPr>
                <w:rFonts w:hint="eastAsia"/>
              </w:rPr>
              <w:t>管理者代表根据总经理意图组织持续改进过程的策划工作，由办公室实施持续改进过程的管理。</w:t>
            </w:r>
          </w:p>
          <w:p>
            <w:pPr>
              <w:spacing w:line="360" w:lineRule="auto"/>
              <w:ind w:firstLine="420" w:firstLineChars="200"/>
              <w:rPr>
                <w:szCs w:val="22"/>
              </w:rPr>
            </w:pPr>
            <w:r>
              <w:rPr>
                <w:rFonts w:hint="eastAsia"/>
                <w:szCs w:val="22"/>
              </w:rPr>
              <w:t>查到《</w:t>
            </w:r>
            <w:r>
              <w:rPr>
                <w:rFonts w:hint="eastAsia"/>
                <w:szCs w:val="22"/>
                <w:lang w:val="en-US" w:eastAsia="zh-CN"/>
              </w:rPr>
              <w:t>整改通知</w:t>
            </w:r>
            <w:r>
              <w:rPr>
                <w:rFonts w:hint="eastAsia"/>
                <w:szCs w:val="22"/>
              </w:rPr>
              <w:t>单》，发生时间：20</w:t>
            </w:r>
            <w:r>
              <w:rPr>
                <w:rFonts w:hint="eastAsia"/>
                <w:szCs w:val="22"/>
                <w:lang w:val="en-US" w:eastAsia="zh-CN"/>
              </w:rPr>
              <w:t>20.4.15</w:t>
            </w:r>
            <w:r>
              <w:rPr>
                <w:rFonts w:hint="eastAsia"/>
                <w:szCs w:val="22"/>
              </w:rPr>
              <w:t>；</w:t>
            </w:r>
            <w:r>
              <w:rPr>
                <w:rFonts w:hint="eastAsia"/>
                <w:szCs w:val="22"/>
                <w:lang w:val="en-US" w:eastAsia="zh-CN"/>
              </w:rPr>
              <w:t>问题</w:t>
            </w:r>
            <w:r>
              <w:rPr>
                <w:rFonts w:hint="eastAsia"/>
                <w:szCs w:val="22"/>
              </w:rPr>
              <w:t>类型：</w:t>
            </w:r>
            <w:r>
              <w:rPr>
                <w:rFonts w:hint="eastAsia"/>
                <w:szCs w:val="22"/>
                <w:lang w:val="en-US" w:eastAsia="zh-CN"/>
              </w:rPr>
              <w:t>安全环保</w:t>
            </w:r>
            <w:r>
              <w:rPr>
                <w:rFonts w:hint="eastAsia"/>
                <w:szCs w:val="22"/>
              </w:rPr>
              <w:t>；发生地点：</w:t>
            </w:r>
            <w:r>
              <w:rPr>
                <w:rFonts w:hint="eastAsia"/>
                <w:szCs w:val="22"/>
                <w:lang w:val="en-US" w:eastAsia="zh-CN"/>
              </w:rPr>
              <w:t>锻造车间</w:t>
            </w:r>
            <w:r>
              <w:rPr>
                <w:rFonts w:hint="eastAsia"/>
                <w:szCs w:val="22"/>
              </w:rPr>
              <w:t>；事故描述：</w:t>
            </w:r>
            <w:r>
              <w:rPr>
                <w:rFonts w:hint="eastAsia"/>
                <w:szCs w:val="22"/>
                <w:lang w:val="en-US" w:eastAsia="zh-CN"/>
              </w:rPr>
              <w:t>锻造车间地面丢弃有废弃口罩</w:t>
            </w:r>
            <w:r>
              <w:rPr>
                <w:rFonts w:hint="eastAsia"/>
                <w:szCs w:val="22"/>
              </w:rPr>
              <w:t>；</w:t>
            </w:r>
            <w:r>
              <w:rPr>
                <w:rFonts w:hint="eastAsia"/>
                <w:szCs w:val="22"/>
                <w:lang w:val="en-US" w:eastAsia="zh-CN"/>
              </w:rPr>
              <w:t>进行了</w:t>
            </w:r>
            <w:r>
              <w:rPr>
                <w:rFonts w:hint="eastAsia"/>
                <w:szCs w:val="22"/>
              </w:rPr>
              <w:t>原因分析</w:t>
            </w:r>
            <w:r>
              <w:rPr>
                <w:rFonts w:hint="eastAsia"/>
                <w:szCs w:val="22"/>
                <w:lang w:eastAsia="zh-CN"/>
              </w:rPr>
              <w:t>、</w:t>
            </w:r>
            <w:r>
              <w:rPr>
                <w:rFonts w:hint="eastAsia"/>
                <w:szCs w:val="22"/>
              </w:rPr>
              <w:t>采取的</w:t>
            </w:r>
            <w:r>
              <w:rPr>
                <w:rFonts w:hint="eastAsia"/>
                <w:szCs w:val="22"/>
                <w:lang w:val="en-US" w:eastAsia="zh-CN"/>
              </w:rPr>
              <w:t>整改</w:t>
            </w:r>
            <w:r>
              <w:rPr>
                <w:rFonts w:hint="eastAsia"/>
                <w:szCs w:val="22"/>
              </w:rPr>
              <w:t>措施</w:t>
            </w:r>
            <w:r>
              <w:rPr>
                <w:rFonts w:hint="eastAsia"/>
                <w:szCs w:val="22"/>
                <w:lang w:eastAsia="zh-CN"/>
              </w:rPr>
              <w:t>、</w:t>
            </w:r>
            <w:r>
              <w:rPr>
                <w:rFonts w:hint="eastAsia"/>
                <w:szCs w:val="22"/>
              </w:rPr>
              <w:t>跟踪验证结果</w:t>
            </w:r>
            <w:r>
              <w:rPr>
                <w:rFonts w:hint="eastAsia"/>
                <w:szCs w:val="22"/>
                <w:lang w:eastAsia="zh-CN"/>
              </w:rPr>
              <w:t>，</w:t>
            </w:r>
            <w:r>
              <w:rPr>
                <w:rFonts w:hint="eastAsia"/>
                <w:szCs w:val="22"/>
              </w:rPr>
              <w:t>赵</w:t>
            </w:r>
            <w:r>
              <w:rPr>
                <w:rFonts w:hint="eastAsia"/>
                <w:szCs w:val="22"/>
                <w:lang w:val="en-US" w:eastAsia="zh-CN"/>
              </w:rPr>
              <w:t>金宝</w:t>
            </w:r>
            <w:r>
              <w:rPr>
                <w:rFonts w:hint="eastAsia"/>
                <w:szCs w:val="22"/>
              </w:rPr>
              <w:t xml:space="preserve"> 20</w:t>
            </w:r>
            <w:r>
              <w:rPr>
                <w:rFonts w:hint="eastAsia"/>
                <w:szCs w:val="22"/>
                <w:lang w:val="en-US" w:eastAsia="zh-CN"/>
              </w:rPr>
              <w:t>20.4.15</w:t>
            </w:r>
            <w:r>
              <w:rPr>
                <w:rFonts w:hint="eastAsia"/>
                <w:szCs w:val="22"/>
              </w:rPr>
              <w:t>。</w:t>
            </w:r>
          </w:p>
          <w:p>
            <w:pPr>
              <w:spacing w:line="360" w:lineRule="auto"/>
              <w:ind w:firstLine="420" w:firstLineChars="200"/>
            </w:pPr>
            <w:r>
              <w:rPr>
                <w:rFonts w:hint="eastAsia"/>
                <w:szCs w:val="22"/>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p>
        </w:tc>
        <w:tc>
          <w:tcPr>
            <w:tcW w:w="1311" w:type="dxa"/>
          </w:tcPr>
          <w:p>
            <w:pPr>
              <w:spacing w:line="360" w:lineRule="auto"/>
              <w:rPr>
                <w:rFonts w:ascii="楷体" w:hAnsi="楷体" w:eastAsia="楷体" w:cs="Arial"/>
                <w:bCs/>
                <w:sz w:val="24"/>
                <w:szCs w:val="24"/>
              </w:rPr>
            </w:pPr>
          </w:p>
        </w:tc>
        <w:tc>
          <w:tcPr>
            <w:tcW w:w="10004" w:type="dxa"/>
          </w:tcPr>
          <w:p>
            <w:pPr>
              <w:snapToGrid w:val="0"/>
              <w:spacing w:line="360" w:lineRule="auto"/>
              <w:ind w:firstLine="480" w:firstLineChars="200"/>
              <w:rPr>
                <w:rFonts w:ascii="楷体" w:hAnsi="楷体" w:eastAsia="楷体" w:cs="Arial"/>
                <w:bCs/>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91008"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4681" y="0"/>
              <wp:lineTo x="0" y="4434"/>
              <wp:lineTo x="0" y="17103"/>
              <wp:lineTo x="5350" y="20270"/>
              <wp:lineTo x="7356" y="20903"/>
              <wp:lineTo x="8025" y="20903"/>
              <wp:lineTo x="14712" y="20903"/>
              <wp:lineTo x="16718" y="20270"/>
              <wp:lineTo x="20731" y="13302"/>
              <wp:lineTo x="20731" y="6968"/>
              <wp:lineTo x="18056" y="2534"/>
              <wp:lineTo x="14712" y="0"/>
              <wp:lineTo x="4681" y="0"/>
            </wp:wrapPolygon>
          </wp:wrapTight>
          <wp:docPr id="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9203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7E6"/>
    <w:multiLevelType w:val="singleLevel"/>
    <w:tmpl w:val="059967E6"/>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52A"/>
    <w:rsid w:val="00004817"/>
    <w:rsid w:val="0000489C"/>
    <w:rsid w:val="00010A8E"/>
    <w:rsid w:val="00011131"/>
    <w:rsid w:val="000214B6"/>
    <w:rsid w:val="000235CA"/>
    <w:rsid w:val="00024CF8"/>
    <w:rsid w:val="0002531E"/>
    <w:rsid w:val="00030AA3"/>
    <w:rsid w:val="00032F7B"/>
    <w:rsid w:val="0003373A"/>
    <w:rsid w:val="000412F6"/>
    <w:rsid w:val="00042D65"/>
    <w:rsid w:val="0005199E"/>
    <w:rsid w:val="0005359F"/>
    <w:rsid w:val="0005697E"/>
    <w:rsid w:val="000579CF"/>
    <w:rsid w:val="00060140"/>
    <w:rsid w:val="00065492"/>
    <w:rsid w:val="0008023B"/>
    <w:rsid w:val="00082216"/>
    <w:rsid w:val="00082398"/>
    <w:rsid w:val="000849D2"/>
    <w:rsid w:val="000877AB"/>
    <w:rsid w:val="00093FDD"/>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221D5"/>
    <w:rsid w:val="00222532"/>
    <w:rsid w:val="00223BE3"/>
    <w:rsid w:val="00233B02"/>
    <w:rsid w:val="00234FA5"/>
    <w:rsid w:val="00237445"/>
    <w:rsid w:val="00237878"/>
    <w:rsid w:val="00256D61"/>
    <w:rsid w:val="00260151"/>
    <w:rsid w:val="002651A6"/>
    <w:rsid w:val="00277EAD"/>
    <w:rsid w:val="0028428D"/>
    <w:rsid w:val="002973F0"/>
    <w:rsid w:val="002975C1"/>
    <w:rsid w:val="002A0E6E"/>
    <w:rsid w:val="002A33CC"/>
    <w:rsid w:val="002B1808"/>
    <w:rsid w:val="002C05F1"/>
    <w:rsid w:val="002C1ACE"/>
    <w:rsid w:val="002C3E0D"/>
    <w:rsid w:val="002D41FB"/>
    <w:rsid w:val="002E0587"/>
    <w:rsid w:val="002E0FDE"/>
    <w:rsid w:val="002E1E1D"/>
    <w:rsid w:val="002E54D2"/>
    <w:rsid w:val="002F33E7"/>
    <w:rsid w:val="00306C8C"/>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D0E86"/>
    <w:rsid w:val="003D60E0"/>
    <w:rsid w:val="003D6BE3"/>
    <w:rsid w:val="003E0E52"/>
    <w:rsid w:val="003F20A5"/>
    <w:rsid w:val="003F7CF2"/>
    <w:rsid w:val="00400B96"/>
    <w:rsid w:val="00402F6A"/>
    <w:rsid w:val="00405D5F"/>
    <w:rsid w:val="00410370"/>
    <w:rsid w:val="00410914"/>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6930"/>
    <w:rsid w:val="00560A2A"/>
    <w:rsid w:val="00564E53"/>
    <w:rsid w:val="00572CCA"/>
    <w:rsid w:val="005745EC"/>
    <w:rsid w:val="00583277"/>
    <w:rsid w:val="00583BED"/>
    <w:rsid w:val="00592857"/>
    <w:rsid w:val="00592C3E"/>
    <w:rsid w:val="00594F7B"/>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40B9"/>
    <w:rsid w:val="006C5AA3"/>
    <w:rsid w:val="006E407E"/>
    <w:rsid w:val="006E678B"/>
    <w:rsid w:val="006F7C2F"/>
    <w:rsid w:val="0070237F"/>
    <w:rsid w:val="0070367F"/>
    <w:rsid w:val="00712F3C"/>
    <w:rsid w:val="00714173"/>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42F3"/>
    <w:rsid w:val="00895162"/>
    <w:rsid w:val="00895CD0"/>
    <w:rsid w:val="008973EE"/>
    <w:rsid w:val="008A3BE8"/>
    <w:rsid w:val="008A45D1"/>
    <w:rsid w:val="008D089D"/>
    <w:rsid w:val="008E4ACD"/>
    <w:rsid w:val="008F0B04"/>
    <w:rsid w:val="008F7C55"/>
    <w:rsid w:val="00903041"/>
    <w:rsid w:val="00912EC2"/>
    <w:rsid w:val="00925E9B"/>
    <w:rsid w:val="009274E1"/>
    <w:rsid w:val="00927A5E"/>
    <w:rsid w:val="00930694"/>
    <w:rsid w:val="0093521F"/>
    <w:rsid w:val="0094313D"/>
    <w:rsid w:val="00945677"/>
    <w:rsid w:val="00955B84"/>
    <w:rsid w:val="00962F78"/>
    <w:rsid w:val="009635D2"/>
    <w:rsid w:val="0096609F"/>
    <w:rsid w:val="009666D5"/>
    <w:rsid w:val="00971600"/>
    <w:rsid w:val="00977143"/>
    <w:rsid w:val="00984342"/>
    <w:rsid w:val="009973B4"/>
    <w:rsid w:val="00997ED5"/>
    <w:rsid w:val="009A1F39"/>
    <w:rsid w:val="009A2CBA"/>
    <w:rsid w:val="009A7CA5"/>
    <w:rsid w:val="009B7EB8"/>
    <w:rsid w:val="009D56D9"/>
    <w:rsid w:val="009E30DA"/>
    <w:rsid w:val="009E6193"/>
    <w:rsid w:val="009E7DD1"/>
    <w:rsid w:val="009F54EA"/>
    <w:rsid w:val="009F7EED"/>
    <w:rsid w:val="00A11CE2"/>
    <w:rsid w:val="00A138EC"/>
    <w:rsid w:val="00A141BA"/>
    <w:rsid w:val="00A16BEC"/>
    <w:rsid w:val="00A207A9"/>
    <w:rsid w:val="00A213BB"/>
    <w:rsid w:val="00A242B7"/>
    <w:rsid w:val="00A30AF3"/>
    <w:rsid w:val="00A37308"/>
    <w:rsid w:val="00A41ECE"/>
    <w:rsid w:val="00A71BDD"/>
    <w:rsid w:val="00A74274"/>
    <w:rsid w:val="00A801DE"/>
    <w:rsid w:val="00A90A22"/>
    <w:rsid w:val="00A9370D"/>
    <w:rsid w:val="00A971DB"/>
    <w:rsid w:val="00A97734"/>
    <w:rsid w:val="00AA5AAA"/>
    <w:rsid w:val="00AA7F40"/>
    <w:rsid w:val="00AB41FC"/>
    <w:rsid w:val="00AB7D2F"/>
    <w:rsid w:val="00AD1550"/>
    <w:rsid w:val="00AD1604"/>
    <w:rsid w:val="00AD59BA"/>
    <w:rsid w:val="00AD6F34"/>
    <w:rsid w:val="00AE173F"/>
    <w:rsid w:val="00AE5F74"/>
    <w:rsid w:val="00AF08A3"/>
    <w:rsid w:val="00AF0AAB"/>
    <w:rsid w:val="00AF566B"/>
    <w:rsid w:val="00AF616B"/>
    <w:rsid w:val="00B01A4E"/>
    <w:rsid w:val="00B01BD1"/>
    <w:rsid w:val="00B0458E"/>
    <w:rsid w:val="00B047A6"/>
    <w:rsid w:val="00B0685B"/>
    <w:rsid w:val="00B17BD9"/>
    <w:rsid w:val="00B23030"/>
    <w:rsid w:val="00B237B9"/>
    <w:rsid w:val="00B23CAA"/>
    <w:rsid w:val="00B31564"/>
    <w:rsid w:val="00B410EE"/>
    <w:rsid w:val="00B469F8"/>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5CF5"/>
    <w:rsid w:val="00C80D44"/>
    <w:rsid w:val="00C86F9B"/>
    <w:rsid w:val="00C87FEE"/>
    <w:rsid w:val="00C920A9"/>
    <w:rsid w:val="00CA6500"/>
    <w:rsid w:val="00CB0B65"/>
    <w:rsid w:val="00CB260B"/>
    <w:rsid w:val="00CB32AC"/>
    <w:rsid w:val="00CC3579"/>
    <w:rsid w:val="00CC43C5"/>
    <w:rsid w:val="00CD0874"/>
    <w:rsid w:val="00CE2A9E"/>
    <w:rsid w:val="00CE315A"/>
    <w:rsid w:val="00CE7BE1"/>
    <w:rsid w:val="00CF147A"/>
    <w:rsid w:val="00CF1726"/>
    <w:rsid w:val="00CF5BEE"/>
    <w:rsid w:val="00CF615B"/>
    <w:rsid w:val="00CF6C5C"/>
    <w:rsid w:val="00D00082"/>
    <w:rsid w:val="00D04E08"/>
    <w:rsid w:val="00D06F59"/>
    <w:rsid w:val="00D207FD"/>
    <w:rsid w:val="00D31D43"/>
    <w:rsid w:val="00D32C89"/>
    <w:rsid w:val="00D3392D"/>
    <w:rsid w:val="00D429D7"/>
    <w:rsid w:val="00D432BA"/>
    <w:rsid w:val="00D44F57"/>
    <w:rsid w:val="00D46934"/>
    <w:rsid w:val="00D55E69"/>
    <w:rsid w:val="00D562F6"/>
    <w:rsid w:val="00D6092B"/>
    <w:rsid w:val="00D763FC"/>
    <w:rsid w:val="00D8388C"/>
    <w:rsid w:val="00D8465F"/>
    <w:rsid w:val="00D93BCF"/>
    <w:rsid w:val="00D93CE5"/>
    <w:rsid w:val="00D94A94"/>
    <w:rsid w:val="00DA0605"/>
    <w:rsid w:val="00DA0DF0"/>
    <w:rsid w:val="00DA15B3"/>
    <w:rsid w:val="00DB30A0"/>
    <w:rsid w:val="00DB3A7B"/>
    <w:rsid w:val="00DB49C7"/>
    <w:rsid w:val="00DB7048"/>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D2239"/>
    <w:rsid w:val="00ED322B"/>
    <w:rsid w:val="00EE31A4"/>
    <w:rsid w:val="00EE342C"/>
    <w:rsid w:val="00EE4E99"/>
    <w:rsid w:val="00EE5681"/>
    <w:rsid w:val="00EF36E7"/>
    <w:rsid w:val="00F00528"/>
    <w:rsid w:val="00F06D09"/>
    <w:rsid w:val="00F0761A"/>
    <w:rsid w:val="00F11201"/>
    <w:rsid w:val="00F120B5"/>
    <w:rsid w:val="00F120D0"/>
    <w:rsid w:val="00F14D99"/>
    <w:rsid w:val="00F218AE"/>
    <w:rsid w:val="00F2791D"/>
    <w:rsid w:val="00F32CB9"/>
    <w:rsid w:val="00F33729"/>
    <w:rsid w:val="00F35CD7"/>
    <w:rsid w:val="00F4469B"/>
    <w:rsid w:val="00F45330"/>
    <w:rsid w:val="00F47D7D"/>
    <w:rsid w:val="00F57725"/>
    <w:rsid w:val="00F606E1"/>
    <w:rsid w:val="00F614F5"/>
    <w:rsid w:val="00F6176E"/>
    <w:rsid w:val="00F6739D"/>
    <w:rsid w:val="00F83639"/>
    <w:rsid w:val="00F83ED4"/>
    <w:rsid w:val="00F840C3"/>
    <w:rsid w:val="00F856F5"/>
    <w:rsid w:val="00F93F58"/>
    <w:rsid w:val="00F956F5"/>
    <w:rsid w:val="00FA0833"/>
    <w:rsid w:val="00FA2A1D"/>
    <w:rsid w:val="00FA350D"/>
    <w:rsid w:val="00FB03C3"/>
    <w:rsid w:val="00FB136A"/>
    <w:rsid w:val="00FB5A65"/>
    <w:rsid w:val="00FC4C8F"/>
    <w:rsid w:val="00FD2869"/>
    <w:rsid w:val="00FD4D2E"/>
    <w:rsid w:val="00FD56BE"/>
    <w:rsid w:val="00FD5EE5"/>
    <w:rsid w:val="00FD72A6"/>
    <w:rsid w:val="00FE09C9"/>
    <w:rsid w:val="01F81958"/>
    <w:rsid w:val="108219C2"/>
    <w:rsid w:val="29D15235"/>
    <w:rsid w:val="2E8D71E1"/>
    <w:rsid w:val="30983942"/>
    <w:rsid w:val="32DF581A"/>
    <w:rsid w:val="33655F2F"/>
    <w:rsid w:val="3C610A40"/>
    <w:rsid w:val="3C8C5917"/>
    <w:rsid w:val="425C5FCC"/>
    <w:rsid w:val="445B0D79"/>
    <w:rsid w:val="467C17A0"/>
    <w:rsid w:val="4AF85F17"/>
    <w:rsid w:val="4EDF4E0B"/>
    <w:rsid w:val="51B00550"/>
    <w:rsid w:val="552F2FC7"/>
    <w:rsid w:val="59C33451"/>
    <w:rsid w:val="5B8A39D2"/>
    <w:rsid w:val="5EA12B9A"/>
    <w:rsid w:val="5ECE3A67"/>
    <w:rsid w:val="5F3D0E0B"/>
    <w:rsid w:val="638C567C"/>
    <w:rsid w:val="72D73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9"/>
    <w:qFormat/>
    <w:uiPriority w:val="0"/>
    <w:rPr>
      <w:rFonts w:hint="eastAsia" w:ascii="宋体" w:hAnsi="宋体" w:eastAsia="宋体"/>
      <w:color w:val="000000"/>
      <w:sz w:val="24"/>
      <w:szCs w:val="24"/>
    </w:rPr>
  </w:style>
  <w:style w:type="character" w:customStyle="1" w:styleId="15">
    <w:name w:val="fontstyle21"/>
    <w:basedOn w:val="9"/>
    <w:qFormat/>
    <w:uiPriority w:val="0"/>
    <w:rPr>
      <w:rFonts w:hint="default" w:ascii="Times New Roman" w:hAnsi="Times New Roman" w:cs="Times New Roman"/>
      <w:color w:val="000000"/>
      <w:sz w:val="24"/>
      <w:szCs w:val="24"/>
    </w:rPr>
  </w:style>
  <w:style w:type="paragraph" w:styleId="16">
    <w:name w:val="List Paragraph"/>
    <w:basedOn w:val="1"/>
    <w:qFormat/>
    <w:uiPriority w:val="99"/>
    <w:pPr>
      <w:ind w:firstLine="420" w:firstLineChars="200"/>
    </w:pPr>
  </w:style>
  <w:style w:type="paragraph" w:customStyle="1" w:styleId="17">
    <w:name w:val="列出段落1"/>
    <w:basedOn w:val="1"/>
    <w:qFormat/>
    <w:uiPriority w:val="34"/>
    <w:pPr>
      <w:ind w:firstLine="420" w:firstLineChars="200"/>
    </w:pPr>
  </w:style>
  <w:style w:type="character" w:customStyle="1" w:styleId="18">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1313</Words>
  <Characters>7490</Characters>
  <Lines>62</Lines>
  <Paragraphs>17</Paragraphs>
  <TotalTime>18</TotalTime>
  <ScaleCrop>false</ScaleCrop>
  <LinksUpToDate>false</LinksUpToDate>
  <CharactersWithSpaces>8786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2020-12-15T16:18:49Z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