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4"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受审核方：</w:t>
      </w:r>
      <w:bookmarkStart w:id="0" w:name="组织名称"/>
      <w:r>
        <w:rPr>
          <w:rFonts w:hint="eastAsia" w:ascii="楷体" w:hAnsi="楷体" w:eastAsia="楷体"/>
          <w:b/>
          <w:color w:val="000000" w:themeColor="text1"/>
          <w:sz w:val="32"/>
          <w:szCs w:val="32"/>
        </w:rPr>
        <w:t>北京京研电力工程设计有限公司</w:t>
      </w:r>
      <w:bookmarkEnd w:id="0"/>
    </w:p>
    <w:p>
      <w:pPr>
        <w:snapToGrid w:val="0"/>
        <w:spacing w:after="93" w:afterLines="30"/>
        <w:ind w:firstLine="1928" w:firstLineChars="600"/>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质量管理体系（QMS）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环境管理体系（EMS）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1"/>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rPr>
                <w:b/>
                <w:color w:val="000000" w:themeColor="text1"/>
                <w:sz w:val="20"/>
                <w:szCs w:val="20"/>
              </w:rPr>
            </w:pPr>
            <w:r>
              <w:rPr>
                <w:rFonts w:hint="eastAsia"/>
                <w:sz w:val="18"/>
                <w:szCs w:val="18"/>
              </w:rPr>
              <w:t>李京田</w:t>
            </w:r>
          </w:p>
        </w:tc>
        <w:tc>
          <w:tcPr>
            <w:tcW w:w="992" w:type="dxa"/>
            <w:vAlign w:val="center"/>
          </w:tcPr>
          <w:p>
            <w:pPr>
              <w:spacing w:line="240" w:lineRule="exact"/>
              <w:jc w:val="center"/>
              <w:rPr>
                <w:b/>
                <w:color w:val="000000" w:themeColor="text1"/>
                <w:sz w:val="20"/>
                <w:szCs w:val="20"/>
              </w:rPr>
            </w:pPr>
            <w:r>
              <w:rPr>
                <w:rFonts w:hint="eastAsia"/>
                <w:sz w:val="18"/>
                <w:szCs w:val="18"/>
              </w:rPr>
              <w:t>女</w:t>
            </w:r>
          </w:p>
        </w:tc>
        <w:tc>
          <w:tcPr>
            <w:tcW w:w="1216" w:type="dxa"/>
            <w:vAlign w:val="center"/>
          </w:tcPr>
          <w:p>
            <w:pPr>
              <w:spacing w:line="240" w:lineRule="exact"/>
              <w:rPr>
                <w:b/>
                <w:color w:val="000000" w:themeColor="text1"/>
                <w:sz w:val="20"/>
                <w:szCs w:val="20"/>
              </w:rPr>
            </w:pPr>
            <w:r>
              <w:rPr>
                <w:rFonts w:hint="eastAsia"/>
                <w:szCs w:val="21"/>
              </w:rPr>
              <w:t>☆</w:t>
            </w:r>
          </w:p>
        </w:tc>
        <w:tc>
          <w:tcPr>
            <w:tcW w:w="3478" w:type="dxa"/>
            <w:gridSpan w:val="3"/>
          </w:tcPr>
          <w:p>
            <w:pPr>
              <w:spacing w:line="240" w:lineRule="exact"/>
              <w:rPr>
                <w:sz w:val="18"/>
                <w:szCs w:val="18"/>
              </w:rPr>
            </w:pPr>
            <w:r>
              <w:rPr>
                <w:sz w:val="18"/>
                <w:szCs w:val="18"/>
              </w:rPr>
              <w:t>Q:审核员</w:t>
            </w:r>
          </w:p>
          <w:p>
            <w:pPr>
              <w:spacing w:line="240" w:lineRule="exact"/>
              <w:rPr>
                <w:sz w:val="18"/>
                <w:szCs w:val="18"/>
              </w:rPr>
            </w:pPr>
            <w:r>
              <w:rPr>
                <w:sz w:val="18"/>
                <w:szCs w:val="18"/>
              </w:rPr>
              <w:t>E:审核员</w:t>
            </w:r>
          </w:p>
          <w:p>
            <w:pPr>
              <w:spacing w:line="240" w:lineRule="exact"/>
              <w:rPr>
                <w:b/>
                <w:color w:val="000000" w:themeColor="text1"/>
                <w:sz w:val="20"/>
                <w:szCs w:val="20"/>
              </w:rPr>
            </w:pPr>
            <w:r>
              <w:rPr>
                <w:sz w:val="18"/>
                <w:szCs w:val="18"/>
              </w:rPr>
              <w:t>O:审核员</w:t>
            </w:r>
          </w:p>
        </w:tc>
        <w:tc>
          <w:tcPr>
            <w:tcW w:w="2333" w:type="dxa"/>
            <w:gridSpan w:val="2"/>
            <w:vAlign w:val="center"/>
          </w:tcPr>
          <w:p>
            <w:pPr>
              <w:rPr>
                <w:rFonts w:hint="eastAsia"/>
                <w:b/>
                <w:szCs w:val="21"/>
              </w:rPr>
            </w:pPr>
            <w:r>
              <w:rPr>
                <w:rFonts w:hint="eastAsia"/>
                <w:b/>
                <w:szCs w:val="21"/>
              </w:rPr>
              <w:t>Q：34.01.02</w:t>
            </w:r>
          </w:p>
          <w:p>
            <w:pPr>
              <w:rPr>
                <w:rFonts w:hint="eastAsia"/>
                <w:b/>
                <w:szCs w:val="21"/>
              </w:rPr>
            </w:pPr>
            <w:r>
              <w:rPr>
                <w:rFonts w:hint="eastAsia"/>
                <w:b/>
                <w:szCs w:val="21"/>
              </w:rPr>
              <w:t>E：34.01.02</w:t>
            </w:r>
          </w:p>
          <w:p>
            <w:pPr>
              <w:spacing w:line="240" w:lineRule="exact"/>
              <w:rPr>
                <w:b/>
                <w:color w:val="000000" w:themeColor="text1"/>
                <w:sz w:val="20"/>
                <w:szCs w:val="20"/>
              </w:rPr>
            </w:pPr>
            <w:r>
              <w:rPr>
                <w:rFonts w:hint="eastAsia"/>
                <w:b/>
                <w:szCs w:val="21"/>
              </w:rPr>
              <w:t>O：34.01.02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李雅静</w:t>
            </w:r>
          </w:p>
        </w:tc>
        <w:tc>
          <w:tcPr>
            <w:tcW w:w="992" w:type="dxa"/>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组员</w:t>
            </w:r>
          </w:p>
        </w:tc>
        <w:tc>
          <w:tcPr>
            <w:tcW w:w="1216" w:type="dxa"/>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O:审核员</w:t>
            </w:r>
          </w:p>
        </w:tc>
        <w:tc>
          <w:tcPr>
            <w:tcW w:w="2333" w:type="dxa"/>
            <w:gridSpan w:val="2"/>
            <w:vAlign w:val="center"/>
          </w:tcPr>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EMS/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142" w:firstLine="0" w:firstLineChars="0"/>
        <w:rPr>
          <w:rFonts w:ascii="宋体" w:hAnsi="宋体"/>
          <w:b/>
          <w:color w:val="000000" w:themeColor="text1"/>
          <w:sz w:val="20"/>
          <w:szCs w:val="20"/>
        </w:rPr>
      </w:pPr>
      <w:r>
        <w:rPr>
          <w:rFonts w:hint="eastAsia" w:ascii="宋体" w:hAnsi="宋体" w:cs="宋体"/>
          <w:b/>
          <w:color w:val="000000" w:themeColor="text1"/>
          <w:spacing w:val="-10"/>
          <w:sz w:val="20"/>
          <w:szCs w:val="20"/>
        </w:rPr>
        <w:t>█</w:t>
      </w:r>
      <w:r>
        <w:rPr>
          <w:rFonts w:hint="eastAsia" w:ascii="宋体" w:hAnsi="宋体"/>
          <w:b/>
          <w:color w:val="000000" w:themeColor="text1"/>
          <w:sz w:val="20"/>
          <w:szCs w:val="20"/>
          <w:lang w:val="de-DE"/>
        </w:rPr>
        <w:t xml:space="preserve">ISO9001:2015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lang w:val="de-DE"/>
        </w:rPr>
        <w:t xml:space="preserve">ISO14001:2015       </w:t>
      </w:r>
      <w:r>
        <w:rPr>
          <w:rFonts w:hint="eastAsia" w:ascii="宋体" w:hAnsi="宋体" w:cs="宋体"/>
          <w:b/>
          <w:color w:val="000000" w:themeColor="text1"/>
          <w:spacing w:val="-10"/>
          <w:sz w:val="20"/>
          <w:szCs w:val="20"/>
          <w:lang w:val="de-DE"/>
        </w:rPr>
        <w:t>█</w:t>
      </w:r>
      <w:r>
        <w:rPr>
          <w:rFonts w:ascii="宋体" w:hAnsi="宋体"/>
          <w:b/>
          <w:color w:val="000000" w:themeColor="text1"/>
          <w:spacing w:val="-10"/>
          <w:sz w:val="20"/>
          <w:szCs w:val="20"/>
          <w:lang w:val="de-DE"/>
        </w:rPr>
        <w:t>ISO45001:2018</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受审核方管理体系文件</w:t>
      </w:r>
    </w:p>
    <w:p>
      <w:pPr>
        <w:pStyle w:val="11"/>
        <w:ind w:left="-142" w:firstLine="0" w:firstLineChars="0"/>
        <w:rPr>
          <w:rFonts w:ascii="宋体" w:hAnsi="宋体"/>
          <w:b/>
          <w:color w:val="000000" w:themeColor="text1"/>
          <w:sz w:val="26"/>
          <w:szCs w:val="26"/>
        </w:rPr>
      </w:pP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适用的法律、法规、标准。</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rPr>
        <w:t>合同要求</w:t>
      </w:r>
      <w:r>
        <w:rPr>
          <w:rFonts w:hint="eastAsia" w:ascii="宋体" w:hAnsi="宋体"/>
          <w:b/>
          <w:color w:val="000000" w:themeColor="text1"/>
          <w:spacing w:val="-10"/>
          <w:sz w:val="22"/>
          <w:szCs w:val="22"/>
        </w:rPr>
        <w:t xml:space="preserve"> </w:t>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r>
              <w:rPr>
                <w:color w:val="000000"/>
                <w:szCs w:val="21"/>
              </w:rPr>
              <w:t>北京京研电力工程设计有限公司</w:t>
            </w:r>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r>
              <w:rPr>
                <w:rFonts w:hint="eastAsia" w:ascii="宋体"/>
                <w:b/>
                <w:lang w:val="en-US" w:eastAsia="zh-CN"/>
              </w:rPr>
              <w:t>25</w:t>
            </w:r>
            <w:r>
              <w:rPr>
                <w:rFonts w:hint="eastAsia" w:ascii="宋体"/>
                <w:b/>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1" w:name="注册地址"/>
            <w:r>
              <w:t>北京市海淀区羊坊店东路21号院1号楼601房间</w:t>
            </w:r>
            <w:bookmarkEnd w:id="1"/>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jc w:val="center"/>
              <w:rPr>
                <w:rFonts w:ascii="宋体" w:hAnsi="宋体"/>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r>
              <w:t>北京市海淀区羊坊店东路21号院1号楼601房间</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2" w:name="联系人"/>
            <w:r>
              <w:t>许芳</w:t>
            </w:r>
            <w:bookmarkEnd w:id="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3" w:name="联系人手机"/>
            <w:r>
              <w:t>13901066543</w:t>
            </w:r>
            <w:bookmarkEnd w:id="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4" w:name="法人"/>
            <w:r>
              <w:t>袁敬中</w:t>
            </w:r>
            <w:bookmarkEnd w:id="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r>
              <w:t>袁敬中</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hint="eastAsia"/>
              </w:rPr>
              <w:t>许芳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rPr>
                <w:rFonts w:hint="eastAsia"/>
                <w:color w:val="000000"/>
                <w:szCs w:val="21"/>
              </w:rPr>
            </w:pPr>
            <w:bookmarkStart w:id="5" w:name="审核范围"/>
            <w:r>
              <w:rPr>
                <w:rFonts w:hint="eastAsia" w:ascii="宋体" w:hAnsi="宋体"/>
                <w:szCs w:val="21"/>
              </w:rPr>
              <w:t>Q：电力工程技术咨询；资质范围内的电力工程（变电工程、送电工程）设计</w:t>
            </w:r>
          </w:p>
          <w:p>
            <w:pPr>
              <w:rPr>
                <w:rFonts w:hint="eastAsia" w:ascii="宋体" w:hAnsi="宋体"/>
                <w:szCs w:val="21"/>
              </w:rPr>
            </w:pPr>
            <w:r>
              <w:rPr>
                <w:rFonts w:hint="eastAsia" w:ascii="宋体" w:hAnsi="宋体"/>
                <w:szCs w:val="21"/>
              </w:rPr>
              <w:t>E：电力工程技术咨询；资质范围内的电力工程（变电工程、送电工程）设计及其场所所涉及的环境管理活动</w:t>
            </w:r>
          </w:p>
          <w:p>
            <w:pPr>
              <w:spacing w:line="320" w:lineRule="exact"/>
              <w:rPr>
                <w:rFonts w:ascii="宋体" w:hAnsi="宋体"/>
                <w:b/>
                <w:color w:val="000000" w:themeColor="text1"/>
                <w:sz w:val="20"/>
                <w:szCs w:val="20"/>
                <w:u w:val="single"/>
                <w:lang w:val="en-GB"/>
              </w:rPr>
            </w:pPr>
            <w:r>
              <w:rPr>
                <w:rFonts w:hint="eastAsia" w:ascii="宋体" w:hAnsi="宋体"/>
                <w:szCs w:val="21"/>
              </w:rPr>
              <w:t>O：电力工程技术咨询；资质范围内的电力工程（变电工程、送电工程）设计及其场所所涉及的职业健康安全管理活动</w:t>
            </w:r>
            <w:bookmarkEnd w:id="5"/>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rPr>
                <w:rFonts w:hint="eastAsia"/>
                <w:b/>
                <w:szCs w:val="21"/>
              </w:rPr>
            </w:pPr>
            <w:bookmarkStart w:id="6" w:name="专业代码"/>
            <w:r>
              <w:rPr>
                <w:rFonts w:hint="eastAsia"/>
                <w:b/>
                <w:szCs w:val="21"/>
              </w:rPr>
              <w:t>Q：34.01.02</w:t>
            </w:r>
          </w:p>
          <w:p>
            <w:pPr>
              <w:rPr>
                <w:rFonts w:hint="eastAsia"/>
                <w:b/>
                <w:szCs w:val="21"/>
              </w:rPr>
            </w:pPr>
            <w:r>
              <w:rPr>
                <w:rFonts w:hint="eastAsia"/>
                <w:b/>
                <w:szCs w:val="21"/>
              </w:rPr>
              <w:t>E：34.01.02</w:t>
            </w:r>
          </w:p>
          <w:p>
            <w:pPr>
              <w:spacing w:line="320" w:lineRule="exact"/>
              <w:rPr>
                <w:rFonts w:ascii="宋体" w:hAnsi="宋体"/>
                <w:b/>
                <w:color w:val="000000" w:themeColor="text1"/>
                <w:sz w:val="20"/>
                <w:szCs w:val="20"/>
              </w:rPr>
            </w:pPr>
            <w:r>
              <w:rPr>
                <w:rFonts w:hint="eastAsia"/>
                <w:b/>
                <w:szCs w:val="21"/>
              </w:rPr>
              <w:t>O：34.01.02</w:t>
            </w:r>
            <w:bookmarkEnd w:id="6"/>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cs="宋体"/>
                <w:b/>
                <w:color w:val="000000" w:themeColor="text1"/>
                <w:sz w:val="20"/>
                <w:szCs w:val="20"/>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r>
              <w:rPr>
                <w:rFonts w:hint="eastAsia"/>
              </w:rPr>
              <w:t xml:space="preserve"> 2019年8月10日</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3"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p>
            <w:pPr>
              <w:jc w:val="center"/>
              <w:rPr>
                <w:rFonts w:ascii="宋体" w:hAnsi="宋体"/>
                <w:b/>
                <w:color w:val="000000" w:themeColor="text1"/>
                <w:sz w:val="20"/>
                <w:szCs w:val="20"/>
              </w:rPr>
            </w:pPr>
            <w:r>
              <w:rPr>
                <w:rFonts w:hint="eastAsia" w:ascii="宋体" w:hAnsi="宋体"/>
                <w:b/>
                <w:color w:val="000000" w:themeColor="text1"/>
                <w:sz w:val="20"/>
                <w:szCs w:val="20"/>
              </w:rPr>
              <w:t>综合部</w:t>
            </w:r>
          </w:p>
        </w:tc>
        <w:tc>
          <w:tcPr>
            <w:tcW w:w="6804" w:type="dxa"/>
          </w:tcPr>
          <w:p>
            <w:pPr>
              <w:ind w:firstLine="420" w:firstLineChars="200"/>
              <w:rPr>
                <w:rFonts w:ascii="宋体" w:hAnsi="宋体" w:cs="宋体"/>
                <w:szCs w:val="21"/>
              </w:rPr>
            </w:pPr>
            <w:r>
              <w:rPr>
                <w:rFonts w:hint="eastAsia" w:ascii="宋体" w:hAnsi="宋体" w:cs="宋体"/>
                <w:szCs w:val="21"/>
              </w:rPr>
              <w:t>人力资源管理过程</w:t>
            </w:r>
          </w:p>
          <w:p>
            <w:pPr>
              <w:ind w:firstLine="420" w:firstLineChars="200"/>
              <w:rPr>
                <w:rFonts w:ascii="宋体" w:hAnsi="宋体" w:cs="宋体"/>
                <w:szCs w:val="21"/>
              </w:rPr>
            </w:pPr>
            <w:r>
              <w:rPr>
                <w:rFonts w:hint="eastAsia" w:ascii="宋体" w:hAnsi="宋体" w:cs="宋体"/>
                <w:szCs w:val="21"/>
              </w:rPr>
              <w:t>资源提供与管理过程控制；</w:t>
            </w:r>
          </w:p>
          <w:p>
            <w:pPr>
              <w:ind w:firstLine="420" w:firstLineChars="200"/>
              <w:rPr>
                <w:rFonts w:ascii="宋体" w:hAnsi="宋体" w:cs="宋体"/>
                <w:szCs w:val="21"/>
              </w:rPr>
            </w:pPr>
            <w:r>
              <w:rPr>
                <w:rFonts w:hint="eastAsia" w:ascii="宋体" w:hAnsi="宋体" w:cs="宋体"/>
                <w:szCs w:val="21"/>
              </w:rPr>
              <w:t>内外部信息交流过程；</w:t>
            </w:r>
          </w:p>
          <w:p>
            <w:pPr>
              <w:ind w:firstLine="420" w:firstLineChars="200"/>
              <w:rPr>
                <w:rFonts w:ascii="宋体" w:hAnsi="宋体" w:cs="宋体"/>
                <w:szCs w:val="21"/>
              </w:rPr>
            </w:pPr>
            <w:r>
              <w:rPr>
                <w:rFonts w:hint="eastAsia" w:ascii="宋体" w:hAnsi="宋体" w:cs="宋体"/>
                <w:szCs w:val="21"/>
              </w:rPr>
              <w:t>环境、职业健康安全体系运行过程；</w:t>
            </w:r>
          </w:p>
          <w:p>
            <w:pPr>
              <w:ind w:firstLine="420" w:firstLineChars="200"/>
              <w:rPr>
                <w:rFonts w:ascii="宋体" w:hAnsi="宋体" w:cs="宋体"/>
                <w:szCs w:val="21"/>
              </w:rPr>
            </w:pPr>
            <w:r>
              <w:rPr>
                <w:rFonts w:hint="eastAsia" w:ascii="宋体" w:hAnsi="宋体" w:cs="宋体"/>
                <w:szCs w:val="21"/>
              </w:rPr>
              <w:t>负责绩效评价过程等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技术</w:t>
            </w:r>
            <w:r>
              <w:rPr>
                <w:rFonts w:hint="eastAsia" w:ascii="宋体" w:hAnsi="宋体"/>
                <w:b/>
                <w:color w:val="000000" w:themeColor="text1"/>
                <w:sz w:val="20"/>
                <w:szCs w:val="20"/>
              </w:rPr>
              <w:t>部</w:t>
            </w:r>
          </w:p>
        </w:tc>
        <w:tc>
          <w:tcPr>
            <w:tcW w:w="6804" w:type="dxa"/>
          </w:tcPr>
          <w:p>
            <w:pPr>
              <w:ind w:firstLine="420" w:firstLineChars="200"/>
              <w:rPr>
                <w:rFonts w:hint="eastAsia" w:ascii="宋体" w:hAnsi="宋体" w:cs="宋体"/>
                <w:szCs w:val="21"/>
              </w:rPr>
            </w:pPr>
            <w:r>
              <w:rPr>
                <w:rFonts w:hint="eastAsia" w:ascii="宋体" w:hAnsi="宋体" w:cs="宋体"/>
                <w:szCs w:val="21"/>
              </w:rPr>
              <w:t>1.负责电力工程技术咨询；资质范围内的电力工程设计工作。</w:t>
            </w:r>
          </w:p>
          <w:p>
            <w:pPr>
              <w:ind w:firstLine="420" w:firstLineChars="200"/>
              <w:rPr>
                <w:rFonts w:hint="eastAsia" w:ascii="宋体" w:hAnsi="宋体" w:cs="宋体"/>
                <w:szCs w:val="21"/>
              </w:rPr>
            </w:pPr>
            <w:r>
              <w:rPr>
                <w:rFonts w:hint="eastAsia" w:ascii="宋体" w:hAnsi="宋体" w:cs="宋体"/>
                <w:szCs w:val="21"/>
              </w:rPr>
              <w:t>2.负责组织对电力工程技术咨询；资质范围内的电力工程设计实现过程的策划、计划的编制，对项目实施管理、监督、检查和验收，对不合格品进行有效控制并制定合理处置方案；</w:t>
            </w:r>
          </w:p>
          <w:p>
            <w:pPr>
              <w:ind w:firstLine="420" w:firstLineChars="200"/>
              <w:rPr>
                <w:rFonts w:ascii="宋体" w:hAnsi="宋体" w:cs="宋体"/>
                <w:szCs w:val="21"/>
              </w:rPr>
            </w:pPr>
            <w:r>
              <w:rPr>
                <w:rFonts w:hint="eastAsia" w:ascii="宋体" w:hAnsi="宋体" w:cs="宋体"/>
                <w:szCs w:val="21"/>
              </w:rPr>
              <w:t>3.负责对本部门环境因素、职业健康安全风险的识别和评价，并确定重要环境因素、职业健康安全风险；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职业健康安全事务代表</w:t>
            </w:r>
          </w:p>
        </w:tc>
        <w:tc>
          <w:tcPr>
            <w:tcW w:w="6804" w:type="dxa"/>
          </w:tcPr>
          <w:p>
            <w:pPr>
              <w:rPr>
                <w:rFonts w:ascii="宋体" w:hAnsi="宋体"/>
                <w:b/>
                <w:color w:val="000000" w:themeColor="text1"/>
                <w:spacing w:val="-20"/>
                <w:sz w:val="20"/>
                <w:szCs w:val="20"/>
                <w:u w:val="single"/>
              </w:rPr>
            </w:pPr>
            <w:r>
              <w:rPr>
                <w:rFonts w:hint="eastAsia" w:ascii="宋体" w:hAnsi="宋体"/>
                <w:color w:val="000000" w:themeColor="text1"/>
                <w:spacing w:val="-20"/>
                <w:sz w:val="20"/>
                <w:szCs w:val="20"/>
              </w:rPr>
              <w:t>与员工利益有关的管理活动。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Cs w:val="21"/>
              </w:rPr>
            </w:pPr>
            <w:r>
              <w:rPr>
                <w:rFonts w:hint="eastAsia" w:ascii="宋体" w:hAnsi="宋体"/>
                <w:b/>
                <w:color w:val="000000" w:themeColor="text1"/>
                <w:sz w:val="20"/>
                <w:szCs w:val="20"/>
              </w:rPr>
              <w:t>管理层</w:t>
            </w:r>
          </w:p>
        </w:tc>
        <w:tc>
          <w:tcPr>
            <w:tcW w:w="6804" w:type="dxa"/>
          </w:tcPr>
          <w:p>
            <w:pPr>
              <w:rPr>
                <w:rFonts w:ascii="宋体" w:hAnsi="宋体"/>
                <w:b/>
                <w:color w:val="000000" w:themeColor="text1"/>
                <w:spacing w:val="-20"/>
                <w:szCs w:val="21"/>
                <w:u w:val="single"/>
              </w:rPr>
            </w:pPr>
            <w:r>
              <w:rPr>
                <w:rFonts w:hint="eastAsia" w:ascii="宋体" w:hAnsi="宋体"/>
                <w:sz w:val="18"/>
                <w:szCs w:val="18"/>
              </w:rPr>
              <w:t>与管理层有关的管理活动</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4. 本次审核覆盖时期：</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lang w:val="en-US" w:eastAsia="zh-CN"/>
        </w:rPr>
        <w:t>8</w:t>
      </w:r>
      <w:r>
        <w:rPr>
          <w:rFonts w:hint="eastAsia"/>
          <w:b/>
          <w:color w:val="000000" w:themeColor="text1"/>
          <w:spacing w:val="-10"/>
          <w:szCs w:val="21"/>
          <w:u w:val="single"/>
        </w:rPr>
        <w:t xml:space="preserve"> </w:t>
      </w:r>
      <w:r>
        <w:rPr>
          <w:rFonts w:hint="eastAsia"/>
          <w:b/>
          <w:color w:val="000000" w:themeColor="text1"/>
          <w:spacing w:val="-10"/>
          <w:szCs w:val="21"/>
        </w:rPr>
        <w:t>月</w:t>
      </w:r>
      <w:bookmarkStart w:id="7" w:name="OLE_LINK1"/>
      <w:r>
        <w:rPr>
          <w:rFonts w:hint="eastAsia"/>
          <w:b/>
          <w:color w:val="000000" w:themeColor="text1"/>
          <w:spacing w:val="-10"/>
          <w:szCs w:val="21"/>
          <w:u w:val="single"/>
        </w:rPr>
        <w:t xml:space="preserve">  10   </w:t>
      </w:r>
      <w:r>
        <w:rPr>
          <w:rFonts w:hint="eastAsia"/>
          <w:b/>
          <w:color w:val="000000" w:themeColor="text1"/>
          <w:spacing w:val="-10"/>
          <w:szCs w:val="21"/>
        </w:rPr>
        <w:t>日</w:t>
      </w:r>
      <w:bookmarkEnd w:id="7"/>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lang w:val="en-US" w:eastAsia="zh-CN"/>
        </w:rPr>
        <w:t>12</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13</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5. 完成情况说明:</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pPr>
            <w:r>
              <w:t>1、</w:t>
            </w:r>
            <w:r>
              <w:rPr>
                <w:rFonts w:hint="eastAsia"/>
              </w:rPr>
              <w:t>组织及其环境的识别情况</w:t>
            </w:r>
          </w:p>
          <w:p>
            <w:pPr>
              <w:rPr>
                <w:rStyle w:val="16"/>
                <w:rFonts w:hint="eastAsia" w:ascii="Arial" w:hAnsi="Arial" w:cs="Arial"/>
                <w:color w:val="333333"/>
                <w:szCs w:val="22"/>
                <w:shd w:val="clear" w:color="auto" w:fill="FFFFFF"/>
              </w:rPr>
            </w:pPr>
            <w:r>
              <w:rPr>
                <w:rFonts w:hint="eastAsia"/>
              </w:rPr>
              <w:t>北京京研电力工程设计</w:t>
            </w:r>
            <w:r>
              <w:rPr>
                <w:rStyle w:val="16"/>
                <w:rFonts w:hint="eastAsia" w:ascii="Arial" w:hAnsi="Arial" w:cs="Arial"/>
                <w:color w:val="333333"/>
                <w:szCs w:val="22"/>
                <w:shd w:val="clear" w:color="auto" w:fill="FFFFFF"/>
              </w:rPr>
              <w:t>有限公司,2004-02-27日成立，营业期限2004-02-27 - 2054-02-26，注册资金：</w:t>
            </w:r>
            <w:r>
              <w:rPr>
                <w:rStyle w:val="16"/>
                <w:rFonts w:hint="eastAsia" w:ascii="Arial" w:hAnsi="Arial" w:cs="Arial"/>
                <w:color w:val="333333"/>
                <w:szCs w:val="22"/>
                <w:shd w:val="clear" w:color="auto" w:fill="FFFFFF"/>
                <w:lang w:val="en-US" w:eastAsia="zh-CN"/>
              </w:rPr>
              <w:t>200</w:t>
            </w:r>
            <w:r>
              <w:rPr>
                <w:rStyle w:val="16"/>
                <w:rFonts w:hint="eastAsia" w:ascii="Arial" w:hAnsi="Arial" w:cs="Arial"/>
                <w:color w:val="333333"/>
                <w:szCs w:val="22"/>
                <w:shd w:val="clear" w:color="auto" w:fill="FFFFFF"/>
              </w:rPr>
              <w:t>万，企业信用代码：91110108758921372Y，注册地址：北京市海淀区羊坊店东路21号院1号楼601房间，</w:t>
            </w:r>
            <w:r>
              <w:rPr>
                <w:rStyle w:val="16"/>
                <w:rFonts w:hint="eastAsia" w:ascii="Arial" w:hAnsi="Arial" w:cs="Arial"/>
                <w:color w:val="333333"/>
                <w:szCs w:val="22"/>
                <w:shd w:val="clear" w:color="auto" w:fill="FFFFFF"/>
                <w:lang w:val="en-US" w:eastAsia="zh-CN"/>
              </w:rPr>
              <w:t>经营地址：</w:t>
            </w:r>
            <w:r>
              <w:rPr>
                <w:rStyle w:val="16"/>
                <w:rFonts w:hint="eastAsia" w:ascii="Arial" w:hAnsi="Arial" w:cs="Arial"/>
                <w:color w:val="333333"/>
                <w:szCs w:val="22"/>
                <w:shd w:val="clear" w:color="auto" w:fill="FFFFFF"/>
              </w:rPr>
              <w:t>北京市海淀区羊坊店东路21号院1号楼601房间</w:t>
            </w:r>
          </w:p>
          <w:p>
            <w:pPr>
              <w:rPr>
                <w:rStyle w:val="16"/>
                <w:rFonts w:ascii="Arial" w:hAnsi="Arial" w:cs="Arial"/>
                <w:color w:val="FF0000"/>
                <w:shd w:val="clear" w:color="auto" w:fill="FFFFFF"/>
              </w:rPr>
            </w:pPr>
            <w:r>
              <w:rPr>
                <w:rStyle w:val="16"/>
                <w:rFonts w:hint="eastAsia" w:ascii="Arial" w:hAnsi="Arial" w:cs="Arial"/>
                <w:color w:val="333333"/>
                <w:szCs w:val="22"/>
                <w:shd w:val="clear" w:color="auto" w:fill="FFFFFF"/>
              </w:rPr>
              <w:t>经营范围包括</w:t>
            </w:r>
            <w:r>
              <w:rPr>
                <w:rStyle w:val="16"/>
                <w:rFonts w:hint="eastAsia" w:ascii="Arial" w:hAnsi="Arial" w:cs="Arial"/>
                <w:color w:val="333333"/>
                <w:szCs w:val="22"/>
                <w:shd w:val="clear" w:color="auto" w:fill="FFFFFF"/>
                <w:lang w:eastAsia="zh-CN"/>
              </w:rPr>
              <w:t>：</w:t>
            </w:r>
            <w:r>
              <w:rPr>
                <w:rStyle w:val="16"/>
                <w:rFonts w:hint="eastAsia" w:ascii="Arial" w:hAnsi="Arial" w:cs="Arial"/>
                <w:color w:val="333333"/>
                <w:szCs w:val="22"/>
                <w:shd w:val="clear" w:color="auto" w:fill="FFFFFF"/>
              </w:rPr>
              <w:t>工程勘察设计；工程和技术研究与试验发展；建设工程项目管理；测绘服务；技术开发；技术咨询；施工总承包；专业承包；劳务分包；电脑打字、录入、校对、打印服务；电脑喷绘、晒图服务。（企业依法自主选择经营项目，开展经营活动；依法须经批准的项目，经相关部门批准后依批准的内容开展经营活动；不得从事本市产业政策禁止和限制类项目的经营活动。） ，公司的主要客户群为全国各地的企业、机关等；公司采用总经理负责制，层层把关，让用户真正放心</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pPr>
            <w:r>
              <w:rPr>
                <w:rFonts w:hint="eastAsia"/>
              </w:rPr>
              <w:t>相关方需求和期望识别情况</w:t>
            </w:r>
          </w:p>
          <w:p>
            <w:r>
              <w:rPr>
                <w:rFonts w:hint="eastAsia"/>
              </w:rPr>
              <w:t>在公司运营过程中充分考虑相关方方面的期望或要求，识别的相关方有：顾客、最终用户或受益人、业主，股东、员工等。物业部门和相关职能部门通过日常例会、市场活动、现场拜访、产品展销会、客户调查等多种渠道和方式方法随时了解相关方的需求和期望。做为公司经营风险分析和发展机遇的可利用资源。</w:t>
            </w:r>
          </w:p>
          <w:p>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pPr>
              <w:ind w:firstLine="632" w:firstLineChars="300"/>
              <w:rPr>
                <w:rFonts w:hint="eastAsia"/>
                <w:b/>
                <w:bCs/>
              </w:rPr>
            </w:pPr>
            <w:r>
              <w:rPr>
                <w:rFonts w:hint="eastAsia"/>
                <w:b/>
                <w:bCs/>
              </w:rPr>
              <w:t>守法诚信追求质量，预防污染保护环境；</w:t>
            </w:r>
          </w:p>
          <w:p>
            <w:pPr>
              <w:rPr>
                <w:rFonts w:hint="eastAsia"/>
                <w:b/>
                <w:bCs/>
              </w:rPr>
            </w:pPr>
            <w:r>
              <w:rPr>
                <w:rFonts w:hint="eastAsia"/>
                <w:b/>
                <w:bCs/>
              </w:rPr>
              <w:t xml:space="preserve">    </w:t>
            </w:r>
            <w:r>
              <w:rPr>
                <w:rFonts w:hint="eastAsia"/>
                <w:b/>
                <w:bCs/>
                <w:lang w:val="en-US" w:eastAsia="zh-CN"/>
              </w:rPr>
              <w:t xml:space="preserve"> </w:t>
            </w:r>
            <w:r>
              <w:rPr>
                <w:rFonts w:hint="eastAsia"/>
                <w:b/>
                <w:bCs/>
              </w:rPr>
              <w:t>关爱员工健康安全，持续改进追求卓越。</w:t>
            </w:r>
          </w:p>
          <w:p>
            <w:pPr>
              <w:pStyle w:val="2"/>
            </w:pPr>
            <w:r>
              <w:rPr>
                <w:rFonts w:hint="eastAsia"/>
                <w:color w:val="000000"/>
              </w:rPr>
              <w:t>通过管理手册的分发使全体员工理解方针，通过内审和管理评审保持方针的适宜性。</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提供了“2019年度 SWOT经营环境分析及对策报告”，对影响公司经营和发展的各种因素（内外部环境、相关方要求等）进行分析，确定需要应对的风险和机遇</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rPr>
                <w:rFonts w:hint="eastAsia"/>
                <w:bCs/>
              </w:rPr>
            </w:pPr>
            <w:r>
              <w:rPr>
                <w:rFonts w:hint="eastAsia"/>
                <w:bCs/>
              </w:rPr>
              <w:t>电力工程设计流程</w:t>
            </w:r>
          </w:p>
          <w:p>
            <w:pPr>
              <w:rPr>
                <w:rFonts w:hint="eastAsia"/>
                <w:bCs/>
              </w:rPr>
            </w:pPr>
            <w:r>
              <w:rPr>
                <w:rFonts w:hint="eastAsia"/>
                <w:bCs/>
              </w:rPr>
              <w:t>设计策划（组成项目组、工程设计策划、工程设计开工会、方案策划、施工图专业策划）-设计接口（设计专业间接口）-设计输入-设计输出-设计校审-设计审查-设计完成</w:t>
            </w:r>
          </w:p>
          <w:p>
            <w:pPr>
              <w:rPr>
                <w:rFonts w:hint="eastAsia"/>
                <w:bCs/>
              </w:rPr>
            </w:pPr>
          </w:p>
          <w:p>
            <w:pPr>
              <w:rPr>
                <w:rFonts w:hint="eastAsia"/>
                <w:bCs/>
                <w:lang w:val="en-US" w:eastAsia="zh-CN"/>
              </w:rPr>
            </w:pPr>
            <w:r>
              <w:rPr>
                <w:rFonts w:hint="eastAsia"/>
                <w:bCs/>
              </w:rPr>
              <w:t>电力工程技术咨询</w:t>
            </w:r>
            <w:r>
              <w:rPr>
                <w:rFonts w:hint="eastAsia"/>
                <w:bCs/>
                <w:lang w:val="en-US" w:eastAsia="zh-CN"/>
              </w:rPr>
              <w:t>流程：</w:t>
            </w:r>
          </w:p>
          <w:p>
            <w:pPr>
              <w:rPr>
                <w:rFonts w:hint="eastAsia"/>
                <w:bCs/>
                <w:lang w:val="en-US" w:eastAsia="zh-CN"/>
              </w:rPr>
            </w:pPr>
            <w:r>
              <w:rPr>
                <w:rFonts w:hint="eastAsia"/>
                <w:bCs/>
                <w:lang w:val="en-US" w:eastAsia="zh-CN"/>
              </w:rPr>
              <w:t>组建团队—向业主收集资料（现场收集）现场勘测—梳理分析—编制可研报告或接入系统方案—审查—评审—批复</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bCs/>
              </w:rPr>
              <w:t>电力工程技术咨询</w:t>
            </w:r>
            <w:r>
              <w:rPr>
                <w:rFonts w:hint="eastAsia"/>
                <w:bCs/>
                <w:lang w:val="en-US" w:eastAsia="zh-CN"/>
              </w:rPr>
              <w:t>过程、电力工程设计过程</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bCs/>
              </w:rPr>
              <w:t>电力工程技术咨询</w:t>
            </w:r>
            <w:r>
              <w:rPr>
                <w:rFonts w:hint="eastAsia"/>
                <w:bCs/>
                <w:lang w:val="en-US" w:eastAsia="zh-CN"/>
              </w:rPr>
              <w:t>过程、电力工程设计过程</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26" o:spid="_x0000_s1026" o:spt="32" type="#_x0000_t32" style="position:absolute;left:0pt;margin-left:157.9pt;margin-top:12.75pt;height:0pt;width:261.75pt;z-index:251673600;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7" o:spid="_x0000_s1027" o:spt="32" type="#_x0000_t32" style="position:absolute;left:0pt;margin-left:55.15pt;margin-top:12.75pt;height:0pt;width:42pt;z-index:25167257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无</w:t>
            </w:r>
            <w:r>
              <w:rPr>
                <w:rFonts w:hint="eastAsia" w:ascii="宋体" w:hAnsi="宋体"/>
                <w:b/>
                <w:color w:val="000000" w:themeColor="text1"/>
                <w:sz w:val="20"/>
                <w:szCs w:val="20"/>
              </w:rPr>
              <w:t xml:space="preserve">    ，不适用理由：   </w:t>
            </w:r>
            <w:r>
              <w:rPr>
                <w:rFonts w:hint="eastAsia" w:ascii="宋体" w:hAnsi="宋体"/>
                <w:b/>
                <w:color w:val="000000" w:themeColor="text1"/>
                <w:sz w:val="20"/>
                <w:szCs w:val="20"/>
                <w:lang w:val="en-US" w:eastAsia="zh-CN"/>
              </w:rPr>
              <w:t>无</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符合标准要求.</w:t>
            </w:r>
          </w:p>
          <w:p>
            <w:pPr>
              <w:ind w:firstLine="420" w:firstLineChars="200"/>
            </w:pPr>
            <w:r>
              <w:rPr>
                <w:rFonts w:hint="eastAsia"/>
                <w:szCs w:val="21"/>
              </w:rPr>
              <w:t>提供的“环境因素识别评价表”“重要环境因素清单”， 评价考虑了三种时态现在、过去、将来、三种状态、异常、正常、紧急考虑了法律法规，并进行了评价，针对</w:t>
            </w:r>
            <w:r>
              <w:rPr>
                <w:rFonts w:hint="eastAsia" w:ascii="宋体" w:hAnsi="宋体" w:cs="宋体"/>
                <w:kern w:val="0"/>
                <w:szCs w:val="21"/>
              </w:rPr>
              <w:t>服装机械设备及零配件的物业管理</w:t>
            </w:r>
            <w:r>
              <w:rPr>
                <w:rFonts w:hint="eastAsia"/>
                <w:szCs w:val="21"/>
              </w:rPr>
              <w:t>过程，用打分法考虑了法规符合性、发生频次、影响范围等, 通过定性判断法，共识别出重大环境因素</w:t>
            </w:r>
            <w:r>
              <w:rPr>
                <w:rFonts w:hint="eastAsia"/>
                <w:szCs w:val="21"/>
                <w:lang w:val="en-US" w:eastAsia="zh-CN"/>
              </w:rPr>
              <w:t>2</w:t>
            </w:r>
            <w:r>
              <w:rPr>
                <w:rFonts w:hint="eastAsia"/>
                <w:szCs w:val="21"/>
              </w:rPr>
              <w:t>项：固废排放、火灾，评价符合程序要求及公司的实际情况。</w:t>
            </w:r>
          </w:p>
          <w:p>
            <w:pPr>
              <w:spacing w:line="300" w:lineRule="exact"/>
              <w:rPr>
                <w:b/>
                <w:color w:val="000000" w:themeColor="text1"/>
                <w:sz w:val="20"/>
                <w:szCs w:val="20"/>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 xml:space="preserve">7. </w:t>
            </w:r>
            <w:r>
              <w:t>OHSMS</w:t>
            </w:r>
            <w:r>
              <w:rPr>
                <w:rFonts w:hint="eastAsia"/>
              </w:rPr>
              <w:t>职业健康安全危险源</w:t>
            </w:r>
          </w:p>
          <w:p>
            <w:pPr>
              <w:spacing w:line="300" w:lineRule="exact"/>
            </w:pPr>
            <w:r>
              <w:rPr>
                <w:rFonts w:hint="eastAsia"/>
              </w:rPr>
              <w:t>（职业健康安全危险源辨识是否充分、风险评价合理性，以及风险评价动态变更的及时性等）</w:t>
            </w:r>
          </w:p>
          <w:p>
            <w:pPr>
              <w:ind w:firstLine="420" w:firstLineChars="200"/>
              <w:rPr>
                <w:szCs w:val="21"/>
              </w:rPr>
            </w:pPr>
            <w:r>
              <w:rPr>
                <w:rFonts w:hint="eastAsia"/>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通过是非法，共识别出不可接受风险3项，涉及：火灾、触电和意外伤害，评价符合程序要求及公司的实际情况。对危险源的控制措施包括制定管理制度、监督检查、应急预案、培训等。</w:t>
            </w:r>
          </w:p>
          <w:p>
            <w:pPr>
              <w:pStyle w:val="2"/>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获取法律法规100项，■法律法规获取充分，□法律法规获取有遗漏，缺少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pPr>
          </w:p>
          <w:p>
            <w:pPr>
              <w:spacing w:line="240" w:lineRule="exact"/>
              <w:ind w:firstLine="420" w:firstLineChars="20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2"/>
            </w:pPr>
            <w:r>
              <w:rPr>
                <w:rFonts w:hint="eastAsia"/>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spacing w:line="300" w:lineRule="exact"/>
              <w:rPr>
                <w:rFonts w:ascii="宋体" w:hAnsi="宋体"/>
                <w:b/>
                <w:color w:val="000000" w:themeColor="text1"/>
                <w:sz w:val="20"/>
                <w:szCs w:val="20"/>
              </w:rPr>
            </w:pPr>
            <w:r>
              <w:rPr>
                <w:rFonts w:hint="eastAsia"/>
                <w:bCs/>
                <w:szCs w:val="21"/>
              </w:rPr>
              <w:t>该公司员工共</w:t>
            </w:r>
            <w:r>
              <w:rPr>
                <w:rFonts w:hint="eastAsia"/>
                <w:bCs/>
                <w:szCs w:val="21"/>
                <w:lang w:val="en-US" w:eastAsia="zh-CN"/>
              </w:rPr>
              <w:t>25</w:t>
            </w:r>
            <w:r>
              <w:rPr>
                <w:rFonts w:hint="eastAsia"/>
                <w:bCs/>
                <w:szCs w:val="21"/>
              </w:rPr>
              <w:t>人，管理人</w:t>
            </w:r>
            <w:r>
              <w:rPr>
                <w:rFonts w:hint="eastAsia"/>
                <w:bCs/>
                <w:szCs w:val="21"/>
                <w:lang w:val="en-US" w:eastAsia="zh-CN"/>
              </w:rPr>
              <w:t>5</w:t>
            </w:r>
            <w:r>
              <w:rPr>
                <w:rFonts w:hint="eastAsia"/>
                <w:bCs/>
                <w:szCs w:val="21"/>
              </w:rPr>
              <w:t>人。有专业的</w:t>
            </w:r>
            <w:r>
              <w:rPr>
                <w:rFonts w:hint="eastAsia"/>
                <w:bCs/>
              </w:rPr>
              <w:t>电力工程技术咨询</w:t>
            </w:r>
            <w:r>
              <w:rPr>
                <w:rFonts w:hint="eastAsia"/>
                <w:bCs/>
                <w:lang w:val="en-US" w:eastAsia="zh-CN"/>
              </w:rPr>
              <w:t>过程、电力工程设计过程</w:t>
            </w:r>
            <w:r>
              <w:rPr>
                <w:rFonts w:hint="eastAsia"/>
                <w:bCs/>
                <w:szCs w:val="21"/>
              </w:rPr>
              <w:t>人员，能满足</w:t>
            </w:r>
            <w:r>
              <w:rPr>
                <w:rFonts w:hint="eastAsia" w:ascii="宋体" w:hAnsi="宋体" w:cs="宋体"/>
                <w:kern w:val="0"/>
                <w:szCs w:val="21"/>
              </w:rPr>
              <w:t>物业管理</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Style w:val="16"/>
                <w:rFonts w:ascii="Arial" w:hAnsi="Arial" w:cs="Arial"/>
                <w:color w:val="333333"/>
                <w:shd w:val="clear" w:color="auto" w:fill="FFFFFF"/>
              </w:rPr>
            </w:pPr>
            <w:r>
              <w:rPr>
                <w:rStyle w:val="16"/>
                <w:rFonts w:hint="eastAsia" w:ascii="Arial" w:hAnsi="Arial" w:cs="Arial"/>
                <w:color w:val="333333"/>
                <w:shd w:val="clear" w:color="auto" w:fill="FFFFFF"/>
              </w:rPr>
              <w:t>办公设备：电脑、电话、打印机</w:t>
            </w:r>
            <w:r>
              <w:rPr>
                <w:rStyle w:val="16"/>
                <w:rFonts w:hint="eastAsia" w:ascii="Arial" w:hAnsi="Arial" w:cs="Arial"/>
                <w:color w:val="333333"/>
                <w:shd w:val="clear" w:color="auto" w:fill="FFFFFF"/>
                <w:lang w:eastAsia="zh-CN"/>
              </w:rPr>
              <w:t>、</w:t>
            </w:r>
            <w:r>
              <w:rPr>
                <w:rStyle w:val="16"/>
                <w:rFonts w:hint="eastAsia" w:ascii="Arial" w:hAnsi="Arial" w:cs="Arial"/>
                <w:color w:val="333333"/>
                <w:shd w:val="clear" w:color="auto" w:fill="FFFFFF"/>
                <w:lang w:val="en-US" w:eastAsia="zh-CN"/>
              </w:rPr>
              <w:t>CAD电力工程设计软件</w:t>
            </w:r>
            <w:r>
              <w:rPr>
                <w:rStyle w:val="16"/>
                <w:rFonts w:hint="eastAsia" w:ascii="Arial" w:hAnsi="Arial" w:cs="Arial"/>
                <w:color w:val="333333"/>
                <w:shd w:val="clear" w:color="auto" w:fill="FFFFFF"/>
              </w:rPr>
              <w:t>等</w:t>
            </w:r>
          </w:p>
          <w:p>
            <w:pPr>
              <w:pStyle w:val="2"/>
              <w:rPr>
                <w:rStyle w:val="16"/>
                <w:rFonts w:ascii="Arial" w:hAnsi="Arial" w:cs="Arial"/>
                <w:bCs w:val="0"/>
                <w:color w:val="333333"/>
                <w:spacing w:val="0"/>
                <w:shd w:val="clear" w:color="auto" w:fill="FFFFFF"/>
              </w:rPr>
            </w:pPr>
            <w:r>
              <w:rPr>
                <w:rStyle w:val="16"/>
                <w:rFonts w:hint="eastAsia" w:ascii="Arial" w:hAnsi="Arial" w:cs="Arial"/>
                <w:bCs w:val="0"/>
                <w:color w:val="333333"/>
                <w:spacing w:val="0"/>
                <w:shd w:val="clear" w:color="auto" w:fill="FFFFFF"/>
              </w:rPr>
              <w:t>环保设备：垃圾桶、灭火器</w:t>
            </w:r>
          </w:p>
          <w:p>
            <w:pPr>
              <w:pStyle w:val="2"/>
              <w:rPr>
                <w:rStyle w:val="16"/>
                <w:rFonts w:ascii="Arial" w:hAnsi="Arial" w:cs="Arial"/>
                <w:bCs w:val="0"/>
                <w:color w:val="333333"/>
                <w:spacing w:val="0"/>
                <w:shd w:val="clear" w:color="auto" w:fill="FFFFFF"/>
              </w:rPr>
            </w:pPr>
            <w:r>
              <w:rPr>
                <w:rStyle w:val="16"/>
                <w:rFonts w:hint="eastAsia" w:ascii="Arial" w:hAnsi="Arial" w:cs="Arial"/>
                <w:bCs w:val="0"/>
                <w:color w:val="333333"/>
                <w:spacing w:val="0"/>
                <w:shd w:val="clear" w:color="auto" w:fill="FFFFFF"/>
              </w:rPr>
              <w:t>消防设施：消防栓、灭火器、应急灯等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现场观察办公区域环境卫生管理，工作场所布局合理，温湿度适宜，照明良好，满足办公需求。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rPr>
              <w:t>编制有服务检查记录，能不定期对服务进行检查。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配备有消防栓、灭火器等环保设施。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b/>
                <w:bCs/>
              </w:rPr>
            </w:pPr>
            <w:r>
              <w:rPr>
                <w:rFonts w:hint="eastAsia"/>
                <w:b/>
                <w:bCs/>
              </w:rPr>
              <w:t>职业健康安全设施：</w:t>
            </w:r>
          </w:p>
          <w:p>
            <w:pPr>
              <w:spacing w:line="240" w:lineRule="exact"/>
            </w:pPr>
            <w:r>
              <w:rPr>
                <w:rFonts w:hint="eastAsia"/>
              </w:rPr>
              <w:t>配备有灭火器等环保设施。</w:t>
            </w:r>
          </w:p>
          <w:p>
            <w:pPr>
              <w:pStyle w:val="2"/>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bCs/>
              </w:rPr>
            </w:pPr>
            <w:r>
              <w:rPr>
                <w:rFonts w:hint="eastAsia"/>
                <w:b/>
                <w:bCs/>
              </w:rPr>
              <w:t>1. 针对方针的管理职责评审</w:t>
            </w:r>
          </w:p>
          <w:p>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pPr>
              <w:pStyle w:val="2"/>
              <w:rPr>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2"/>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r>
              <w:rPr>
                <w:rFonts w:hint="eastAsia"/>
              </w:rPr>
              <w:t>提供《</w:t>
            </w:r>
            <w:r>
              <w:rPr>
                <w:rFonts w:hint="eastAsia"/>
                <w:lang w:val="en-US" w:eastAsia="zh-CN"/>
              </w:rPr>
              <w:t>特殊</w:t>
            </w:r>
            <w:r>
              <w:rPr>
                <w:rFonts w:hint="eastAsia"/>
              </w:rPr>
              <w:t>过程确认记录表》，确认内容包括：</w:t>
            </w:r>
            <w:r>
              <w:rPr>
                <w:rFonts w:hint="eastAsia"/>
                <w:lang w:val="en-US" w:eastAsia="zh-CN"/>
              </w:rPr>
              <w:t>电力工程设计、电力工程咨询</w:t>
            </w:r>
            <w:r>
              <w:rPr>
                <w:rFonts w:hint="eastAsia"/>
              </w:rPr>
              <w:t xml:space="preserve">方法和程序、设备工具的认可、人员资格的鉴定、记录要求等。评审结论：根据公司实际情况，物业管理实现过程按照公司质量控制管理制度进行，过程所用基础设施均处在完好状态，从业人员经过培训，胜任本职工作，可以提供满足顾客要求、法律法规要求的服务。 </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auto"/>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auto"/>
                <w:szCs w:val="21"/>
                <w:lang w:eastAsia="zh-CN"/>
              </w:rPr>
              <w:t>交付顾客</w:t>
            </w:r>
            <w:r>
              <w:rPr>
                <w:rFonts w:hint="eastAsia" w:ascii="宋体" w:hAnsi="宋体" w:cs="宋体"/>
                <w:color w:val="auto"/>
                <w:szCs w:val="21"/>
              </w:rPr>
              <w:t>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r>
              <w:rPr>
                <w:rFonts w:hint="eastAsia"/>
                <w:b/>
                <w:color w:val="000000" w:themeColor="text1"/>
                <w:sz w:val="20"/>
                <w:szCs w:val="20"/>
              </w:rPr>
              <w:t xml:space="preserve"> </w:t>
            </w:r>
          </w:p>
          <w:p>
            <w:pPr>
              <w:spacing w:line="240" w:lineRule="exact"/>
              <w:rPr>
                <w:b/>
                <w:color w:val="000000" w:themeColor="text1"/>
                <w:sz w:val="20"/>
                <w:szCs w:val="20"/>
              </w:rPr>
            </w:pPr>
            <w:r>
              <w:rPr>
                <w:rFonts w:hint="eastAsia"/>
                <w:b/>
                <w:color w:val="000000" w:themeColor="text1"/>
                <w:sz w:val="20"/>
                <w:szCs w:val="20"/>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6. 不合格品/项的识别、控制;</w:t>
            </w:r>
          </w:p>
          <w:p>
            <w:pPr>
              <w:spacing w:line="240" w:lineRule="exact"/>
            </w:pPr>
          </w:p>
          <w:p>
            <w:pPr>
              <w:spacing w:line="240" w:lineRule="exact"/>
            </w:pPr>
          </w:p>
          <w:p>
            <w:pPr>
              <w:pStyle w:val="2"/>
            </w:pPr>
            <w:r>
              <w:rPr>
                <w:rFonts w:hint="eastAsia" w:ascii="宋体" w:hAnsi="宋体" w:cs="宋体"/>
                <w:color w:val="auto"/>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对重要环境因素（火灾、固体废弃物的排放）进行了识别和控制。目前公司重大环境因素对周边环境影响不大，可得到有效控制。对相关方进行了必要告知。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对不可接受风险（火灾）进行了识别和控制。目前公司不可接受风险对公司及周边环境影响不大，可得到有效控制。对相关方进行了必要告知。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bCs/>
              </w:rPr>
            </w:pPr>
            <w:r>
              <w:rPr>
                <w:rFonts w:hint="eastAsia"/>
                <w:b/>
                <w:bCs/>
              </w:rPr>
              <w:t>11 .对危险化学品物业管理、使用、储存、运输处置，规定的执行力度(必要时); （适用时）</w:t>
            </w:r>
          </w:p>
          <w:p>
            <w:pPr>
              <w:pStyle w:val="2"/>
              <w:rPr>
                <w:b/>
                <w:sz w:val="20"/>
                <w:szCs w:val="20"/>
              </w:rPr>
            </w:pPr>
          </w:p>
          <w:p>
            <w:pPr>
              <w:pStyle w:val="2"/>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5" w:hangingChars="50"/>
            </w:pPr>
            <w:r>
              <w:rPr>
                <w:rFonts w:hint="eastAsia"/>
              </w:rPr>
              <w:t>1. .对质量/环境/职业健康安全目标指标进行定期监测/检查情况</w:t>
            </w:r>
          </w:p>
          <w:p>
            <w:pPr>
              <w:spacing w:line="240" w:lineRule="exact"/>
              <w:ind w:firstLine="105" w:firstLineChars="50"/>
            </w:pPr>
          </w:p>
          <w:p>
            <w:pPr>
              <w:spacing w:line="240" w:lineRule="exact"/>
              <w:ind w:firstLine="105" w:firstLineChars="50"/>
              <w:rPr>
                <w:rFonts w:hint="eastAsia"/>
              </w:rPr>
            </w:pPr>
            <w:bookmarkStart w:id="8" w:name="_GoBack"/>
            <w:r>
              <w:rPr>
                <w:rFonts w:hint="eastAsia"/>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lang w:val="en-US" w:eastAsia="zh-CN"/>
              </w:rPr>
              <w:t>20</w:t>
            </w:r>
            <w:r>
              <w:rPr>
                <w:rFonts w:hint="eastAsia"/>
              </w:rPr>
              <w:t>年</w:t>
            </w:r>
            <w:r>
              <w:rPr>
                <w:rFonts w:hint="eastAsia"/>
                <w:lang w:val="en-US" w:eastAsia="zh-CN"/>
              </w:rPr>
              <w:t>1月</w:t>
            </w:r>
            <w:r>
              <w:rPr>
                <w:rFonts w:hint="eastAsia"/>
              </w:rPr>
              <w:t>-</w:t>
            </w:r>
            <w:r>
              <w:rPr>
                <w:rFonts w:hint="eastAsia"/>
                <w:lang w:val="en-US" w:eastAsia="zh-CN"/>
              </w:rPr>
              <w:t>2020年11</w:t>
            </w:r>
            <w:r>
              <w:rPr>
                <w:rFonts w:hint="eastAsia"/>
              </w:rPr>
              <w:t>月目标的测量，总体已达到或超过了规定的目标值。</w:t>
            </w:r>
          </w:p>
          <w:bookmarkEnd w:id="8"/>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5" w:hangingChars="50"/>
            </w:pPr>
            <w:r>
              <w:rPr>
                <w:rFonts w:hint="eastAsia"/>
              </w:rPr>
              <w:t>2.顾客满意</w:t>
            </w:r>
          </w:p>
          <w:p>
            <w:pPr>
              <w:spacing w:line="240" w:lineRule="exact"/>
              <w:ind w:left="100" w:hanging="105" w:hangingChars="50"/>
            </w:pPr>
          </w:p>
          <w:p>
            <w:pPr>
              <w:spacing w:line="240" w:lineRule="exact"/>
              <w:ind w:left="105" w:hanging="105" w:hangingChars="50"/>
              <w:rPr>
                <w:rFonts w:hint="eastAsia"/>
              </w:rPr>
            </w:pPr>
            <w:r>
              <w:rPr>
                <w:rFonts w:hint="eastAsia"/>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满意度评价9</w:t>
            </w:r>
            <w:r>
              <w:rPr>
                <w:rFonts w:hint="eastAsia"/>
                <w:lang w:val="en-US" w:eastAsia="zh-CN"/>
              </w:rPr>
              <w:t>8</w:t>
            </w:r>
            <w:r>
              <w:rPr>
                <w:rFonts w:hint="eastAsia"/>
              </w:rPr>
              <w:t>分，总体实现了顾客满意度的质量目标要求</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pacing w:val="-8"/>
                <w:sz w:val="20"/>
                <w:szCs w:val="20"/>
              </w:rPr>
            </w:pP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ascii="宋体" w:hAnsi="宋体"/>
                <w:color w:val="auto"/>
                <w:szCs w:val="21"/>
              </w:rPr>
              <w:t>建立有《内部审核控制程序》，规定了内审频次一年一次，内审时间：</w:t>
            </w:r>
            <w:r>
              <w:rPr>
                <w:rFonts w:hint="eastAsia"/>
              </w:rPr>
              <w:t>2020年10月19-20日</w:t>
            </w:r>
            <w:r>
              <w:rPr>
                <w:rFonts w:hint="eastAsia" w:ascii="宋体" w:hAnsi="宋体"/>
                <w:color w:val="auto"/>
                <w:szCs w:val="21"/>
              </w:rPr>
              <w:t>，拟定了审核实施表，明确了内审范围，内审人员经培训合格上岗，能力满足要求，未出现审核本部门情况，内审</w:t>
            </w:r>
            <w:r>
              <w:rPr>
                <w:rFonts w:hint="eastAsia" w:ascii="宋体" w:hAnsi="宋体"/>
                <w:color w:val="auto"/>
                <w:szCs w:val="21"/>
                <w:highlight w:val="none"/>
              </w:rPr>
              <w:t>不符合项</w:t>
            </w:r>
            <w:r>
              <w:rPr>
                <w:rFonts w:hint="eastAsia" w:ascii="宋体" w:hAnsi="宋体"/>
                <w:color w:val="auto"/>
                <w:szCs w:val="21"/>
                <w:highlight w:val="none"/>
                <w:lang w:val="en-US" w:eastAsia="zh-CN"/>
              </w:rPr>
              <w:t>1</w:t>
            </w:r>
            <w:r>
              <w:rPr>
                <w:rFonts w:hint="eastAsia" w:ascii="宋体" w:hAnsi="宋体"/>
                <w:color w:val="auto"/>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ascii="宋体" w:hAnsi="宋体" w:cs="宋体"/>
                <w:color w:val="auto"/>
                <w:szCs w:val="21"/>
              </w:rPr>
              <w:t>管理评审频次为一年一次、本次管理评审于</w:t>
            </w:r>
            <w:r>
              <w:rPr>
                <w:rFonts w:hint="eastAsia"/>
              </w:rPr>
              <w:t>2020年10月30日</w:t>
            </w:r>
            <w:r>
              <w:rPr>
                <w:rFonts w:hint="eastAsia" w:ascii="宋体" w:hAnsi="宋体" w:cs="宋体"/>
                <w:color w:val="auto"/>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ind w:firstLine="420" w:firstLineChars="200"/>
              <w:rPr>
                <w:rFonts w:hint="eastAsia"/>
                <w:color w:val="auto"/>
              </w:rPr>
            </w:pPr>
            <w:r>
              <w:rPr>
                <w:rFonts w:hint="eastAsia"/>
                <w:color w:val="auto"/>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4"/>
              </w:numPr>
              <w:spacing w:line="240" w:lineRule="exact"/>
              <w:rPr>
                <w:rFonts w:hint="eastAsia"/>
              </w:rPr>
            </w:pPr>
            <w:r>
              <w:rPr>
                <w:rFonts w:hint="eastAsia"/>
              </w:rPr>
              <w:t>上次不符合的整改情况（再认证填写）</w:t>
            </w:r>
          </w:p>
          <w:p>
            <w:pPr>
              <w:pStyle w:val="2"/>
              <w:numPr>
                <w:ilvl w:val="0"/>
                <w:numId w:val="0"/>
              </w:numPr>
              <w:rPr>
                <w:rFonts w:hint="eastAsia" w:eastAsia="宋体"/>
                <w:lang w:val="en-US" w:eastAsia="zh-CN"/>
              </w:rPr>
            </w:pPr>
            <w:r>
              <w:rPr>
                <w:rFonts w:hint="eastAsia"/>
                <w:lang w:val="en-US" w:eastAsia="zh-CN"/>
              </w:rPr>
              <w:t>无</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8"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严重不符合项，一般不符合</w:t>
      </w:r>
      <w:r>
        <w:rPr>
          <w:rFonts w:hint="eastAsia"/>
          <w:b/>
          <w:color w:val="000000" w:themeColor="text1"/>
          <w:lang w:val="en-US" w:eastAsia="zh-CN"/>
        </w:rPr>
        <w:t>3</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80" w:type="dxa"/>
          </w:tcPr>
          <w:p>
            <w:pPr>
              <w:spacing w:line="280" w:lineRule="exact"/>
            </w:pPr>
            <w:r>
              <w:rPr>
                <w:rFonts w:hint="eastAsia"/>
              </w:rPr>
              <w:t>1. ■QMS     ■EMS ■OHSMS的适宜性、充分性、运行有效性，自我完善机制等。管理体系满足适用要求和实现预期结果的能力。</w:t>
            </w:r>
          </w:p>
          <w:p>
            <w:pPr>
              <w:spacing w:line="280" w:lineRule="exact"/>
              <w:ind w:left="210" w:hanging="210" w:hangingChars="100"/>
              <w:rPr>
                <w:rFonts w:hint="eastAsia"/>
              </w:rPr>
            </w:pPr>
            <w:r>
              <w:rPr>
                <w:rFonts w:hint="eastAsia"/>
              </w:rPr>
              <w:t>（描述组织实施“过程控制”，满足标准要求和目标，向顾客提供稳定、合格产品，满足适用的质量/环境/职业健康安全法规要求，防止污染、重大事故和持续改进的情况以及对周边环境产生的影响，措施的有效性）</w:t>
            </w:r>
          </w:p>
          <w:p>
            <w:pPr>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rPr>
              <w:t>北京京研电力工程设计有限公司</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kern w:val="2"/>
                <w:sz w:val="21"/>
                <w:szCs w:val="21"/>
                <w:lang w:val="en-GB"/>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pStyle w:val="2"/>
            </w:pPr>
          </w:p>
          <w:p>
            <w:pPr>
              <w:spacing w:line="240" w:lineRule="exact"/>
            </w:pPr>
            <w:r>
              <w:rPr>
                <w:rFonts w:hint="eastAsia"/>
              </w:rPr>
              <w:t>■QMS  ■EMS  ■OHSMS持续的符合性及运行的有效性，以及与认证范围的持续相关性和适宜性及自我完善机制等。</w:t>
            </w:r>
          </w:p>
          <w:p>
            <w:pPr>
              <w:spacing w:line="240" w:lineRule="exact"/>
            </w:pPr>
          </w:p>
          <w:p>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w:t>
            </w:r>
            <w:r>
              <w:rPr>
                <w:rFonts w:hint="eastAsia"/>
                <w:lang w:val="en-US" w:eastAsia="zh-CN"/>
              </w:rPr>
              <w:t>保持</w:t>
            </w:r>
            <w:r>
              <w:rPr>
                <w:rFonts w:hint="eastAsia"/>
              </w:rPr>
              <w:t>认证注册。</w:t>
            </w:r>
          </w:p>
          <w:p>
            <w:pPr>
              <w:spacing w:line="240" w:lineRule="exact"/>
            </w:pPr>
          </w:p>
          <w:p>
            <w:pPr>
              <w:pStyle w:val="2"/>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ascii="宋体" w:hAnsi="宋体" w:cs="宋体"/>
                <w:b/>
                <w:color w:val="000000" w:themeColor="text1"/>
                <w:spacing w:val="-10"/>
                <w:szCs w:val="21"/>
              </w:rPr>
              <w:t>█</w:t>
            </w:r>
            <w:r>
              <w:rPr>
                <w:rFonts w:hint="eastAsia"/>
                <w:b/>
                <w:color w:val="000000" w:themeColor="text1"/>
              </w:rPr>
              <w:t>审核范围适宜，与申请范围一致</w:t>
            </w:r>
          </w:p>
          <w:p>
            <w:pPr>
              <w:rPr>
                <w:rFonts w:hint="eastAsia"/>
                <w:color w:val="000000"/>
                <w:szCs w:val="21"/>
              </w:rPr>
            </w:pPr>
            <w:r>
              <w:rPr>
                <w:rFonts w:hint="eastAsia" w:ascii="宋体" w:hAnsi="宋体"/>
                <w:szCs w:val="21"/>
              </w:rPr>
              <w:t>Q：电力工程技术咨询；资质范围内的电力工程（变电工程、送电工程）设计</w:t>
            </w:r>
          </w:p>
          <w:p>
            <w:pPr>
              <w:rPr>
                <w:rFonts w:hint="eastAsia" w:ascii="宋体" w:hAnsi="宋体"/>
                <w:szCs w:val="21"/>
              </w:rPr>
            </w:pPr>
            <w:r>
              <w:rPr>
                <w:rFonts w:hint="eastAsia" w:ascii="宋体" w:hAnsi="宋体"/>
                <w:szCs w:val="21"/>
              </w:rPr>
              <w:t>E：电力工程技术咨询；资质范围内的电力工程（变电工程、送电工程）设计及其场所所涉及的环境管理活动</w:t>
            </w:r>
          </w:p>
          <w:p>
            <w:pPr>
              <w:rPr>
                <w:rFonts w:hint="eastAsia" w:ascii="宋体" w:hAnsi="宋体"/>
                <w:szCs w:val="21"/>
              </w:rPr>
            </w:pPr>
            <w:r>
              <w:rPr>
                <w:rFonts w:hint="eastAsia" w:ascii="宋体" w:hAnsi="宋体"/>
                <w:szCs w:val="21"/>
              </w:rPr>
              <w:t xml:space="preserve">O：电力工程技术咨询；资质范围内的电力工程（变电工程、送电工程）设计及其场所所涉及的职业健康安全管理活动 </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b/>
                <w:color w:val="000000" w:themeColor="text1"/>
                <w:u w:val="single"/>
              </w:rPr>
              <w:t xml:space="preserve">                                                                    </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ascii="宋体" w:hAnsi="宋体" w:eastAsia="宋体" w:cs="宋体"/>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4"/>
              </w:rPr>
              <w:sym w:font="Wingdings" w:char="00A8"/>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宋体" w:hAnsi="宋体" w:cs="宋体"/>
                <w:b/>
                <w:color w:val="000000" w:themeColor="text1"/>
                <w:szCs w:val="21"/>
              </w:rPr>
              <w:sym w:font="Wingdings" w:char="00A8"/>
            </w:r>
            <w:r>
              <w:rPr>
                <w:rFonts w:hint="eastAsia"/>
                <w:b/>
                <w:color w:val="000000" w:themeColor="text1"/>
                <w:szCs w:val="21"/>
              </w:rPr>
              <w:t xml:space="preserve">QMS  </w:t>
            </w:r>
            <w:r>
              <w:rPr>
                <w:rFonts w:hint="eastAsia"/>
                <w:b/>
                <w:color w:val="000000" w:themeColor="text1"/>
                <w:spacing w:val="-10"/>
                <w:szCs w:val="21"/>
              </w:rPr>
              <w:t xml:space="preserve">   </w:t>
            </w:r>
            <w:r>
              <w:rPr>
                <w:rFonts w:hint="eastAsia" w:ascii="宋体" w:hAnsi="宋体" w:cs="宋体"/>
                <w:b/>
                <w:color w:val="000000" w:themeColor="text1"/>
                <w:spacing w:val="-10"/>
                <w:szCs w:val="21"/>
              </w:rPr>
              <w:sym w:font="Wingdings" w:char="00A8"/>
            </w:r>
            <w:r>
              <w:rPr>
                <w:rFonts w:hint="eastAsia"/>
                <w:b/>
                <w:color w:val="000000" w:themeColor="text1"/>
                <w:szCs w:val="21"/>
              </w:rPr>
              <w:t xml:space="preserve">EMS   </w:t>
            </w:r>
            <w:r>
              <w:rPr>
                <w:rFonts w:hint="eastAsia" w:ascii="宋体" w:hAnsi="宋体" w:cs="宋体"/>
                <w:b/>
                <w:color w:val="000000" w:themeColor="text1"/>
                <w:spacing w:val="-10"/>
                <w:szCs w:val="21"/>
              </w:rPr>
              <w:sym w:font="Wingdings" w:char="00A8"/>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r>
        <w:drawing>
          <wp:inline distT="0" distB="0" distL="114300" distR="114300">
            <wp:extent cx="904875" cy="3962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    20</w:t>
      </w:r>
      <w:r>
        <w:rPr>
          <w:rFonts w:hint="eastAsia"/>
          <w:b/>
          <w:color w:val="000000" w:themeColor="text1"/>
          <w:lang w:val="en-US" w:eastAsia="zh-CN"/>
        </w:rPr>
        <w:t>20</w:t>
      </w:r>
      <w:r>
        <w:rPr>
          <w:rFonts w:hint="eastAsia"/>
          <w:b/>
          <w:color w:val="000000" w:themeColor="text1"/>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12</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13</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ascii="宋体" w:hAnsi="宋体"/>
          <w:b/>
          <w:bCs/>
          <w:color w:val="000000" w:themeColor="text1"/>
          <w:spacing w:val="-10"/>
          <w:szCs w:val="21"/>
        </w:rPr>
        <w:sym w:font="Wingdings" w:char="00FE"/>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bCs/>
          <w:color w:val="000000" w:themeColor="text1"/>
          <w:szCs w:val="21"/>
        </w:rPr>
        <w:sym w:font="Wingdings" w:char="00FE"/>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zCs w:val="21"/>
        </w:rPr>
        <w:sym w:font="Wingdings" w:char="00FE"/>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bCs/>
          <w:color w:val="000000" w:themeColor="text1"/>
          <w:szCs w:val="21"/>
        </w:rPr>
        <w:sym w:font="Wingdings" w:char="00FE"/>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zCs w:val="21"/>
        </w:rPr>
        <w:sym w:font="Wingdings" w:char="00FE"/>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rFonts w:hint="eastAsia"/>
          <w:b/>
          <w:color w:val="000000" w:themeColor="text1"/>
          <w:szCs w:val="21"/>
        </w:rPr>
      </w:pPr>
      <w:r>
        <w:rPr>
          <w:rFonts w:hint="eastAsia" w:ascii="宋体" w:hAnsi="宋体" w:cs="宋体"/>
          <w:b/>
          <w:color w:val="000000" w:themeColor="text1"/>
          <w:spacing w:val="-10"/>
          <w:szCs w:val="21"/>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ind w:firstLine="843" w:firstLineChars="400"/>
        <w:rPr>
          <w:b/>
          <w:color w:val="000000" w:themeColor="text1"/>
          <w:szCs w:val="21"/>
        </w:rPr>
      </w:pPr>
      <w:r>
        <w:rPr>
          <w:rFonts w:hint="eastAsia"/>
          <w:b/>
          <w:color w:val="000000" w:themeColor="text1"/>
          <w:szCs w:val="21"/>
        </w:rPr>
        <w:t xml:space="preserve">组长签字:   </w:t>
      </w:r>
      <w:r>
        <w:drawing>
          <wp:inline distT="0" distB="0" distL="114300" distR="114300">
            <wp:extent cx="904875" cy="396240"/>
            <wp:effectExtent l="0" t="0" r="952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r>
        <w:rPr>
          <w:rFonts w:hint="eastAsia"/>
          <w:b/>
          <w:color w:val="000000" w:themeColor="text1"/>
          <w:szCs w:val="21"/>
        </w:rPr>
        <w:t xml:space="preserve">                日期:   </w:t>
      </w:r>
      <w:r>
        <w:rPr>
          <w:rFonts w:hint="eastAsia"/>
          <w:b/>
          <w:color w:val="000000" w:themeColor="text1"/>
          <w:szCs w:val="21"/>
          <w:lang w:val="en-US" w:eastAsia="zh-CN"/>
        </w:rPr>
        <w:t>2020</w:t>
      </w:r>
      <w:r>
        <w:rPr>
          <w:rFonts w:hint="eastAsia"/>
          <w:b/>
          <w:color w:val="000000" w:themeColor="text1"/>
          <w:szCs w:val="21"/>
        </w:rPr>
        <w:t xml:space="preserve">  年 </w:t>
      </w:r>
      <w:r>
        <w:rPr>
          <w:rFonts w:hint="eastAsia"/>
          <w:b/>
          <w:color w:val="000000" w:themeColor="text1"/>
          <w:szCs w:val="21"/>
          <w:lang w:val="en-US" w:eastAsia="zh-CN"/>
        </w:rPr>
        <w:t>12</w:t>
      </w:r>
      <w:r>
        <w:rPr>
          <w:rFonts w:hint="eastAsia"/>
          <w:b/>
          <w:color w:val="000000" w:themeColor="text1"/>
          <w:szCs w:val="21"/>
        </w:rPr>
        <w:t xml:space="preserve"> 月</w:t>
      </w:r>
      <w:r>
        <w:rPr>
          <w:rFonts w:hint="eastAsia"/>
          <w:b/>
          <w:color w:val="000000" w:themeColor="text1"/>
          <w:szCs w:val="21"/>
          <w:lang w:val="en-US" w:eastAsia="zh-CN"/>
        </w:rPr>
        <w:t>13</w:t>
      </w:r>
      <w:r>
        <w:rPr>
          <w:rFonts w:hint="eastAsia"/>
          <w:b/>
          <w:color w:val="000000" w:themeColor="text1"/>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0000000000000000000"/>
    <w:charset w:val="86"/>
    <w:family w:val="auto"/>
    <w:pitch w:val="default"/>
    <w:sig w:usb0="00000000" w:usb1="00000000" w:usb2="00000010" w:usb3="00000000" w:csb0="0004009F" w:csb1="00000000"/>
  </w:font>
  <w:font w:name="楷体_GB2312">
    <w:altName w:val="楷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9D03EF"/>
    <w:multiLevelType w:val="singleLevel"/>
    <w:tmpl w:val="849D03EF"/>
    <w:lvl w:ilvl="0" w:tentative="0">
      <w:start w:val="5"/>
      <w:numFmt w:val="decimal"/>
      <w:suff w:val="space"/>
      <w:lvlText w:val="%1."/>
      <w:lvlJc w:val="left"/>
    </w:lvl>
  </w:abstractNum>
  <w:abstractNum w:abstractNumId="1">
    <w:nsid w:val="406EA223"/>
    <w:multiLevelType w:val="singleLevel"/>
    <w:tmpl w:val="406EA223"/>
    <w:lvl w:ilvl="0" w:tentative="0">
      <w:start w:val="2"/>
      <w:numFmt w:val="decimal"/>
      <w:suff w:val="nothing"/>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247CC"/>
    <w:rsid w:val="000443F0"/>
    <w:rsid w:val="00075C70"/>
    <w:rsid w:val="0008517E"/>
    <w:rsid w:val="000F2F8F"/>
    <w:rsid w:val="00197C64"/>
    <w:rsid w:val="001C19E2"/>
    <w:rsid w:val="001D5696"/>
    <w:rsid w:val="00250BBA"/>
    <w:rsid w:val="00266840"/>
    <w:rsid w:val="002B120A"/>
    <w:rsid w:val="002B1290"/>
    <w:rsid w:val="002C24DB"/>
    <w:rsid w:val="002D1483"/>
    <w:rsid w:val="002F549E"/>
    <w:rsid w:val="00304003"/>
    <w:rsid w:val="00341103"/>
    <w:rsid w:val="00373391"/>
    <w:rsid w:val="00376915"/>
    <w:rsid w:val="003D3F5A"/>
    <w:rsid w:val="003E3D4F"/>
    <w:rsid w:val="003F74C1"/>
    <w:rsid w:val="004100EA"/>
    <w:rsid w:val="00464786"/>
    <w:rsid w:val="00484B0B"/>
    <w:rsid w:val="004B0C57"/>
    <w:rsid w:val="004C1602"/>
    <w:rsid w:val="004D3E71"/>
    <w:rsid w:val="005164BD"/>
    <w:rsid w:val="00584F23"/>
    <w:rsid w:val="00592421"/>
    <w:rsid w:val="005B46F0"/>
    <w:rsid w:val="005B675E"/>
    <w:rsid w:val="005E1CBB"/>
    <w:rsid w:val="00603285"/>
    <w:rsid w:val="00610FA8"/>
    <w:rsid w:val="006306D9"/>
    <w:rsid w:val="00632A83"/>
    <w:rsid w:val="006360D1"/>
    <w:rsid w:val="0063633F"/>
    <w:rsid w:val="00664382"/>
    <w:rsid w:val="006818B0"/>
    <w:rsid w:val="006C6F24"/>
    <w:rsid w:val="00712F52"/>
    <w:rsid w:val="00745B30"/>
    <w:rsid w:val="00770469"/>
    <w:rsid w:val="00775D3A"/>
    <w:rsid w:val="00784CC6"/>
    <w:rsid w:val="007C4DD7"/>
    <w:rsid w:val="008030AC"/>
    <w:rsid w:val="0084337B"/>
    <w:rsid w:val="00845D78"/>
    <w:rsid w:val="00850E86"/>
    <w:rsid w:val="00853D8C"/>
    <w:rsid w:val="00857EF7"/>
    <w:rsid w:val="008648E8"/>
    <w:rsid w:val="00877EB8"/>
    <w:rsid w:val="008A4F66"/>
    <w:rsid w:val="008A6929"/>
    <w:rsid w:val="008B07CC"/>
    <w:rsid w:val="009203AC"/>
    <w:rsid w:val="0092740B"/>
    <w:rsid w:val="00932B07"/>
    <w:rsid w:val="00986C4E"/>
    <w:rsid w:val="009958FB"/>
    <w:rsid w:val="009A7BA8"/>
    <w:rsid w:val="009E496A"/>
    <w:rsid w:val="009E741A"/>
    <w:rsid w:val="00A02276"/>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55D2"/>
    <w:rsid w:val="00E32B36"/>
    <w:rsid w:val="00E9214A"/>
    <w:rsid w:val="00E95D39"/>
    <w:rsid w:val="00EC2388"/>
    <w:rsid w:val="00EF1481"/>
    <w:rsid w:val="00F326DC"/>
    <w:rsid w:val="00F64301"/>
    <w:rsid w:val="00F86288"/>
    <w:rsid w:val="00FA5C98"/>
    <w:rsid w:val="00FA70D9"/>
    <w:rsid w:val="00FD38F7"/>
    <w:rsid w:val="00FF14F7"/>
    <w:rsid w:val="00FF6078"/>
    <w:rsid w:val="02775545"/>
    <w:rsid w:val="09CD4F64"/>
    <w:rsid w:val="11842399"/>
    <w:rsid w:val="14E11A4F"/>
    <w:rsid w:val="1C440198"/>
    <w:rsid w:val="1DD32206"/>
    <w:rsid w:val="21611269"/>
    <w:rsid w:val="21A15F24"/>
    <w:rsid w:val="230C0A11"/>
    <w:rsid w:val="23626857"/>
    <w:rsid w:val="296D7032"/>
    <w:rsid w:val="30412F8C"/>
    <w:rsid w:val="35552477"/>
    <w:rsid w:val="3C6210A8"/>
    <w:rsid w:val="4B4A3A22"/>
    <w:rsid w:val="4EBF5616"/>
    <w:rsid w:val="589D1FEA"/>
    <w:rsid w:val="5CDD1C2D"/>
    <w:rsid w:val="78FD1DA6"/>
    <w:rsid w:val="7A3A03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字符"/>
    <w:basedOn w:val="9"/>
    <w:link w:val="5"/>
    <w:qFormat/>
    <w:uiPriority w:val="99"/>
    <w:rPr>
      <w:rFonts w:ascii="Times New Roman" w:hAnsi="Times New Roman" w:eastAsia="宋体" w:cs="Times New Roman"/>
      <w:sz w:val="18"/>
      <w:szCs w:val="18"/>
    </w:rPr>
  </w:style>
  <w:style w:type="character" w:customStyle="1" w:styleId="13">
    <w:name w:val="页脚 字符"/>
    <w:basedOn w:val="9"/>
    <w:link w:val="4"/>
    <w:qFormat/>
    <w:uiPriority w:val="99"/>
    <w:rPr>
      <w:rFonts w:ascii="Times New Roman" w:hAnsi="Times New Roman" w:eastAsia="宋体" w:cs="Times New Roman"/>
      <w:sz w:val="18"/>
      <w:szCs w:val="18"/>
    </w:rPr>
  </w:style>
  <w:style w:type="character" w:customStyle="1" w:styleId="14">
    <w:name w:val="批注框文本 字符"/>
    <w:basedOn w:val="9"/>
    <w:link w:val="3"/>
    <w:semiHidden/>
    <w:qFormat/>
    <w:uiPriority w:val="99"/>
    <w:rPr>
      <w:rFonts w:ascii="Times New Roman" w:hAnsi="Times New Roman" w:eastAsia="宋体" w:cs="Times New Roman"/>
      <w:sz w:val="18"/>
      <w:szCs w:val="18"/>
    </w:rPr>
  </w:style>
  <w:style w:type="paragraph" w:customStyle="1" w:styleId="15">
    <w:name w:val="列出段落1"/>
    <w:basedOn w:val="1"/>
    <w:qFormat/>
    <w:uiPriority w:val="34"/>
    <w:pPr>
      <w:ind w:firstLine="420" w:firstLineChars="200"/>
    </w:pPr>
  </w:style>
  <w:style w:type="character" w:customStyle="1" w:styleId="16">
    <w:name w:val="info-content-text"/>
    <w:basedOn w:val="9"/>
    <w:qFormat/>
    <w:uiPriority w:val="0"/>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EBD318-F024-4D0C-A674-70FC1F76637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1355</Words>
  <Characters>7727</Characters>
  <Lines>64</Lines>
  <Paragraphs>18</Paragraphs>
  <TotalTime>3</TotalTime>
  <ScaleCrop>false</ScaleCrop>
  <LinksUpToDate>false</LinksUpToDate>
  <CharactersWithSpaces>9064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2019-05-25T02:01:00Z</cp:lastPrinted>
  <dcterms:modified xsi:type="dcterms:W3CDTF">2020-12-14T08:42:57Z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