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cs="宋体"/>
                <w:szCs w:val="21"/>
              </w:rPr>
            </w:pPr>
            <w:r>
              <w:rPr>
                <w:rFonts w:hint="eastAsia" w:ascii="宋体" w:hAnsi="宋体" w:cs="宋体"/>
                <w:szCs w:val="21"/>
              </w:rPr>
              <w:t>过程与活动、</w:t>
            </w:r>
          </w:p>
          <w:p>
            <w:pPr>
              <w:jc w:val="center"/>
              <w:rPr>
                <w:rFonts w:ascii="宋体" w:hAnsi="宋体" w:cs="宋体"/>
                <w:szCs w:val="21"/>
              </w:rPr>
            </w:pPr>
            <w:r>
              <w:rPr>
                <w:rFonts w:hint="eastAsia" w:ascii="宋体" w:hAnsi="宋体" w:cs="宋体"/>
                <w:szCs w:val="21"/>
              </w:rPr>
              <w:t>抽样计划</w:t>
            </w:r>
          </w:p>
        </w:tc>
        <w:tc>
          <w:tcPr>
            <w:tcW w:w="960" w:type="dxa"/>
            <w:vMerge w:val="restart"/>
            <w:vAlign w:val="center"/>
          </w:tcPr>
          <w:p>
            <w:pPr>
              <w:rPr>
                <w:rFonts w:ascii="宋体" w:hAnsi="宋体" w:cs="宋体"/>
                <w:szCs w:val="21"/>
              </w:rPr>
            </w:pPr>
            <w:r>
              <w:rPr>
                <w:rFonts w:hint="eastAsia" w:ascii="宋体" w:hAnsi="宋体" w:cs="宋体"/>
                <w:szCs w:val="21"/>
              </w:rPr>
              <w:t>涉及</w:t>
            </w:r>
          </w:p>
          <w:p>
            <w:pPr>
              <w:rPr>
                <w:rFonts w:ascii="宋体" w:hAnsi="宋体" w:cs="宋体"/>
                <w:szCs w:val="21"/>
              </w:rPr>
            </w:pPr>
            <w:r>
              <w:rPr>
                <w:rFonts w:hint="eastAsia" w:ascii="宋体" w:hAnsi="宋体" w:cs="宋体"/>
                <w:szCs w:val="21"/>
              </w:rPr>
              <w:t>条款</w:t>
            </w:r>
          </w:p>
        </w:tc>
        <w:tc>
          <w:tcPr>
            <w:tcW w:w="10943" w:type="dxa"/>
            <w:vAlign w:val="center"/>
          </w:tcPr>
          <w:p>
            <w:pPr>
              <w:rPr>
                <w:rFonts w:ascii="宋体" w:hAnsi="宋体" w:cs="宋体"/>
                <w:szCs w:val="21"/>
              </w:rPr>
            </w:pPr>
            <w:r>
              <w:rPr>
                <w:rFonts w:hint="eastAsia" w:ascii="宋体" w:hAnsi="宋体" w:cs="宋体"/>
                <w:szCs w:val="21"/>
              </w:rPr>
              <w:t>受审核部门：综合部 （含财务）          主管领导：谢景海   陪同人员：刘素伊</w:t>
            </w:r>
          </w:p>
        </w:tc>
        <w:tc>
          <w:tcPr>
            <w:tcW w:w="646" w:type="dxa"/>
            <w:vMerge w:val="restart"/>
            <w:vAlign w:val="center"/>
          </w:tcPr>
          <w:p>
            <w:pPr>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spacing w:before="120"/>
              <w:rPr>
                <w:rFonts w:ascii="宋体" w:hAnsi="宋体" w:cs="宋体"/>
                <w:szCs w:val="21"/>
              </w:rPr>
            </w:pPr>
            <w:r>
              <w:rPr>
                <w:rFonts w:hint="eastAsia" w:ascii="宋体" w:hAnsi="宋体" w:cs="宋体"/>
                <w:szCs w:val="21"/>
              </w:rPr>
              <w:t>审核员：李雅静           审核时间：2020年12月13日</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spacing w:line="360" w:lineRule="auto"/>
            </w:pPr>
            <w:r>
              <w:rPr>
                <w:rFonts w:hint="eastAsia"/>
              </w:rPr>
              <w:t>Q:5.3/6.1/6.2/7.1.2/7.2/7.3/7.4/7.5/9.1.3/9.2/10.2</w:t>
            </w:r>
          </w:p>
          <w:p>
            <w:pPr>
              <w:spacing w:line="360" w:lineRule="auto"/>
            </w:pPr>
            <w:r>
              <w:rPr>
                <w:rFonts w:hint="eastAsia"/>
              </w:rPr>
              <w:t>E:5.3/6.1.2/6.1.2/6.1.3/6.2/7.2/7.3/7.4/7.5/8.1/8.2/9.2/10.1/10.2/9.1.2</w:t>
            </w:r>
          </w:p>
          <w:p>
            <w:pPr>
              <w:spacing w:line="360" w:lineRule="auto"/>
            </w:pPr>
            <w:r>
              <w:rPr>
                <w:rFonts w:hint="eastAsia"/>
              </w:rPr>
              <w:t>S:5.3/6.1.2/6.1.2/6.1.3/6.2/7.2/7.3/7.4/7.5/8.1/8.6/9.2/10.1/10.2/9.1.2</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60" w:type="dxa"/>
          </w:tcPr>
          <w:p>
            <w:pPr>
              <w:spacing w:line="280" w:lineRule="exact"/>
              <w:rPr>
                <w:rFonts w:ascii="宋体" w:cs="宋体"/>
                <w:szCs w:val="21"/>
              </w:rPr>
            </w:pPr>
            <w:r>
              <w:rPr>
                <w:rFonts w:ascii="宋体" w:cs="宋体"/>
                <w:szCs w:val="21"/>
              </w:rPr>
              <w:t>Q/E/S5.3</w:t>
            </w:r>
          </w:p>
          <w:p>
            <w:pPr>
              <w:spacing w:line="280" w:lineRule="exact"/>
              <w:rPr>
                <w:rFonts w:ascii="宋体" w:hAnsi="宋体" w:cs="宋体"/>
                <w:szCs w:val="21"/>
              </w:rPr>
            </w:pPr>
          </w:p>
        </w:tc>
        <w:tc>
          <w:tcPr>
            <w:tcW w:w="10943" w:type="dxa"/>
            <w:vAlign w:val="center"/>
          </w:tcPr>
          <w:p>
            <w:pPr>
              <w:spacing w:line="360" w:lineRule="auto"/>
              <w:ind w:firstLine="420" w:firstLineChars="200"/>
            </w:pPr>
            <w:r>
              <w:rPr>
                <w:rFonts w:hint="eastAsia" w:ascii="宋体" w:hAnsi="宋体" w:cs="宋体"/>
                <w:szCs w:val="21"/>
              </w:rPr>
              <w:t>公司手册文件和管理文件中确定了公司机构并规定了各岗位人员职责、权限和相互关系，并在公司内对各级员工进行了必要的传达。</w:t>
            </w:r>
            <w:r>
              <w:rPr>
                <w:rFonts w:hint="eastAsia"/>
              </w:rPr>
              <w:t>询问主要职责：贯彻落实体系标准，作好环境、职业安全健康管理体系的具体策划和组织管理工作；负责环境和职业健康安全管理体系的内部审核；组织检查环境、职业安全健康管理体系过程的运行情况。</w:t>
            </w:r>
          </w:p>
          <w:p>
            <w:pPr>
              <w:spacing w:line="360" w:lineRule="auto"/>
              <w:ind w:firstLine="420" w:firstLineChars="200"/>
            </w:pPr>
            <w:r>
              <w:rPr>
                <w:rFonts w:hint="eastAsia"/>
              </w:rPr>
              <w:t>主持综合部经理工作；</w:t>
            </w:r>
          </w:p>
          <w:p>
            <w:pPr>
              <w:spacing w:line="360" w:lineRule="auto"/>
              <w:ind w:firstLine="420" w:firstLineChars="200"/>
            </w:pPr>
            <w:r>
              <w:rPr>
                <w:rFonts w:hint="eastAsia"/>
              </w:rPr>
              <w:t>协助管理者代表组建公司的 质量、环境、职业健康安全管理体系，并协助维持体系的运行和持续改进；</w:t>
            </w:r>
          </w:p>
          <w:p>
            <w:pPr>
              <w:spacing w:line="360" w:lineRule="auto"/>
              <w:ind w:firstLine="420" w:firstLineChars="200"/>
            </w:pPr>
            <w:r>
              <w:rPr>
                <w:rFonts w:hint="eastAsia"/>
              </w:rPr>
              <w:t>负责《管理手册》、《程序文件》等质量管理体系文件的标识、编号、发放、回收、处置等控制管理</w:t>
            </w:r>
          </w:p>
          <w:p>
            <w:pPr>
              <w:spacing w:line="360" w:lineRule="auto"/>
              <w:ind w:firstLine="420" w:firstLineChars="200"/>
            </w:pPr>
            <w:r>
              <w:rPr>
                <w:rFonts w:hint="eastAsia"/>
              </w:rPr>
              <w:t>组织负责公司内审工作。</w:t>
            </w:r>
          </w:p>
          <w:p>
            <w:pPr>
              <w:spacing w:line="360" w:lineRule="auto"/>
              <w:ind w:firstLine="420" w:firstLineChars="200"/>
            </w:pPr>
            <w:r>
              <w:rPr>
                <w:rFonts w:hint="eastAsia"/>
              </w:rPr>
              <w:t>负责质量管理体系组织设计与人员配置情况</w:t>
            </w:r>
          </w:p>
          <w:p>
            <w:pPr>
              <w:spacing w:line="360" w:lineRule="auto"/>
              <w:ind w:firstLine="420" w:firstLineChars="200"/>
            </w:pPr>
            <w:r>
              <w:rPr>
                <w:rFonts w:hint="eastAsia"/>
              </w:rPr>
              <w:t>文件管理与档案管理情况</w:t>
            </w:r>
          </w:p>
          <w:p>
            <w:pPr>
              <w:spacing w:line="360" w:lineRule="auto"/>
              <w:ind w:firstLine="420" w:firstLineChars="200"/>
            </w:pPr>
            <w:r>
              <w:rPr>
                <w:rFonts w:hint="eastAsia"/>
              </w:rPr>
              <w:t>做好人员的培训计划，组织公司内部员工的培训工作</w:t>
            </w:r>
          </w:p>
          <w:p>
            <w:pPr>
              <w:spacing w:line="360" w:lineRule="auto"/>
              <w:ind w:firstLine="420" w:firstLineChars="200"/>
            </w:pPr>
            <w:r>
              <w:rPr>
                <w:rFonts w:hint="eastAsia"/>
              </w:rPr>
              <w:t>公司行政会议的记录、催办、落实；</w:t>
            </w:r>
          </w:p>
          <w:p>
            <w:pPr>
              <w:spacing w:line="360" w:lineRule="auto"/>
              <w:ind w:firstLine="420" w:firstLineChars="200"/>
            </w:pPr>
            <w:r>
              <w:rPr>
                <w:rFonts w:hint="eastAsia"/>
              </w:rPr>
              <w:t>负责公司 质量、环境、职业健康安全管理体系文件及档案的管理；策划和实施环境/职业健康安全管理体系</w:t>
            </w:r>
          </w:p>
          <w:p>
            <w:pPr>
              <w:spacing w:line="360" w:lineRule="auto"/>
              <w:ind w:firstLine="420" w:firstLineChars="200"/>
            </w:pPr>
            <w:r>
              <w:rPr>
                <w:rFonts w:hint="eastAsia"/>
              </w:rPr>
              <w:t>公司合同、营业证照、税务登记证及所获得的各种证书的管理；</w:t>
            </w:r>
          </w:p>
          <w:p>
            <w:pPr>
              <w:spacing w:line="360" w:lineRule="auto"/>
              <w:ind w:firstLine="420" w:firstLineChars="200"/>
            </w:pPr>
            <w:r>
              <w:rPr>
                <w:rFonts w:hint="eastAsia"/>
              </w:rPr>
              <w:t>负责公司各种资质及公司产品认证的申报；</w:t>
            </w:r>
          </w:p>
          <w:p>
            <w:pPr>
              <w:spacing w:line="360" w:lineRule="auto"/>
              <w:ind w:firstLine="420" w:firstLineChars="200"/>
            </w:pPr>
            <w:r>
              <w:rPr>
                <w:rFonts w:hint="eastAsia"/>
              </w:rPr>
              <w:t>对公司人员进行环境/职业健康安全管理体系相关条款的培训。使公司运行符合环境/职业健康安全标准的要求；</w:t>
            </w:r>
          </w:p>
          <w:p>
            <w:pPr>
              <w:spacing w:line="360" w:lineRule="auto"/>
              <w:ind w:firstLine="420" w:firstLineChars="200"/>
            </w:pPr>
            <w:r>
              <w:rPr>
                <w:rFonts w:hint="eastAsia"/>
              </w:rPr>
              <w:t>负责本部门环境因素、危险源的识别和评价，并确定重要环境因素、危险源，报综合部审批</w:t>
            </w:r>
          </w:p>
          <w:p>
            <w:pPr>
              <w:spacing w:line="360" w:lineRule="auto"/>
              <w:ind w:firstLine="420" w:firstLineChars="200"/>
            </w:pPr>
            <w:r>
              <w:rPr>
                <w:rFonts w:hint="eastAsia"/>
              </w:rPr>
              <w:t>贯彻落实GB/T19001-2008标准、GB/T24001-2004标准、GB/T45001-2020/GB/T45001-2020/ISO45001:2018标准，作好质量、环境、职业安全健康管理体系的执行工作；</w:t>
            </w:r>
          </w:p>
          <w:p>
            <w:pPr>
              <w:spacing w:line="360" w:lineRule="auto"/>
              <w:ind w:firstLine="420" w:firstLineChars="200"/>
              <w:rPr>
                <w:rFonts w:ascii="宋体" w:hAnsi="宋体" w:cs="宋体"/>
                <w:szCs w:val="21"/>
              </w:rPr>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60" w:type="dxa"/>
          </w:tcPr>
          <w:p>
            <w:pPr>
              <w:spacing w:line="280" w:lineRule="exact"/>
              <w:rPr>
                <w:rFonts w:ascii="宋体" w:cs="宋体"/>
                <w:szCs w:val="21"/>
              </w:rPr>
            </w:pPr>
            <w:r>
              <w:rPr>
                <w:rFonts w:ascii="宋体" w:cs="宋体"/>
                <w:szCs w:val="21"/>
              </w:rPr>
              <w:t>Q/E/S6.1.1</w:t>
            </w:r>
          </w:p>
          <w:p>
            <w:pPr>
              <w:spacing w:line="280" w:lineRule="exact"/>
              <w:rPr>
                <w:rFonts w:ascii="宋体" w:hAnsi="宋体" w:cs="宋体"/>
                <w:szCs w:val="21"/>
              </w:rPr>
            </w:pPr>
          </w:p>
        </w:tc>
        <w:tc>
          <w:tcPr>
            <w:tcW w:w="10943" w:type="dxa"/>
            <w:vAlign w:val="center"/>
          </w:tcPr>
          <w:p>
            <w:pPr>
              <w:spacing w:line="360" w:lineRule="auto"/>
              <w:ind w:firstLine="420" w:firstLineChars="200"/>
              <w:rPr>
                <w:rFonts w:ascii="宋体" w:hAnsi="宋体" w:cs="宋体"/>
                <w:szCs w:val="21"/>
              </w:rPr>
            </w:pPr>
            <w:r>
              <w:rPr>
                <w:rFonts w:hint="eastAsia" w:ascii="宋体" w:hAnsi="宋体" w:cs="宋体"/>
                <w:szCs w:val="21"/>
              </w:rPr>
              <w:t>在策划管理体系时考虑了风险和机遇以及相应的应对措施，明确风险和机遇事件的识别方法/途径、风险和机遇事件的评估方式、制定主要风险和机遇事件的应对措施的要求、评价这些措施有效性的方法。</w:t>
            </w:r>
          </w:p>
          <w:p>
            <w:pPr>
              <w:spacing w:line="360" w:lineRule="auto"/>
              <w:ind w:firstLine="420" w:firstLineChars="200"/>
              <w:rPr>
                <w:rFonts w:ascii="宋体" w:hAnsi="宋体" w:cs="宋体"/>
                <w:szCs w:val="21"/>
              </w:rPr>
            </w:pPr>
            <w:r>
              <w:rPr>
                <w:rFonts w:hint="eastAsia" w:ascii="宋体" w:hAnsi="宋体" w:cs="宋体"/>
                <w:szCs w:val="21"/>
              </w:rPr>
              <w:t>提供了“风险和机遇评估分析表”，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安全投入及人力资源成本上升、竞争不断加剧等。</w:t>
            </w:r>
          </w:p>
          <w:p>
            <w:pPr>
              <w:spacing w:line="360" w:lineRule="auto"/>
              <w:ind w:firstLine="420" w:firstLineChars="200"/>
              <w:rPr>
                <w:rFonts w:ascii="宋体" w:hAnsi="宋体" w:cs="宋体"/>
                <w:szCs w:val="21"/>
              </w:rPr>
            </w:pPr>
            <w:r>
              <w:rPr>
                <w:rFonts w:hint="eastAsia" w:ascii="宋体" w:hAnsi="宋体" w:cs="宋体"/>
                <w:szCs w:val="21"/>
              </w:rPr>
              <w:t>主要措施确定战略加强设计研发环节环保、安全风险控制；通过差异化策略提高竞争力。效果待观察。机遇主要是现在国内市场需求不断增多。</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Theme="minorEastAsia" w:hAnsiTheme="minorEastAsia" w:eastAsiaTheme="minorEastAsia" w:cstheme="minorEastAsia"/>
                <w:szCs w:val="21"/>
              </w:rPr>
              <w:t>环境因素识别、危险源辨识及控制</w:t>
            </w:r>
          </w:p>
        </w:tc>
        <w:tc>
          <w:tcPr>
            <w:tcW w:w="960" w:type="dxa"/>
          </w:tcPr>
          <w:p>
            <w:pPr>
              <w:spacing w:line="280" w:lineRule="exact"/>
            </w:pPr>
            <w:r>
              <w:t>ES</w:t>
            </w:r>
            <w:r>
              <w:rPr>
                <w:rFonts w:hint="eastAsia"/>
              </w:rPr>
              <w:t>6.1.2</w:t>
            </w:r>
          </w:p>
          <w:p>
            <w:pPr>
              <w:spacing w:line="280" w:lineRule="exact"/>
            </w:pPr>
          </w:p>
          <w:p>
            <w:pPr>
              <w:pStyle w:val="2"/>
            </w:pPr>
          </w:p>
        </w:tc>
        <w:tc>
          <w:tcPr>
            <w:tcW w:w="10943" w:type="dxa"/>
            <w:vAlign w:val="center"/>
          </w:tcPr>
          <w:p>
            <w:pPr>
              <w:pStyle w:val="3"/>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公司制定危险源辨识与风险评价管理程序JYDL-CX-22《环境因素、危险源辨识、风险评价和风险控制程序》A/0版本，确保公司在所有管理活动或服务过程中能最大限度、充分地进行危险源辨识与风险性评价，确定不可接受风险并及时更新，实现对危险源与不可接受风险的有效控制。</w:t>
            </w:r>
          </w:p>
          <w:p>
            <w:pPr>
              <w:pStyle w:val="3"/>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提供了危险源识别与评价表《危险源辨识、风险评价和控制措施的确定表》，对活动场所产生的危险源辨识并进行风险评价，以确定控制措施，经查阅已辨识：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不可接受风险2项：潜在火灾、爆炸、触电、超时劳动。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环境因素主要有：办公室火灾，硒鼓墨盒废旧电池的处理，纸张的废气、电的消耗等</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危险源主要有：线路老化、开关损坏、短路等电气走火，办公区场所用火不慎、办公设施使用、检修、安装和调试等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办公设施、研发设施使用等、线路绝缘破损、违规用电、违章操作、接触从疫情区回来的人员、未戴防护用品等危险因素。 评价人员：许芳。 时间：2020年08月10日</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由各部门有管理经验的人员共同讨论、采用直接判断的方法确定不可接受风险。提供了《重大危险源清单》及《重要环境因素清单》</w:t>
            </w:r>
          </w:p>
          <w:p>
            <w:pPr>
              <w:spacing w:line="360" w:lineRule="auto"/>
              <w:ind w:firstLine="420" w:firstLineChars="200"/>
              <w:rPr>
                <w:rFonts w:ascii="宋体" w:hAnsi="宋体" w:cs="宋体"/>
                <w:szCs w:val="21"/>
              </w:rPr>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szCs w:val="21"/>
              </w:rPr>
            </w:pPr>
            <w:r>
              <w:rPr>
                <w:rFonts w:hint="eastAsia"/>
                <w:szCs w:val="21"/>
              </w:rPr>
              <w:t>合规义务、法律法规</w:t>
            </w:r>
          </w:p>
          <w:p>
            <w:pPr>
              <w:spacing w:line="280" w:lineRule="exact"/>
              <w:rPr>
                <w:rFonts w:ascii="宋体" w:hAnsi="宋体" w:cs="宋体"/>
                <w:szCs w:val="21"/>
              </w:rPr>
            </w:pPr>
          </w:p>
        </w:tc>
        <w:tc>
          <w:tcPr>
            <w:tcW w:w="960" w:type="dxa"/>
          </w:tcPr>
          <w:p>
            <w:pPr>
              <w:spacing w:line="280" w:lineRule="exact"/>
              <w:rPr>
                <w:szCs w:val="21"/>
              </w:rPr>
            </w:pPr>
            <w:r>
              <w:rPr>
                <w:szCs w:val="21"/>
              </w:rPr>
              <w:t>ES</w:t>
            </w:r>
            <w:r>
              <w:rPr>
                <w:rFonts w:hint="eastAsia"/>
                <w:szCs w:val="21"/>
              </w:rPr>
              <w:t>6.1.3</w:t>
            </w:r>
          </w:p>
          <w:p>
            <w:pPr>
              <w:spacing w:line="280" w:lineRule="exact"/>
              <w:rPr>
                <w:rFonts w:ascii="宋体" w:hAnsi="宋体" w:cs="宋体"/>
                <w:szCs w:val="21"/>
              </w:rPr>
            </w:pPr>
          </w:p>
        </w:tc>
        <w:tc>
          <w:tcPr>
            <w:tcW w:w="10943" w:type="dxa"/>
          </w:tcPr>
          <w:p>
            <w:pPr>
              <w:snapToGrid w:val="0"/>
              <w:spacing w:line="280" w:lineRule="exact"/>
              <w:jc w:val="left"/>
            </w:pPr>
            <w:r>
              <w:rPr>
                <w:rFonts w:hint="eastAsia"/>
              </w:rPr>
              <w:t>公司法律法规和其它要求收集渠道有政府环保部门、安监部门、主管部门、国家网站等。法律法规和其它要求通过会议、培训等方式传达到相关方和公众，能够为其获取。</w:t>
            </w:r>
          </w:p>
          <w:p>
            <w:pPr>
              <w:snapToGrid w:val="0"/>
              <w:spacing w:line="280" w:lineRule="exact"/>
              <w:jc w:val="left"/>
            </w:pPr>
            <w:r>
              <w:rPr>
                <w:rFonts w:hint="eastAsia"/>
              </w:rPr>
              <w:t>提供了法律法规清单，对中华人民共和国安全生产法、中华人民共和国安全生产法、中华人民共和国食品卫生法、劳动防护用品管理规定、国家职业卫生标准管理办法、企业职工劳动安全卫生教育管理规定、劳动防护用品选用规则、生产过程危险和有害因素、女职工劳动保护规定、中华人民共和国环境保护法、中华人民共和国水法、</w:t>
            </w:r>
          </w:p>
          <w:p>
            <w:pPr>
              <w:snapToGrid w:val="0"/>
              <w:spacing w:line="280" w:lineRule="exact"/>
              <w:jc w:val="left"/>
            </w:pPr>
            <w:r>
              <w:rPr>
                <w:rFonts w:hint="eastAsia"/>
              </w:rPr>
              <w:t>中华人民共和国水污染防治法、中华人民共和国大气污染防治法  、中华人民共和国固体废物环境污染防治法</w:t>
            </w:r>
          </w:p>
          <w:p>
            <w:pPr>
              <w:snapToGrid w:val="0"/>
              <w:spacing w:line="280" w:lineRule="exact"/>
              <w:jc w:val="left"/>
            </w:pPr>
            <w:r>
              <w:rPr>
                <w:rFonts w:hint="eastAsia"/>
              </w:rPr>
              <w:t>中华人民共和国环境影响评价法 、中华人民共和国消防法、中华人民共和国清洁生产促进法等</w:t>
            </w:r>
          </w:p>
          <w:p>
            <w:pPr>
              <w:snapToGrid w:val="0"/>
              <w:spacing w:line="280" w:lineRule="exact"/>
              <w:jc w:val="left"/>
            </w:pPr>
            <w:r>
              <w:rPr>
                <w:rFonts w:hint="eastAsia"/>
              </w:rPr>
              <w:t>地方法律法规及标准：</w:t>
            </w:r>
          </w:p>
          <w:p>
            <w:pPr>
              <w:snapToGrid w:val="0"/>
              <w:spacing w:line="280" w:lineRule="exact"/>
              <w:jc w:val="left"/>
            </w:pPr>
            <w:r>
              <w:rPr>
                <w:rFonts w:hint="eastAsia"/>
              </w:rPr>
              <w:t>北京市实施《中华人民共和国节约能源法》办法</w:t>
            </w:r>
          </w:p>
          <w:p>
            <w:pPr>
              <w:snapToGrid w:val="0"/>
              <w:spacing w:line="280" w:lineRule="exact"/>
              <w:jc w:val="left"/>
            </w:pPr>
            <w:r>
              <w:rPr>
                <w:rFonts w:hint="eastAsia"/>
              </w:rPr>
              <w:t>《北京市市容环境卫生条例》</w:t>
            </w:r>
          </w:p>
          <w:p>
            <w:pPr>
              <w:snapToGrid w:val="0"/>
              <w:spacing w:line="280" w:lineRule="exact"/>
              <w:jc w:val="left"/>
            </w:pPr>
            <w:r>
              <w:rPr>
                <w:rFonts w:hint="eastAsia"/>
              </w:rPr>
              <w:t>北京市城市节约用水条例</w:t>
            </w:r>
          </w:p>
          <w:p>
            <w:pPr>
              <w:snapToGrid w:val="0"/>
              <w:spacing w:line="280" w:lineRule="exact"/>
              <w:jc w:val="left"/>
            </w:pPr>
            <w:r>
              <w:rPr>
                <w:rFonts w:hint="eastAsia"/>
              </w:rPr>
              <w:t>北京市消防条例</w:t>
            </w:r>
          </w:p>
          <w:p>
            <w:pPr>
              <w:snapToGrid w:val="0"/>
              <w:spacing w:line="280" w:lineRule="exact"/>
              <w:jc w:val="left"/>
            </w:pPr>
            <w:r>
              <w:rPr>
                <w:rFonts w:hint="eastAsia"/>
              </w:rPr>
              <w:t>北京市大气污染防治条例</w:t>
            </w:r>
          </w:p>
          <w:p>
            <w:pPr>
              <w:snapToGrid w:val="0"/>
              <w:spacing w:line="280" w:lineRule="exact"/>
              <w:jc w:val="left"/>
            </w:pPr>
            <w:r>
              <w:rPr>
                <w:rFonts w:hint="eastAsia"/>
              </w:rPr>
              <w:t>消防监督检查规定</w:t>
            </w:r>
          </w:p>
          <w:p>
            <w:pPr>
              <w:snapToGrid w:val="0"/>
              <w:spacing w:line="280" w:lineRule="exact"/>
              <w:jc w:val="left"/>
            </w:pPr>
            <w:r>
              <w:rPr>
                <w:rFonts w:hint="eastAsia"/>
              </w:rPr>
              <w:t>北京市安全生产条例</w:t>
            </w:r>
          </w:p>
          <w:p>
            <w:pPr>
              <w:snapToGrid w:val="0"/>
              <w:spacing w:line="280" w:lineRule="exact"/>
              <w:jc w:val="left"/>
            </w:pPr>
            <w:r>
              <w:rPr>
                <w:rFonts w:hint="eastAsia"/>
              </w:rPr>
              <w:t>北京市职业病防治卫生监督条例</w:t>
            </w:r>
          </w:p>
          <w:p>
            <w:pPr>
              <w:snapToGrid w:val="0"/>
              <w:spacing w:line="280" w:lineRule="exact"/>
              <w:jc w:val="left"/>
            </w:pPr>
            <w:r>
              <w:rPr>
                <w:rFonts w:hint="eastAsia"/>
              </w:rPr>
              <w:t>北京市消防条例</w:t>
            </w:r>
          </w:p>
          <w:p>
            <w:pPr>
              <w:snapToGrid w:val="0"/>
              <w:spacing w:line="280" w:lineRule="exact"/>
              <w:jc w:val="left"/>
            </w:pPr>
            <w:r>
              <w:rPr>
                <w:rFonts w:hint="eastAsia"/>
              </w:rPr>
              <w:t>北京市实施&lt;工伤保险条例&gt;办法</w:t>
            </w:r>
          </w:p>
          <w:p>
            <w:pPr>
              <w:snapToGrid w:val="0"/>
              <w:spacing w:line="280" w:lineRule="exact"/>
              <w:jc w:val="left"/>
            </w:pPr>
            <w:r>
              <w:rPr>
                <w:rFonts w:hint="eastAsia"/>
              </w:rPr>
              <w:t>北京市劳动保护监察条例</w:t>
            </w:r>
          </w:p>
          <w:p>
            <w:pPr>
              <w:snapToGrid w:val="0"/>
              <w:spacing w:line="280" w:lineRule="exact"/>
              <w:jc w:val="left"/>
            </w:pPr>
            <w:r>
              <w:rPr>
                <w:rFonts w:hint="eastAsia"/>
              </w:rPr>
              <w:t>北京市实施《女职工劳动保护规定》的若干规定等</w:t>
            </w:r>
          </w:p>
          <w:p>
            <w:pPr>
              <w:snapToGrid w:val="0"/>
              <w:spacing w:line="280" w:lineRule="exact"/>
              <w:jc w:val="left"/>
            </w:pPr>
            <w:r>
              <w:rPr>
                <w:rFonts w:hint="eastAsia"/>
              </w:rPr>
              <w:t>公司得法律法规识别比较全面，对标准职业健康安全方面法律法规与其他要求均列入了清单，收集基本齐全，收集部门行政部，编制-综合部 ，审核-许芳， 批准- 袁敬忠 ，时间 2020.08.10更新。</w:t>
            </w:r>
          </w:p>
          <w:p>
            <w:pPr>
              <w:snapToGrid w:val="0"/>
              <w:spacing w:line="280" w:lineRule="exact"/>
              <w:jc w:val="left"/>
            </w:pPr>
            <w:r>
              <w:rPr>
                <w:rFonts w:hint="eastAsia"/>
              </w:rPr>
              <w:t>基本符合要求。</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160" w:type="dxa"/>
          </w:tcPr>
          <w:p>
            <w:pPr>
              <w:spacing w:line="280" w:lineRule="exact"/>
              <w:rPr>
                <w:rFonts w:ascii="宋体" w:hAnsi="宋体" w:cs="宋体"/>
                <w:kern w:val="0"/>
                <w:szCs w:val="21"/>
              </w:rPr>
            </w:pPr>
            <w:r>
              <w:rPr>
                <w:rFonts w:hint="eastAsia" w:ascii="宋体" w:hAnsi="宋体" w:cs="宋体"/>
                <w:kern w:val="0"/>
                <w:szCs w:val="21"/>
              </w:rPr>
              <w:t>目标及其实现的策划总要求</w:t>
            </w:r>
          </w:p>
          <w:p>
            <w:pPr>
              <w:spacing w:line="280" w:lineRule="exact"/>
              <w:rPr>
                <w:rFonts w:ascii="宋体" w:hAnsi="宋体" w:cs="宋体"/>
                <w:szCs w:val="21"/>
              </w:rPr>
            </w:pPr>
          </w:p>
        </w:tc>
        <w:tc>
          <w:tcPr>
            <w:tcW w:w="960" w:type="dxa"/>
          </w:tcPr>
          <w:p>
            <w:pPr>
              <w:spacing w:line="280" w:lineRule="exact"/>
              <w:rPr>
                <w:rFonts w:ascii="宋体" w:hAnsi="宋体" w:cs="宋体"/>
                <w:kern w:val="0"/>
                <w:szCs w:val="21"/>
              </w:rPr>
            </w:pPr>
            <w:r>
              <w:rPr>
                <w:rFonts w:ascii="宋体" w:hAnsi="宋体" w:cs="宋体"/>
                <w:kern w:val="0"/>
                <w:szCs w:val="21"/>
              </w:rPr>
              <w:t>Q</w:t>
            </w:r>
            <w:r>
              <w:rPr>
                <w:rFonts w:hint="eastAsia" w:ascii="宋体" w:hAnsi="宋体" w:cs="宋体"/>
                <w:kern w:val="0"/>
                <w:szCs w:val="21"/>
                <w:lang w:val="en-US" w:eastAsia="zh-CN"/>
              </w:rPr>
              <w:t>E</w:t>
            </w:r>
            <w:r>
              <w:rPr>
                <w:rFonts w:ascii="宋体" w:hAnsi="宋体" w:cs="宋体"/>
                <w:kern w:val="0"/>
                <w:szCs w:val="21"/>
              </w:rPr>
              <w:t>S</w:t>
            </w:r>
            <w:r>
              <w:rPr>
                <w:rFonts w:hint="eastAsia" w:ascii="宋体" w:hAnsi="宋体" w:cs="宋体"/>
                <w:kern w:val="0"/>
                <w:szCs w:val="21"/>
              </w:rPr>
              <w:t>6.2</w:t>
            </w:r>
          </w:p>
          <w:p>
            <w:pPr>
              <w:spacing w:line="280" w:lineRule="exact"/>
              <w:rPr>
                <w:rFonts w:ascii="宋体" w:hAnsi="宋体" w:cs="宋体"/>
                <w:kern w:val="0"/>
                <w:szCs w:val="21"/>
              </w:rPr>
            </w:pPr>
          </w:p>
          <w:p>
            <w:pPr>
              <w:spacing w:line="280" w:lineRule="exact"/>
              <w:rPr>
                <w:rFonts w:ascii="宋体" w:hAnsi="宋体" w:cs="宋体"/>
                <w:szCs w:val="21"/>
              </w:rPr>
            </w:pPr>
          </w:p>
        </w:tc>
        <w:tc>
          <w:tcPr>
            <w:tcW w:w="10943" w:type="dxa"/>
            <w:vAlign w:val="center"/>
          </w:tcPr>
          <w:p>
            <w:pPr>
              <w:spacing w:line="280" w:lineRule="exact"/>
              <w:ind w:firstLine="420" w:firstLineChars="200"/>
              <w:rPr>
                <w:rFonts w:hint="eastAsia"/>
                <w:szCs w:val="21"/>
              </w:rPr>
            </w:pPr>
            <w:r>
              <w:rPr>
                <w:rFonts w:hint="eastAsia"/>
                <w:szCs w:val="21"/>
              </w:rPr>
              <w:t>本部门分解管理目标有：</w:t>
            </w:r>
          </w:p>
          <w:p>
            <w:pPr>
              <w:spacing w:line="280" w:lineRule="exact"/>
              <w:ind w:firstLine="420" w:firstLineChars="200"/>
              <w:rPr>
                <w:szCs w:val="21"/>
              </w:rPr>
            </w:pPr>
            <w:r>
              <w:rPr>
                <w:rFonts w:hint="eastAsia"/>
                <w:szCs w:val="21"/>
              </w:rPr>
              <w:t>1、灭火器配置率100％</w:t>
            </w:r>
          </w:p>
          <w:p>
            <w:pPr>
              <w:spacing w:line="280" w:lineRule="exact"/>
              <w:ind w:firstLine="420" w:firstLineChars="200"/>
              <w:rPr>
                <w:rFonts w:hint="eastAsia"/>
                <w:szCs w:val="21"/>
              </w:rPr>
            </w:pPr>
            <w:r>
              <w:rPr>
                <w:rFonts w:hint="eastAsia"/>
                <w:szCs w:val="21"/>
              </w:rPr>
              <w:t>2、固废100％分类进行处理</w:t>
            </w:r>
          </w:p>
          <w:p>
            <w:pPr>
              <w:spacing w:line="280" w:lineRule="exact"/>
              <w:ind w:firstLine="420" w:firstLineChars="200"/>
              <w:rPr>
                <w:rFonts w:hint="eastAsia"/>
                <w:szCs w:val="21"/>
              </w:rPr>
            </w:pPr>
            <w:r>
              <w:rPr>
                <w:rFonts w:hint="eastAsia"/>
                <w:szCs w:val="21"/>
              </w:rPr>
              <w:t>3、无重大环境投诉</w:t>
            </w:r>
          </w:p>
          <w:p>
            <w:pPr>
              <w:spacing w:line="280" w:lineRule="exact"/>
              <w:ind w:firstLine="420" w:firstLineChars="200"/>
            </w:pPr>
            <w:r>
              <w:rPr>
                <w:rFonts w:hint="eastAsia"/>
                <w:szCs w:val="21"/>
              </w:rPr>
              <w:t>4、火灾事故发生率为0。</w:t>
            </w:r>
          </w:p>
          <w:p>
            <w:pPr>
              <w:spacing w:line="280" w:lineRule="exact"/>
              <w:ind w:firstLine="420" w:firstLineChars="200"/>
              <w:rPr>
                <w:szCs w:val="21"/>
              </w:rPr>
            </w:pPr>
            <w:r>
              <w:rPr>
                <w:rFonts w:hint="eastAsia"/>
                <w:szCs w:val="21"/>
              </w:rPr>
              <w:t>5、新员工培训上岗率</w:t>
            </w:r>
            <w:r>
              <w:rPr>
                <w:rFonts w:hint="eastAsia"/>
                <w:szCs w:val="21"/>
              </w:rPr>
              <w:tab/>
            </w:r>
            <w:r>
              <w:rPr>
                <w:rFonts w:hint="eastAsia"/>
                <w:szCs w:val="21"/>
              </w:rPr>
              <w:t>100%</w:t>
            </w:r>
          </w:p>
          <w:p>
            <w:pPr>
              <w:spacing w:line="280" w:lineRule="exact"/>
              <w:ind w:firstLine="420" w:firstLineChars="200"/>
              <w:rPr>
                <w:szCs w:val="21"/>
              </w:rPr>
            </w:pPr>
            <w:r>
              <w:rPr>
                <w:rFonts w:hint="eastAsia"/>
                <w:szCs w:val="21"/>
              </w:rPr>
              <w:t>6、体系文件受控率</w:t>
            </w:r>
            <w:r>
              <w:rPr>
                <w:rFonts w:hint="eastAsia"/>
                <w:szCs w:val="21"/>
              </w:rPr>
              <w:tab/>
            </w:r>
            <w:r>
              <w:rPr>
                <w:rFonts w:hint="eastAsia"/>
                <w:szCs w:val="21"/>
              </w:rPr>
              <w:t>100%</w:t>
            </w:r>
          </w:p>
          <w:p>
            <w:pPr>
              <w:spacing w:line="280" w:lineRule="exact"/>
              <w:ind w:firstLine="420" w:firstLineChars="200"/>
              <w:rPr>
                <w:szCs w:val="21"/>
              </w:rPr>
            </w:pPr>
            <w:r>
              <w:rPr>
                <w:rFonts w:hint="eastAsia"/>
                <w:szCs w:val="21"/>
              </w:rPr>
              <w:t>7、办公设备好率</w:t>
            </w:r>
            <w:r>
              <w:rPr>
                <w:rFonts w:hint="eastAsia"/>
                <w:szCs w:val="21"/>
              </w:rPr>
              <w:tab/>
            </w:r>
            <w:r>
              <w:rPr>
                <w:rFonts w:hint="eastAsia"/>
                <w:szCs w:val="21"/>
              </w:rPr>
              <w:t>100%</w:t>
            </w:r>
          </w:p>
          <w:p>
            <w:pPr>
              <w:spacing w:line="280" w:lineRule="exact"/>
              <w:ind w:firstLine="420" w:firstLineChars="200"/>
              <w:rPr>
                <w:szCs w:val="21"/>
              </w:rPr>
            </w:pPr>
            <w:r>
              <w:rPr>
                <w:rFonts w:hint="eastAsia"/>
                <w:szCs w:val="21"/>
              </w:rPr>
              <w:t>8、内审计划执行率</w:t>
            </w:r>
            <w:r>
              <w:rPr>
                <w:rFonts w:hint="eastAsia"/>
                <w:szCs w:val="21"/>
              </w:rPr>
              <w:tab/>
            </w:r>
            <w:r>
              <w:rPr>
                <w:rFonts w:hint="eastAsia"/>
                <w:szCs w:val="21"/>
              </w:rPr>
              <w:t>100%</w:t>
            </w:r>
          </w:p>
          <w:p>
            <w:pPr>
              <w:spacing w:line="280" w:lineRule="exact"/>
              <w:ind w:firstLine="420" w:firstLineChars="200"/>
              <w:rPr>
                <w:szCs w:val="21"/>
              </w:rPr>
            </w:pPr>
            <w:r>
              <w:rPr>
                <w:rFonts w:hint="eastAsia"/>
                <w:szCs w:val="21"/>
              </w:rPr>
              <w:t>9、不符合按时关闭率</w:t>
            </w:r>
            <w:r>
              <w:rPr>
                <w:rFonts w:hint="eastAsia"/>
                <w:szCs w:val="21"/>
              </w:rPr>
              <w:tab/>
            </w:r>
            <w:r>
              <w:rPr>
                <w:rFonts w:hint="eastAsia"/>
                <w:szCs w:val="21"/>
              </w:rPr>
              <w:t>100%</w:t>
            </w:r>
          </w:p>
          <w:p>
            <w:pPr>
              <w:spacing w:line="280" w:lineRule="exact"/>
              <w:ind w:firstLine="420" w:firstLineChars="200"/>
              <w:rPr>
                <w:szCs w:val="21"/>
              </w:rPr>
            </w:pPr>
            <w:r>
              <w:rPr>
                <w:rFonts w:hint="eastAsia"/>
                <w:szCs w:val="21"/>
              </w:rPr>
              <w:t>10、管评输入完整率</w:t>
            </w:r>
            <w:r>
              <w:rPr>
                <w:rFonts w:hint="eastAsia"/>
                <w:szCs w:val="21"/>
              </w:rPr>
              <w:tab/>
            </w:r>
            <w:r>
              <w:rPr>
                <w:rFonts w:hint="eastAsia"/>
                <w:szCs w:val="21"/>
              </w:rPr>
              <w:t>100%</w:t>
            </w:r>
          </w:p>
          <w:p>
            <w:pPr>
              <w:spacing w:line="280" w:lineRule="exact"/>
              <w:ind w:firstLine="420" w:firstLineChars="200"/>
              <w:rPr>
                <w:szCs w:val="21"/>
              </w:rPr>
            </w:pPr>
            <w:r>
              <w:rPr>
                <w:rFonts w:hint="eastAsia"/>
                <w:szCs w:val="21"/>
              </w:rPr>
              <w:t>11、改进项按时落实率</w:t>
            </w:r>
            <w:r>
              <w:rPr>
                <w:rFonts w:hint="eastAsia"/>
                <w:szCs w:val="21"/>
              </w:rPr>
              <w:tab/>
            </w:r>
            <w:r>
              <w:rPr>
                <w:rFonts w:hint="eastAsia"/>
                <w:szCs w:val="21"/>
              </w:rPr>
              <w:t>100%</w:t>
            </w:r>
          </w:p>
          <w:p>
            <w:pPr>
              <w:spacing w:line="280" w:lineRule="exact"/>
              <w:ind w:firstLine="420" w:firstLineChars="200"/>
              <w:rPr>
                <w:szCs w:val="21"/>
              </w:rPr>
            </w:pPr>
            <w:r>
              <w:rPr>
                <w:rFonts w:hint="eastAsia"/>
                <w:szCs w:val="21"/>
              </w:rPr>
              <w:t>12、火灾发生率0 ；触电事故0；</w:t>
            </w:r>
          </w:p>
          <w:p>
            <w:pPr>
              <w:rPr>
                <w:szCs w:val="21"/>
              </w:rPr>
            </w:pPr>
            <w:r>
              <w:rPr>
                <w:rFonts w:hint="eastAsia"/>
                <w:szCs w:val="21"/>
              </w:rPr>
              <w:t>目标均可量化可测量，提供目标统计表。最近一次   2019年8月10日月考核，综合部管理目标均已完成。考核人：谢景海。针对以上目标，公司针对火灾、触电、意外伤害制定了相应管理方案，内容涉及：方法措施、执行部门、负责人、预算、完成日期等。编制：综合部   审核：谢景海     批准：袁敬中</w:t>
            </w:r>
            <w:r>
              <w:rPr>
                <w:szCs w:val="21"/>
              </w:rPr>
              <w:t xml:space="preserve"> </w:t>
            </w:r>
          </w:p>
          <w:p>
            <w:pPr>
              <w:rPr>
                <w:szCs w:val="21"/>
              </w:rPr>
            </w:pPr>
            <w:r>
              <w:rPr>
                <w:rFonts w:hint="eastAsia"/>
                <w:szCs w:val="21"/>
              </w:rPr>
              <w:t>抽查：火灾发生率为0；触电事故0。方法措施：定期检查电器设备及消防设施，发现问题及时反馈，成立应急预案小组，对发生火灾及时处理，详见“火灾应急预案”；防止意外伤害，加强培训不断提高安全意识。执行部门：各部门、负责人：谢景海 完成日期：持续执行</w:t>
            </w:r>
          </w:p>
          <w:p>
            <w:pPr>
              <w:rPr>
                <w:rFonts w:ascii="宋体" w:hAnsi="宋体"/>
                <w:szCs w:val="21"/>
              </w:rPr>
            </w:pPr>
            <w:r>
              <w:rPr>
                <w:rFonts w:hint="eastAsia"/>
                <w:szCs w:val="21"/>
              </w:rPr>
              <w:t>职业健康安全方案已正常实施开展并经过监督检查，几年来没有发生火灾及轻伤以上的事故。</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160" w:type="dxa"/>
            <w:vAlign w:val="center"/>
          </w:tcPr>
          <w:p>
            <w:r>
              <w:rPr>
                <w:rFonts w:hint="eastAsia" w:cs="Lucida Sans"/>
                <w:b/>
              </w:rPr>
              <w:t>基础设施</w:t>
            </w:r>
          </w:p>
        </w:tc>
        <w:tc>
          <w:tcPr>
            <w:tcW w:w="960" w:type="dxa"/>
            <w:vAlign w:val="center"/>
          </w:tcPr>
          <w:p>
            <w:r>
              <w:rPr>
                <w:rFonts w:hint="eastAsia" w:cs="Lucida Sans"/>
                <w:b/>
              </w:rPr>
              <w:t>Q</w:t>
            </w:r>
            <w:r>
              <w:rPr>
                <w:rFonts w:cs="Lucida Sans"/>
                <w:b/>
              </w:rPr>
              <w:t>7.1.3</w:t>
            </w:r>
          </w:p>
        </w:tc>
        <w:tc>
          <w:tcPr>
            <w:tcW w:w="10943" w:type="dxa"/>
            <w:vAlign w:val="center"/>
          </w:tcPr>
          <w:p>
            <w:pPr>
              <w:spacing w:line="360" w:lineRule="auto"/>
              <w:ind w:firstLine="420" w:firstLineChars="200"/>
              <w:rPr>
                <w:rFonts w:hint="eastAsia"/>
                <w:color w:val="000000" w:themeColor="text1"/>
              </w:rPr>
            </w:pPr>
            <w:r>
              <w:rPr>
                <w:rFonts w:hint="eastAsia"/>
                <w:color w:val="000000" w:themeColor="text1"/>
              </w:rPr>
              <w:t>公司地址：</w:t>
            </w:r>
            <w:bookmarkStart w:id="0" w:name="注册地址"/>
            <w:r>
              <w:rPr>
                <w:color w:val="000000" w:themeColor="text1"/>
              </w:rPr>
              <w:t>北京市海淀区羊坊店东路21号院1号楼601房间</w:t>
            </w:r>
            <w:bookmarkEnd w:id="0"/>
          </w:p>
          <w:p>
            <w:pPr>
              <w:spacing w:line="360" w:lineRule="auto"/>
              <w:ind w:firstLine="420" w:firstLineChars="200"/>
              <w:rPr>
                <w:color w:val="000000" w:themeColor="text1"/>
              </w:rPr>
            </w:pPr>
            <w:r>
              <w:rPr>
                <w:rFonts w:hint="eastAsia"/>
                <w:color w:val="000000" w:themeColor="text1"/>
              </w:rPr>
              <w:t>有配套的电脑、打印机、电话及环保消防设备</w:t>
            </w:r>
          </w:p>
          <w:p>
            <w:pPr>
              <w:spacing w:line="360" w:lineRule="auto"/>
              <w:ind w:firstLine="420" w:firstLineChars="200"/>
              <w:rPr>
                <w:color w:val="000000" w:themeColor="text1"/>
              </w:rPr>
            </w:pPr>
            <w:r>
              <w:rPr>
                <w:rFonts w:hint="eastAsia"/>
                <w:color w:val="000000" w:themeColor="text1"/>
              </w:rPr>
              <w:t>有办公设备电脑、办公桌椅、电脑、电话</w:t>
            </w:r>
          </w:p>
          <w:p>
            <w:pPr>
              <w:rPr>
                <w:color w:val="000000" w:themeColor="text1"/>
              </w:rPr>
            </w:pPr>
            <w:r>
              <w:rPr>
                <w:rFonts w:hint="eastAsia"/>
                <w:color w:val="000000" w:themeColor="text1"/>
              </w:rPr>
              <w:t>有具有专业的设计研发人员、办公人员、库房管理人员，经过核实，企业人数为15人。</w:t>
            </w:r>
          </w:p>
          <w:p>
            <w:pPr>
              <w:rPr>
                <w:rFonts w:cs="Lucida Sans"/>
                <w:bCs/>
              </w:rPr>
            </w:pPr>
            <w:r>
              <w:rPr>
                <w:rFonts w:hint="eastAsia"/>
                <w:color w:val="000000" w:themeColor="text1"/>
              </w:rPr>
              <w:t xml:space="preserve">   </w:t>
            </w:r>
            <w:r>
              <w:rPr>
                <w:rFonts w:hint="eastAsia" w:cs="Lucida Sans"/>
                <w:bCs/>
              </w:rPr>
              <w:t>特殊岗位人员：无特殊岗位人员</w:t>
            </w:r>
          </w:p>
          <w:p>
            <w:pPr>
              <w:rPr>
                <w:rFonts w:cs="Lucida Sans"/>
                <w:bCs/>
              </w:rPr>
            </w:pPr>
            <w:r>
              <w:rPr>
                <w:rFonts w:hint="eastAsia" w:cs="Lucida Sans"/>
                <w:bCs/>
              </w:rPr>
              <w:t>主要设备制定保养计划，分为一级、二级、三级保养。</w:t>
            </w:r>
          </w:p>
          <w:p>
            <w:pPr>
              <w:rPr>
                <w:rFonts w:cs="Lucida Sans"/>
                <w:bCs/>
              </w:rPr>
            </w:pPr>
            <w:r>
              <w:rPr>
                <w:rFonts w:hint="eastAsia" w:cs="Lucida Sans"/>
                <w:bCs/>
              </w:rPr>
              <w:t>提供维修保养计划及记录，满足要求。公司根据质量管理和技术的需要，配备了行政办公用房及通讯、信息系统等基础设施</w:t>
            </w:r>
            <w:r>
              <w:rPr>
                <w:rFonts w:cs="Lucida Sans"/>
                <w:bCs/>
              </w:rPr>
              <w:t>。公司编制了</w:t>
            </w:r>
            <w:r>
              <w:rPr>
                <w:rFonts w:hint="eastAsia" w:cs="Lucida Sans"/>
                <w:bCs/>
              </w:rPr>
              <w:t>基础设施和过程环境控制程序</w:t>
            </w:r>
            <w:r>
              <w:rPr>
                <w:rFonts w:cs="Lucida Sans"/>
                <w:bCs/>
              </w:rPr>
              <w:t>《</w:t>
            </w:r>
            <w:r>
              <w:rPr>
                <w:rFonts w:hint="eastAsia" w:cs="Lucida Sans"/>
                <w:bCs/>
              </w:rPr>
              <w:t>基础设施控制程序</w:t>
            </w:r>
            <w:r>
              <w:rPr>
                <w:rFonts w:cs="Lucida Sans"/>
                <w:bCs/>
              </w:rPr>
              <w:t>》 并配备有办</w:t>
            </w:r>
            <w:r>
              <w:rPr>
                <w:rFonts w:hint="eastAsia" w:cs="Lucida Sans"/>
                <w:bCs/>
              </w:rPr>
              <w:t>公桌椅，水电、空调、会议室、消防设施设备，并有电脑、打印机、电话、传真机、复印机等办公设备；满足办公需要。</w:t>
            </w:r>
          </w:p>
          <w:p>
            <w:pPr>
              <w:rPr>
                <w:rFonts w:cs="Lucida Sans"/>
                <w:bCs/>
              </w:rPr>
            </w:pPr>
            <w:r>
              <w:rPr>
                <w:rFonts w:hint="eastAsia" w:cs="Lucida Sans"/>
                <w:bCs/>
              </w:rPr>
              <w:t>抽：《服务设施检修计划》《设备维修保养计划》</w:t>
            </w:r>
          </w:p>
          <w:p>
            <w:pPr>
              <w:rPr>
                <w:rFonts w:cs="Lucida Sans"/>
                <w:bCs/>
              </w:rPr>
            </w:pPr>
            <w:r>
              <w:rPr>
                <w:rFonts w:hint="eastAsia" w:cs="Lucida Sans"/>
                <w:bCs/>
              </w:rPr>
              <w:t>依照计划进行电脑更换系统、杀毒、清理垃圾文件、更新软件，提供相关的保养记录，保养人：肖巍 。</w:t>
            </w:r>
          </w:p>
          <w:p>
            <w:pPr>
              <w:pStyle w:val="2"/>
            </w:pPr>
          </w:p>
          <w:p>
            <w:pPr>
              <w:spacing w:before="120" w:line="160" w:lineRule="exact"/>
              <w:rPr>
                <w:rFonts w:ascii="方正仿宋简体" w:eastAsia="方正仿宋简体"/>
                <w:b/>
                <w:color w:val="FF0000"/>
              </w:rPr>
            </w:pPr>
            <w:r>
              <w:rPr>
                <w:rFonts w:hint="eastAsia" w:ascii="方正仿宋简体" w:eastAsia="方正仿宋简体"/>
                <w:b/>
                <w:color w:val="FF0000"/>
              </w:rPr>
              <w:t>查综合部</w:t>
            </w:r>
            <w:r>
              <w:rPr>
                <w:rFonts w:hint="eastAsia" w:ascii="方正仿宋简体" w:eastAsia="方正仿宋简体"/>
                <w:b/>
                <w:color w:val="FF0000"/>
                <w:lang w:val="en-US" w:eastAsia="zh-CN"/>
              </w:rPr>
              <w:t>办公区域，</w:t>
            </w:r>
            <w:r>
              <w:rPr>
                <w:rFonts w:hint="eastAsia" w:ascii="方正仿宋简体" w:eastAsia="方正仿宋简体"/>
                <w:b/>
                <w:color w:val="FF0000"/>
              </w:rPr>
              <w:t>没有配置灭火器，不符合</w:t>
            </w:r>
          </w:p>
          <w:p>
            <w:pPr>
              <w:spacing w:before="120" w:line="160" w:lineRule="exact"/>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160" w:type="dxa"/>
          </w:tcPr>
          <w:p>
            <w:pPr>
              <w:spacing w:line="280" w:lineRule="exac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能力/意识/沟通</w:t>
            </w:r>
          </w:p>
          <w:p>
            <w:pPr>
              <w:spacing w:line="280" w:lineRule="exact"/>
              <w:rPr>
                <w:rFonts w:asciiTheme="minorEastAsia" w:hAnsiTheme="minorEastAsia" w:eastAsiaTheme="minorEastAsia" w:cstheme="minorEastAsia"/>
                <w:color w:val="000000"/>
                <w:kern w:val="0"/>
                <w:szCs w:val="21"/>
              </w:rPr>
            </w:pPr>
          </w:p>
          <w:p>
            <w:pPr>
              <w:spacing w:line="280" w:lineRule="exact"/>
              <w:rPr>
                <w:rFonts w:asciiTheme="minorEastAsia" w:hAnsiTheme="minorEastAsia" w:eastAsiaTheme="minorEastAsia" w:cstheme="minorEastAsia"/>
                <w:color w:val="000000"/>
                <w:kern w:val="0"/>
                <w:szCs w:val="21"/>
              </w:rPr>
            </w:pPr>
          </w:p>
          <w:p>
            <w:pPr>
              <w:spacing w:line="280" w:lineRule="exact"/>
              <w:rPr>
                <w:rFonts w:asciiTheme="minorEastAsia" w:hAnsiTheme="minorEastAsia" w:eastAsiaTheme="minorEastAsia" w:cstheme="minorEastAsia"/>
                <w:szCs w:val="21"/>
              </w:rPr>
            </w:pPr>
          </w:p>
        </w:tc>
        <w:tc>
          <w:tcPr>
            <w:tcW w:w="960" w:type="dxa"/>
          </w:tcPr>
          <w:p>
            <w:pPr>
              <w:spacing w:line="280" w:lineRule="exact"/>
              <w:rPr>
                <w:rFonts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Q7.1.2</w:t>
            </w:r>
          </w:p>
          <w:p>
            <w:pPr>
              <w:spacing w:line="280" w:lineRule="exact"/>
              <w:rPr>
                <w:rFonts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Q/E/S</w:t>
            </w:r>
            <w:r>
              <w:rPr>
                <w:rFonts w:hint="eastAsia" w:asciiTheme="minorEastAsia" w:hAnsiTheme="minorEastAsia" w:eastAsiaTheme="minorEastAsia" w:cstheme="minorEastAsia"/>
                <w:color w:val="000000"/>
                <w:kern w:val="0"/>
                <w:szCs w:val="21"/>
              </w:rPr>
              <w:t xml:space="preserve"> 7.2</w:t>
            </w:r>
          </w:p>
          <w:p>
            <w:pPr>
              <w:spacing w:line="280" w:lineRule="exact"/>
              <w:rPr>
                <w:rFonts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Q/E/S</w:t>
            </w:r>
            <w:r>
              <w:rPr>
                <w:rFonts w:hint="eastAsia" w:asciiTheme="minorEastAsia" w:hAnsiTheme="minorEastAsia" w:eastAsiaTheme="minorEastAsia" w:cstheme="minorEastAsia"/>
                <w:color w:val="000000"/>
                <w:kern w:val="0"/>
                <w:szCs w:val="21"/>
              </w:rPr>
              <w:t xml:space="preserve"> 7.3</w:t>
            </w:r>
          </w:p>
          <w:p>
            <w:pPr>
              <w:spacing w:line="280" w:lineRule="exact"/>
              <w:rPr>
                <w:rFonts w:asciiTheme="minorEastAsia" w:hAnsiTheme="minorEastAsia" w:eastAsiaTheme="minorEastAsia" w:cstheme="minorEastAsia"/>
              </w:rPr>
            </w:pPr>
            <w:r>
              <w:rPr>
                <w:rFonts w:asciiTheme="minorEastAsia" w:hAnsiTheme="minorEastAsia" w:eastAsiaTheme="minorEastAsia" w:cstheme="minorEastAsia"/>
                <w:color w:val="000000"/>
                <w:kern w:val="0"/>
                <w:szCs w:val="21"/>
              </w:rPr>
              <w:t>Q/E/S</w:t>
            </w:r>
            <w:r>
              <w:rPr>
                <w:rFonts w:hint="eastAsia" w:asciiTheme="minorEastAsia" w:hAnsiTheme="minorEastAsia" w:eastAsiaTheme="minorEastAsia" w:cstheme="minorEastAsia"/>
                <w:color w:val="000000"/>
                <w:kern w:val="0"/>
                <w:szCs w:val="21"/>
              </w:rPr>
              <w:t xml:space="preserve"> 7.4</w:t>
            </w:r>
          </w:p>
          <w:p>
            <w:pPr>
              <w:spacing w:line="280" w:lineRule="exact"/>
              <w:rPr>
                <w:rFonts w:asciiTheme="minorEastAsia" w:hAnsiTheme="minorEastAsia" w:eastAsiaTheme="minorEastAsia" w:cstheme="minorEastAsia"/>
                <w:szCs w:val="21"/>
              </w:rPr>
            </w:pPr>
          </w:p>
        </w:tc>
        <w:tc>
          <w:tcPr>
            <w:tcW w:w="10943" w:type="dxa"/>
            <w:vAlign w:val="center"/>
          </w:tcPr>
          <w:p>
            <w:pPr>
              <w:numPr>
                <w:ilvl w:val="0"/>
                <w:numId w:val="1"/>
              </w:num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职业健康安全管理体系要求的后果。</w:t>
            </w:r>
          </w:p>
          <w:p>
            <w:pPr>
              <w:pStyle w:val="2"/>
              <w:numPr>
                <w:ilvl w:val="0"/>
                <w:numId w:val="1"/>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询问谢景海综合部经理，知道公司方针，知道所在的工作岗位的质量、环境、职业健康安全目标，也了解自己的工作好坏会影响组织质量、环境、职业健康安全管理体系的有效运行。</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确定了质量、环境、职业健康安全管理体系相关的内部和外部沟通，包括：沟通什么；何时沟通；与谁沟通；如何沟通；由谁负责，内外部沟通具体体现在公司内部工作会议、环境、职业健康安全会议、员工的培训、公司宣传栏等，与外部的沟通具体体现在合同签订、满意度调查。与环保部门、安监局及顾客和供方等方面。</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现场查阅内部交流：方针、目标完成情况、内审和管理评审报告、不符合信息等。</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szCs w:val="21"/>
              </w:rPr>
              <w:t>外部交流：通过发放《关于对相关方要求的告知书》与相关方就相关环境、质量、职业健康安全信息进行相互沟通。</w:t>
            </w:r>
          </w:p>
          <w:p>
            <w:pPr>
              <w:numPr>
                <w:ilvl w:val="0"/>
                <w:numId w:val="1"/>
              </w:numPr>
              <w:spacing w:line="280" w:lineRule="exact"/>
              <w:rPr>
                <w:rFonts w:asciiTheme="minorEastAsia" w:hAnsiTheme="minorEastAsia" w:eastAsiaTheme="minorEastAsia" w:cstheme="minorEastAsia"/>
              </w:rPr>
            </w:pPr>
            <w:r>
              <w:rPr>
                <w:rFonts w:hint="eastAsia" w:asciiTheme="minorEastAsia" w:hAnsiTheme="minorEastAsia" w:eastAsiaTheme="minorEastAsia" w:cstheme="minorEastAsia"/>
              </w:rPr>
              <w:t>公司提供各岗位职责，对各岗位能力规定的要求包括了专业技能、岗位资格、能力、工作经验等。提供《员工能力评定表》对公司骨干员工进行了能力的确认。</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抽查关键岗位综合部谢景海、技术部张立斌的岗位能力评定表，分别从年龄、教育程度、经验、经历、技能要求等方面进行了评定，最终确认结果：满足要求。</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总体评价：符合上岗要求，准予上岗。</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查2020年培训计划包括管理体系标准、体系导入培训、环境因素/危险源识别、评价与控制、内审员培训、安全培训、火灾应急培训等。</w:t>
            </w:r>
          </w:p>
          <w:p>
            <w:pPr>
              <w:spacing w:line="2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抽查《培训记录》：</w:t>
            </w:r>
          </w:p>
          <w:p>
            <w:pPr>
              <w:spacing w:line="2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1、2019.10.15日，培训内容：1、GB/T 19001-2019  质量管理体系 要求</w:t>
            </w:r>
          </w:p>
          <w:p>
            <w:pPr>
              <w:spacing w:line="2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2、GB/T 19000-2019  质量管理体系  基础和术语</w:t>
            </w:r>
          </w:p>
          <w:p>
            <w:pPr>
              <w:spacing w:line="2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3、GB/T 24001-2019/ ISO14001:2015  环境管理体系  要求</w:t>
            </w:r>
          </w:p>
          <w:p>
            <w:pPr>
              <w:spacing w:line="2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4、ISO 45001-2018/ OHSAS18001：2007 职业健康安全管理体系  要求</w:t>
            </w:r>
          </w:p>
          <w:p>
            <w:pPr>
              <w:spacing w:line="2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培训结束进行了口头考核，参加人员掌握了培训要求，考核结果：全部通过</w:t>
            </w:r>
          </w:p>
          <w:p>
            <w:pPr>
              <w:spacing w:line="2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2019.11.12培训内容公司管理手册、程序文件、记录表式填写等培训。通过考核，全体通过</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2019．8.28专业知识培训，参加人员掌握了培训要求，全体通过</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1、08月12</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员工手册讲解。全体人员参加。通过课堂提问及笔试的形式对理解情况进行考核，考核结果：全部通过。</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2、09月09</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内审员培训GB/T24001-2016、GB/T45001：2020的内审知识和相关技巧，内审控制程序，具体实施内审的各项细节和注意事项。全体参加。通过考试对理解情况进行考核，考核结果：全部通过。</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3、2020年5月16日三体系标准培训记录，培训内容：   GB/T19001-2016、GB/T24001-2016、ISO45001：2018标准的产生、发展、及在中国采用的现状；ISO标准对公司管理的重要意义。考核方式及成绩：</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口试，全部合格。</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上述培训记录均提供培训效果评价表。</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提供有新员工三级教育培训记录</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新员工：许文秀、路妍、陈蕾等2020.06.20</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培训内容：</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厂级教育：安全生产法、安全生产方针、目标、企业基本情况等</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部门教育：部门情况、安全生产管理制度等</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班组教育：班组特点、工作岗位要求、操作规程等</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培训评价：达到上岗要求</w:t>
            </w: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评价人：许芳  20</w:t>
            </w:r>
            <w:r>
              <w:rPr>
                <w:rFonts w:asciiTheme="minorEastAsia" w:hAnsiTheme="minorEastAsia" w:eastAsiaTheme="minorEastAsia" w:cstheme="minorEastAsia"/>
              </w:rPr>
              <w:t>20</w:t>
            </w:r>
            <w:r>
              <w:rPr>
                <w:rFonts w:hint="eastAsia" w:asciiTheme="minorEastAsia" w:hAnsiTheme="minorEastAsia" w:eastAsiaTheme="minorEastAsia" w:cstheme="minorEastAsia"/>
              </w:rPr>
              <w:t>.</w:t>
            </w:r>
            <w:r>
              <w:rPr>
                <w:rFonts w:asciiTheme="minorEastAsia" w:hAnsiTheme="minorEastAsia" w:eastAsiaTheme="minorEastAsia" w:cstheme="minorEastAsia"/>
              </w:rPr>
              <w:t>06</w:t>
            </w:r>
            <w:r>
              <w:rPr>
                <w:rFonts w:hint="eastAsia" w:asciiTheme="minorEastAsia" w:hAnsiTheme="minorEastAsia" w:eastAsiaTheme="minorEastAsia" w:cstheme="minorEastAsia"/>
              </w:rPr>
              <w:t>.</w:t>
            </w:r>
            <w:r>
              <w:rPr>
                <w:rFonts w:asciiTheme="minorEastAsia" w:hAnsiTheme="minorEastAsia" w:eastAsiaTheme="minorEastAsia" w:cstheme="minorEastAsia"/>
              </w:rPr>
              <w:t>20</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公司为电力工程技术咨询企业无特种作业人员</w:t>
            </w:r>
          </w:p>
          <w:p>
            <w:pPr>
              <w:pStyle w:val="2"/>
              <w:rPr>
                <w:rFonts w:asciiTheme="minorEastAsia" w:hAnsiTheme="minorEastAsia" w:eastAsiaTheme="minorEastAsia" w:cstheme="minorEastAsia"/>
                <w:szCs w:val="21"/>
              </w:rPr>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成文信息</w:t>
            </w:r>
          </w:p>
          <w:p>
            <w:pPr>
              <w:spacing w:line="280" w:lineRule="exact"/>
              <w:rPr>
                <w:rFonts w:ascii="宋体" w:hAnsi="宋体" w:cs="宋体"/>
                <w:szCs w:val="21"/>
              </w:rPr>
            </w:pPr>
          </w:p>
        </w:tc>
        <w:tc>
          <w:tcPr>
            <w:tcW w:w="960" w:type="dxa"/>
          </w:tcPr>
          <w:p>
            <w:pPr>
              <w:spacing w:line="280" w:lineRule="exact"/>
              <w:rPr>
                <w:rFonts w:ascii="宋体" w:hAnsi="宋体" w:cs="宋体"/>
                <w:color w:val="000000"/>
                <w:kern w:val="0"/>
                <w:szCs w:val="21"/>
              </w:rPr>
            </w:pPr>
            <w:r>
              <w:rPr>
                <w:rFonts w:ascii="宋体" w:hAnsi="宋体" w:cs="宋体"/>
                <w:color w:val="000000"/>
                <w:kern w:val="0"/>
                <w:szCs w:val="21"/>
              </w:rPr>
              <w:t>Q/E/S</w:t>
            </w:r>
            <w:r>
              <w:rPr>
                <w:rFonts w:hint="eastAsia" w:ascii="宋体" w:hAnsi="宋体" w:cs="宋体"/>
                <w:color w:val="000000"/>
                <w:kern w:val="0"/>
                <w:szCs w:val="21"/>
              </w:rPr>
              <w:t>7.5</w:t>
            </w:r>
          </w:p>
          <w:p>
            <w:pPr>
              <w:spacing w:line="280" w:lineRule="exact"/>
              <w:rPr>
                <w:rFonts w:ascii="宋体" w:hAnsi="宋体" w:cs="宋体"/>
                <w:szCs w:val="21"/>
              </w:rPr>
            </w:pPr>
          </w:p>
        </w:tc>
        <w:tc>
          <w:tcPr>
            <w:tcW w:w="10943" w:type="dxa"/>
            <w:vAlign w:val="center"/>
          </w:tcPr>
          <w:p>
            <w:pPr>
              <w:spacing w:line="280" w:lineRule="exact"/>
              <w:ind w:firstLine="420" w:firstLineChars="200"/>
            </w:pPr>
          </w:p>
          <w:p>
            <w:pPr>
              <w:spacing w:line="280" w:lineRule="exact"/>
              <w:ind w:firstLine="420" w:firstLineChars="200"/>
            </w:pPr>
            <w:r>
              <w:rPr>
                <w:rFonts w:hint="eastAsia"/>
              </w:rPr>
              <w:t>公司的管理手册及相关体系文件系统的描述了公司整个管理体系，内容包括：管理体系覆盖的生产、销售服务过程的部门和场所等。描述了管理体系中各个过程的相互作用关系。公司对整个体系进行了策划。形成了文件化的管理手册、程序文件、三级管理文件以及所要求的记录。</w:t>
            </w:r>
          </w:p>
          <w:p>
            <w:pPr>
              <w:spacing w:line="280" w:lineRule="exact"/>
              <w:ind w:firstLine="420" w:firstLineChars="200"/>
            </w:pPr>
            <w:r>
              <w:rPr>
                <w:rFonts w:hint="eastAsia"/>
              </w:rPr>
              <w:t>公司编制的程序文件符合标准要求的所有程序文件，第三层次文件对体系及其相互关系在手册中做了描述，记录表单满足公司目前的质量体系运行的需要。</w:t>
            </w:r>
          </w:p>
          <w:p>
            <w:pPr>
              <w:spacing w:line="280" w:lineRule="exact"/>
              <w:ind w:firstLine="420" w:firstLineChars="200"/>
            </w:pPr>
            <w:r>
              <w:rPr>
                <w:rFonts w:hint="eastAsia"/>
              </w:rPr>
              <w:t>公司文件分类：一级文件：管理手册。</w:t>
            </w:r>
          </w:p>
          <w:p>
            <w:pPr>
              <w:spacing w:line="280" w:lineRule="exact"/>
              <w:ind w:firstLine="420" w:firstLineChars="200"/>
            </w:pPr>
            <w:r>
              <w:rPr>
                <w:rFonts w:hint="eastAsia"/>
              </w:rPr>
              <w:t>二级文件：公司编制了程序文件，包括质量、环境、职业健康安全标准要求的所有程序。</w:t>
            </w:r>
          </w:p>
          <w:p>
            <w:pPr>
              <w:spacing w:line="280" w:lineRule="exact"/>
              <w:ind w:firstLine="420" w:firstLineChars="200"/>
            </w:pPr>
            <w:r>
              <w:rPr>
                <w:rFonts w:hint="eastAsia"/>
              </w:rPr>
              <w:t>三层次文件：制度和作业指导书，外来文件：包括产品国家标准，环境、职业健康安全及运行记录，满足公司目前的管理体系运行的需要。体系文件基本能保证有效性和效率的要求。</w:t>
            </w:r>
          </w:p>
          <w:p>
            <w:pPr>
              <w:spacing w:line="280" w:lineRule="exact"/>
              <w:ind w:firstLine="420" w:firstLineChars="200"/>
            </w:pPr>
            <w:r>
              <w:rPr>
                <w:rFonts w:hint="eastAsia"/>
              </w:rPr>
              <w:t>查公司按照文审要求对管理手册进行了修改，符合要求。</w:t>
            </w:r>
          </w:p>
          <w:p>
            <w:pPr>
              <w:spacing w:line="280" w:lineRule="exact"/>
              <w:ind w:firstLine="420" w:firstLineChars="200"/>
            </w:pPr>
            <w:r>
              <w:rPr>
                <w:rFonts w:hint="eastAsia"/>
              </w:rPr>
              <w:t>公司编制并实施了成文信息控制程序</w:t>
            </w:r>
            <w:r>
              <w:rPr>
                <w:rFonts w:hint="eastAsia"/>
              </w:rPr>
              <w:tab/>
            </w:r>
            <w:r>
              <w:rPr>
                <w:rFonts w:hint="eastAsia"/>
              </w:rPr>
              <w:t>JYDL -CX-7.5-01，文件包括：手册、体系程序文件、废弃物管理制度、安全教育管理制度等。</w:t>
            </w:r>
          </w:p>
          <w:p>
            <w:pPr>
              <w:spacing w:line="280" w:lineRule="exact"/>
              <w:ind w:firstLine="420" w:firstLineChars="200"/>
            </w:pPr>
            <w:r>
              <w:rPr>
                <w:rFonts w:hint="eastAsia"/>
              </w:rPr>
              <w:t>查管理手册、程序文件等文件，编 制- 综合部， 审核谢景海，批 准-袁敬中，2019年8月10日，发布实施。查文件编审批手续齐全、文件清晰、编号符合文件控制程序要求。查行政部文件，都有受控标识，有效版本。</w:t>
            </w:r>
          </w:p>
          <w:p>
            <w:pPr>
              <w:spacing w:line="280" w:lineRule="exact"/>
              <w:ind w:firstLine="420" w:firstLineChars="200"/>
            </w:pPr>
            <w:r>
              <w:rPr>
                <w:rFonts w:hint="eastAsia"/>
              </w:rPr>
              <w:t>查外来文件：与产品要求和质量、环境、职业健康安全管理体系运行有关的国家法律法规、标准等；行业、地方颁布的条例、标准、规范、规程、办法等，查外来文件具体有产品国家标准、环境管理体系标准、职业健康安全管理体系标准等。</w:t>
            </w:r>
          </w:p>
          <w:p>
            <w:pPr>
              <w:spacing w:line="280" w:lineRule="exact"/>
              <w:ind w:firstLine="420" w:firstLineChars="200"/>
            </w:pPr>
            <w:r>
              <w:rPr>
                <w:rFonts w:hint="eastAsia"/>
              </w:rPr>
              <w:t>查文件发放：综合部2019年8月10日下发了环境、职业健康安全管理手册、程序文件等文件。至今无更新。</w:t>
            </w:r>
          </w:p>
          <w:p>
            <w:pPr>
              <w:spacing w:line="280" w:lineRule="exact"/>
              <w:ind w:firstLine="420" w:firstLineChars="200"/>
            </w:pPr>
            <w:r>
              <w:rPr>
                <w:rFonts w:hint="eastAsia"/>
              </w:rPr>
              <w:t>查行政部文件有标识，检索方便，文件夹存放于文件柜内，防护符合要求。</w:t>
            </w:r>
          </w:p>
          <w:p>
            <w:pPr>
              <w:spacing w:line="280" w:lineRule="exact"/>
              <w:ind w:firstLine="420" w:firstLineChars="200"/>
            </w:pPr>
            <w:r>
              <w:rPr>
                <w:rFonts w:hint="eastAsia"/>
              </w:rPr>
              <w:t>公司按《记录管理程序》实施对管理体系记录的标识、贮存、保护、检索、保存期限和处置等按规定实施。</w:t>
            </w:r>
          </w:p>
          <w:p>
            <w:pPr>
              <w:spacing w:line="280" w:lineRule="exact"/>
              <w:ind w:firstLine="420" w:firstLineChars="200"/>
            </w:pPr>
            <w:r>
              <w:rPr>
                <w:rFonts w:hint="eastAsia"/>
              </w:rPr>
              <w:t>公司提供《记录清单》—有内审报告、供方评价表、危险源清单、环境因素清单、管理评审报告等记录。明确了记录名称、编号、使用保存部门、保存期限等，并经审核后使用。经查至今无更换作废记录。</w:t>
            </w:r>
          </w:p>
          <w:p>
            <w:pPr>
              <w:spacing w:line="280" w:lineRule="exact"/>
              <w:ind w:firstLine="420" w:firstLineChars="200"/>
            </w:pPr>
            <w:r>
              <w:rPr>
                <w:rFonts w:hint="eastAsia"/>
              </w:rPr>
              <w:t>公司各种记录由各使用部门保存，查阅行政部保存的记录环境情况，归档文件、记录存放于通风、干燥的文件柜内，环境干燥、通风，符合文件归档的要求。</w:t>
            </w:r>
          </w:p>
          <w:p>
            <w:pPr>
              <w:spacing w:line="280" w:lineRule="exact"/>
              <w:ind w:firstLine="420" w:firstLineChars="200"/>
            </w:pPr>
            <w:r>
              <w:rPr>
                <w:rFonts w:hint="eastAsia"/>
              </w:rPr>
              <w:t>抽查归档文件整理情况，行政部已将文件进行了分类，按记录的名称、编号及时间装文件袋进行归档，记录清洁，字迹清晰，检索方便，抽查有内部审核资料、管理评审资料等，均已装订成册。</w:t>
            </w:r>
          </w:p>
          <w:p>
            <w:pPr>
              <w:spacing w:line="280" w:lineRule="exact"/>
              <w:ind w:firstLine="420" w:firstLineChars="200"/>
            </w:pPr>
            <w:r>
              <w:rPr>
                <w:rFonts w:hint="eastAsia"/>
              </w:rPr>
              <w:t>外来记录（如顾客投诉记录等）由相关部门负责保管、归档。</w:t>
            </w:r>
          </w:p>
          <w:p>
            <w:pPr>
              <w:spacing w:line="280" w:lineRule="exact"/>
              <w:ind w:firstLine="420" w:firstLineChars="200"/>
            </w:pPr>
            <w:r>
              <w:rPr>
                <w:rFonts w:hint="eastAsia"/>
              </w:rPr>
              <w:t>原件记录原则上不外借，其它记录查阅须有关部门同意后，方可查阅。</w:t>
            </w:r>
          </w:p>
          <w:p>
            <w:pPr>
              <w:spacing w:line="280" w:lineRule="exact"/>
              <w:ind w:firstLine="420" w:firstLineChars="200"/>
            </w:pPr>
            <w:r>
              <w:rPr>
                <w:rFonts w:hint="eastAsia"/>
              </w:rPr>
              <w:t>提供了作废文件记录：有作废理由、作废日期及申请部门、审核人签字。记录控制基本有效。</w:t>
            </w:r>
          </w:p>
          <w:p>
            <w:pPr>
              <w:pStyle w:val="2"/>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pPr>
              <w:spacing w:line="280" w:lineRule="exact"/>
              <w:rPr>
                <w:szCs w:val="21"/>
              </w:rPr>
            </w:pPr>
            <w:r>
              <w:rPr>
                <w:rFonts w:hint="eastAsia"/>
                <w:szCs w:val="21"/>
              </w:rPr>
              <w:t>运行策划和控制</w:t>
            </w:r>
          </w:p>
          <w:p>
            <w:pPr>
              <w:spacing w:line="280" w:lineRule="exact"/>
              <w:rPr>
                <w:rFonts w:ascii="宋体" w:hAnsi="宋体" w:cs="宋体"/>
                <w:szCs w:val="21"/>
              </w:rPr>
            </w:pPr>
          </w:p>
        </w:tc>
        <w:tc>
          <w:tcPr>
            <w:tcW w:w="960" w:type="dxa"/>
          </w:tcPr>
          <w:p>
            <w:pPr>
              <w:spacing w:line="280" w:lineRule="exact"/>
              <w:rPr>
                <w:szCs w:val="21"/>
              </w:rPr>
            </w:pPr>
            <w:r>
              <w:rPr>
                <w:szCs w:val="21"/>
              </w:rPr>
              <w:t>ES</w:t>
            </w:r>
            <w:r>
              <w:rPr>
                <w:rFonts w:hint="eastAsia"/>
                <w:szCs w:val="21"/>
              </w:rPr>
              <w:t>8.1</w:t>
            </w:r>
          </w:p>
          <w:p>
            <w:pPr>
              <w:spacing w:line="280" w:lineRule="exact"/>
              <w:rPr>
                <w:szCs w:val="21"/>
              </w:rPr>
            </w:pPr>
          </w:p>
          <w:p>
            <w:pPr>
              <w:spacing w:line="280" w:lineRule="exact"/>
              <w:rPr>
                <w:rFonts w:ascii="宋体" w:hAnsi="宋体" w:cs="宋体"/>
                <w:szCs w:val="21"/>
              </w:rPr>
            </w:pPr>
          </w:p>
        </w:tc>
        <w:tc>
          <w:tcPr>
            <w:tcW w:w="10943" w:type="dxa"/>
            <w:vAlign w:val="center"/>
          </w:tcPr>
          <w:p>
            <w:pPr>
              <w:ind w:firstLine="420" w:firstLineChars="200"/>
              <w:rPr>
                <w:szCs w:val="21"/>
              </w:rPr>
            </w:pPr>
            <w:r>
              <w:rPr>
                <w:rFonts w:hint="eastAsia"/>
                <w:szCs w:val="21"/>
              </w:rPr>
              <w:t>本部门涉及员工体检、车辆管理规定、消防器材检查等主要环境因素及危险源的运行控制及监督工作。</w:t>
            </w:r>
          </w:p>
          <w:p>
            <w:pPr>
              <w:ind w:firstLine="420" w:firstLineChars="200"/>
              <w:rPr>
                <w:szCs w:val="21"/>
              </w:rPr>
            </w:pPr>
            <w:r>
              <w:rPr>
                <w:rFonts w:hint="eastAsia"/>
                <w:szCs w:val="21"/>
              </w:rPr>
              <w:t>运行控制情况：定期检查电源线老化情况、火灾隐患、疫情期间员工PPE；办公区域内配置的灭火器,在有效期内。</w:t>
            </w:r>
          </w:p>
          <w:p>
            <w:pPr>
              <w:ind w:firstLine="420" w:firstLineChars="200"/>
              <w:rPr>
                <w:szCs w:val="21"/>
              </w:rPr>
            </w:pPr>
          </w:p>
          <w:p>
            <w:pPr>
              <w:ind w:firstLine="420" w:firstLineChars="200"/>
              <w:rPr>
                <w:szCs w:val="21"/>
              </w:rPr>
            </w:pPr>
            <w:r>
              <w:rPr>
                <w:rFonts w:hint="eastAsia"/>
                <w:szCs w:val="21"/>
              </w:rPr>
              <w:t>查运行控制情况：</w:t>
            </w:r>
          </w:p>
          <w:p>
            <w:pPr>
              <w:ind w:firstLine="420" w:firstLineChars="200"/>
              <w:rPr>
                <w:szCs w:val="21"/>
              </w:rPr>
            </w:pPr>
            <w:r>
              <w:rPr>
                <w:rFonts w:hint="eastAsia"/>
                <w:szCs w:val="21"/>
              </w:rPr>
              <w:t>办公过程使用的电器如：空调、电脑、灯具均符合安全设计要求，使用过程注意安全，预防触电结火灾隐患排查，工作时间平均每天8小时；</w:t>
            </w:r>
          </w:p>
          <w:p>
            <w:pPr>
              <w:ind w:firstLine="420" w:firstLineChars="200"/>
              <w:rPr>
                <w:szCs w:val="21"/>
              </w:rPr>
            </w:pPr>
            <w:r>
              <w:rPr>
                <w:rFonts w:hint="eastAsia"/>
                <w:szCs w:val="21"/>
              </w:rPr>
              <w:t>办公用品按要求由综合部负责发放，作好记录；</w:t>
            </w:r>
          </w:p>
          <w:p>
            <w:pPr>
              <w:ind w:firstLine="420" w:firstLineChars="200"/>
              <w:rPr>
                <w:szCs w:val="21"/>
              </w:rPr>
            </w:pPr>
            <w:r>
              <w:rPr>
                <w:rFonts w:hint="eastAsia"/>
                <w:szCs w:val="21"/>
              </w:rPr>
              <w:t>相关方施加影响：公司能够控制或能够施加影响的相关方有周边商户、固体废弃物处理等。提供了“致相关方的公开信”，督促影响各相关方按照职业健康管理体系要求对相关方施加职业健康影响。</w:t>
            </w:r>
          </w:p>
          <w:p>
            <w:pPr>
              <w:ind w:firstLine="420" w:firstLineChars="200"/>
              <w:rPr>
                <w:szCs w:val="21"/>
              </w:rPr>
            </w:pPr>
            <w:r>
              <w:rPr>
                <w:rFonts w:hint="eastAsia"/>
                <w:szCs w:val="21"/>
              </w:rPr>
              <w:t>职业健康的危险源控制过程贯穿整改过程的生命周期</w:t>
            </w:r>
          </w:p>
          <w:p>
            <w:pPr>
              <w:ind w:firstLine="420" w:firstLineChars="200"/>
              <w:rPr>
                <w:szCs w:val="21"/>
              </w:rPr>
            </w:pPr>
            <w:r>
              <w:rPr>
                <w:rFonts w:hint="eastAsia"/>
                <w:szCs w:val="21"/>
              </w:rPr>
              <w:t>为销售人员上人身意外险</w:t>
            </w:r>
          </w:p>
          <w:p>
            <w:pPr>
              <w:ind w:firstLine="420" w:firstLineChars="200"/>
              <w:rPr>
                <w:szCs w:val="21"/>
              </w:rPr>
            </w:pPr>
            <w:r>
              <w:rPr>
                <w:rFonts w:hint="eastAsia"/>
                <w:szCs w:val="21"/>
              </w:rPr>
              <w:t>查到公司为员工缴纳了养老、工伤、医疗等保险。</w:t>
            </w:r>
          </w:p>
          <w:p>
            <w:pPr>
              <w:ind w:firstLine="420" w:firstLineChars="200"/>
              <w:rPr>
                <w:szCs w:val="21"/>
              </w:rPr>
            </w:pPr>
            <w:r>
              <w:rPr>
                <w:rFonts w:hint="eastAsia"/>
                <w:szCs w:val="21"/>
              </w:rPr>
              <w:t>提供了缴纳保险的票据及社会保险在职人员信息统计表。</w:t>
            </w:r>
          </w:p>
          <w:p>
            <w:pPr>
              <w:ind w:firstLine="420" w:firstLineChars="200"/>
              <w:rPr>
                <w:szCs w:val="21"/>
              </w:rPr>
            </w:pPr>
            <w:r>
              <w:rPr>
                <w:rFonts w:hint="eastAsia"/>
                <w:szCs w:val="21"/>
              </w:rPr>
              <w:t>驾驶员要求遵守道路交通安全法，不违章驾车，驾驶证和车辆定期年审，确保行车安全。</w:t>
            </w:r>
          </w:p>
          <w:p>
            <w:pPr>
              <w:ind w:firstLine="420" w:firstLineChars="200"/>
              <w:rPr>
                <w:szCs w:val="21"/>
              </w:rPr>
            </w:pPr>
            <w:r>
              <w:rPr>
                <w:rFonts w:hint="eastAsia"/>
                <w:szCs w:val="21"/>
              </w:rPr>
              <w:t xml:space="preserve">公司无食堂  </w:t>
            </w:r>
          </w:p>
          <w:p>
            <w:pPr>
              <w:ind w:firstLine="420" w:firstLineChars="200"/>
              <w:rPr>
                <w:szCs w:val="21"/>
              </w:rPr>
            </w:pPr>
            <w:r>
              <w:rPr>
                <w:rFonts w:hint="eastAsia"/>
                <w:szCs w:val="21"/>
              </w:rPr>
              <w:t>提供财务资金保障情况：</w:t>
            </w:r>
          </w:p>
          <w:p>
            <w:pPr>
              <w:ind w:firstLine="420" w:firstLineChars="200"/>
              <w:rPr>
                <w:szCs w:val="21"/>
              </w:rPr>
            </w:pPr>
            <w:r>
              <w:rPr>
                <w:rFonts w:hint="eastAsia"/>
                <w:szCs w:val="21"/>
              </w:rPr>
              <w:t>项目</w:t>
            </w:r>
            <w:r>
              <w:rPr>
                <w:rFonts w:hint="eastAsia"/>
                <w:szCs w:val="21"/>
              </w:rPr>
              <w:tab/>
            </w:r>
            <w:r>
              <w:rPr>
                <w:rFonts w:hint="eastAsia"/>
                <w:szCs w:val="21"/>
              </w:rPr>
              <w:t>实际投入（单位：元）</w:t>
            </w:r>
          </w:p>
          <w:p>
            <w:pPr>
              <w:ind w:firstLine="420" w:firstLineChars="200"/>
              <w:rPr>
                <w:szCs w:val="21"/>
              </w:rPr>
            </w:pPr>
            <w:r>
              <w:rPr>
                <w:rFonts w:hint="eastAsia"/>
                <w:szCs w:val="21"/>
              </w:rPr>
              <w:t>培训费</w:t>
            </w:r>
            <w:r>
              <w:rPr>
                <w:rFonts w:hint="eastAsia"/>
                <w:szCs w:val="21"/>
              </w:rPr>
              <w:tab/>
            </w:r>
            <w:r>
              <w:rPr>
                <w:rFonts w:hint="eastAsia"/>
                <w:szCs w:val="21"/>
              </w:rPr>
              <w:t>10000</w:t>
            </w:r>
          </w:p>
          <w:p>
            <w:pPr>
              <w:ind w:firstLine="420" w:firstLineChars="200"/>
              <w:rPr>
                <w:szCs w:val="21"/>
              </w:rPr>
            </w:pPr>
            <w:r>
              <w:rPr>
                <w:rFonts w:hint="eastAsia"/>
                <w:szCs w:val="21"/>
              </w:rPr>
              <w:t>体检费</w:t>
            </w:r>
            <w:r>
              <w:rPr>
                <w:rFonts w:hint="eastAsia"/>
                <w:szCs w:val="21"/>
              </w:rPr>
              <w:tab/>
            </w:r>
            <w:r>
              <w:rPr>
                <w:rFonts w:hint="eastAsia"/>
                <w:szCs w:val="21"/>
              </w:rPr>
              <w:t>8000</w:t>
            </w:r>
          </w:p>
          <w:p>
            <w:pPr>
              <w:ind w:firstLine="420" w:firstLineChars="200"/>
              <w:rPr>
                <w:szCs w:val="21"/>
              </w:rPr>
            </w:pPr>
            <w:r>
              <w:rPr>
                <w:rFonts w:hint="eastAsia"/>
                <w:szCs w:val="21"/>
              </w:rPr>
              <w:t>劳动保护用品投入</w:t>
            </w:r>
            <w:r>
              <w:rPr>
                <w:rFonts w:hint="eastAsia"/>
                <w:szCs w:val="21"/>
              </w:rPr>
              <w:tab/>
            </w:r>
            <w:r>
              <w:rPr>
                <w:rFonts w:hint="eastAsia"/>
                <w:szCs w:val="21"/>
              </w:rPr>
              <w:t xml:space="preserve">7000  </w:t>
            </w:r>
          </w:p>
          <w:p>
            <w:pPr>
              <w:ind w:firstLine="420" w:firstLineChars="200"/>
              <w:rPr>
                <w:szCs w:val="21"/>
              </w:rPr>
            </w:pPr>
            <w:r>
              <w:rPr>
                <w:rFonts w:hint="eastAsia"/>
                <w:szCs w:val="21"/>
              </w:rPr>
              <w:t>现场与公司的财务经理沟通，公司建立了完善的财务管理制度，公司的环境及职业健康安全资金保障充足。</w:t>
            </w:r>
          </w:p>
          <w:p>
            <w:pPr>
              <w:ind w:firstLine="420" w:firstLineChars="200"/>
              <w:rPr>
                <w:szCs w:val="21"/>
              </w:rPr>
            </w:pPr>
            <w:r>
              <w:rPr>
                <w:rFonts w:hint="eastAsia"/>
                <w:szCs w:val="21"/>
              </w:rPr>
              <w:t>职业健康安全运行正常</w:t>
            </w:r>
          </w:p>
          <w:p>
            <w:pPr>
              <w:spacing w:before="120" w:line="160" w:lineRule="exact"/>
              <w:rPr>
                <w:rFonts w:hint="eastAsia" w:ascii="方正仿宋简体" w:eastAsia="方正仿宋简体"/>
                <w:b/>
                <w:color w:val="FF0000"/>
              </w:rPr>
            </w:pPr>
          </w:p>
          <w:p>
            <w:pPr>
              <w:rPr>
                <w:rFonts w:hint="eastAsia" w:eastAsia="宋体" w:cs="Lucida Sans"/>
                <w:b/>
                <w:bCs/>
                <w:color w:val="FF0000"/>
                <w:szCs w:val="22"/>
              </w:rPr>
            </w:pPr>
            <w:r>
              <w:rPr>
                <w:rFonts w:hint="eastAsia" w:eastAsia="宋体" w:cs="Lucida Sans"/>
                <w:b/>
                <w:bCs/>
                <w:color w:val="FF0000"/>
                <w:szCs w:val="22"/>
              </w:rPr>
              <w:t>查综合部</w:t>
            </w:r>
            <w:r>
              <w:rPr>
                <w:rFonts w:hint="eastAsia" w:eastAsia="宋体" w:cs="Lucida Sans"/>
                <w:b/>
                <w:bCs/>
                <w:color w:val="FF0000"/>
                <w:szCs w:val="22"/>
                <w:lang w:val="en-US" w:eastAsia="zh-CN"/>
              </w:rPr>
              <w:t>办公区域，</w:t>
            </w:r>
            <w:r>
              <w:rPr>
                <w:rFonts w:hint="eastAsia" w:eastAsia="宋体" w:cs="Lucida Sans"/>
                <w:b/>
                <w:bCs/>
                <w:color w:val="FF0000"/>
                <w:szCs w:val="22"/>
              </w:rPr>
              <w:t>没有配置灭火器，不符合</w:t>
            </w:r>
          </w:p>
          <w:p>
            <w:pPr>
              <w:spacing w:before="120" w:line="160" w:lineRule="exact"/>
              <w:rPr>
                <w:rFonts w:ascii="宋体" w:hAnsi="宋体"/>
                <w:szCs w:val="21"/>
              </w:rPr>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pPr>
              <w:spacing w:line="280" w:lineRule="exact"/>
              <w:rPr>
                <w:szCs w:val="21"/>
              </w:rPr>
            </w:pPr>
            <w:r>
              <w:rPr>
                <w:rFonts w:hint="eastAsia"/>
                <w:szCs w:val="21"/>
              </w:rPr>
              <w:t>应急准备和响应</w:t>
            </w:r>
          </w:p>
          <w:p>
            <w:pPr>
              <w:spacing w:line="280" w:lineRule="exact"/>
              <w:rPr>
                <w:rFonts w:ascii="宋体" w:hAnsi="宋体" w:cs="宋体"/>
                <w:szCs w:val="21"/>
              </w:rPr>
            </w:pPr>
          </w:p>
        </w:tc>
        <w:tc>
          <w:tcPr>
            <w:tcW w:w="960" w:type="dxa"/>
          </w:tcPr>
          <w:p>
            <w:pPr>
              <w:spacing w:line="280" w:lineRule="exact"/>
              <w:rPr>
                <w:szCs w:val="21"/>
              </w:rPr>
            </w:pPr>
            <w:r>
              <w:rPr>
                <w:szCs w:val="21"/>
              </w:rPr>
              <w:t>ES</w:t>
            </w:r>
            <w:r>
              <w:rPr>
                <w:rFonts w:hint="eastAsia"/>
                <w:szCs w:val="21"/>
              </w:rPr>
              <w:t>8.2</w:t>
            </w:r>
          </w:p>
          <w:p>
            <w:pPr>
              <w:spacing w:line="280" w:lineRule="exact"/>
              <w:rPr>
                <w:rFonts w:ascii="宋体" w:hAnsi="宋体" w:cs="宋体"/>
                <w:szCs w:val="21"/>
              </w:rPr>
            </w:pPr>
          </w:p>
        </w:tc>
        <w:tc>
          <w:tcPr>
            <w:tcW w:w="10943" w:type="dxa"/>
            <w:vAlign w:val="center"/>
          </w:tcPr>
          <w:p>
            <w:pPr>
              <w:rPr>
                <w:rFonts w:cs="Lucida Sans"/>
              </w:rPr>
            </w:pPr>
            <w:r>
              <w:rPr>
                <w:rFonts w:hint="eastAsia" w:cs="Lucida Sans"/>
              </w:rPr>
              <w:t>公司编制了火灾、触电、机械伤害应急预案，查看内容基本符合要求。查应急预案评估报告，通过以上评估，公司应急预案的制定基本合理。</w:t>
            </w:r>
          </w:p>
          <w:p>
            <w:pPr>
              <w:rPr>
                <w:rFonts w:cs="Lucida Sans"/>
              </w:rPr>
            </w:pPr>
            <w:r>
              <w:rPr>
                <w:rFonts w:hint="eastAsia" w:cs="Lucida Sans"/>
              </w:rPr>
              <w:t xml:space="preserve">参加了公司组织的消防演练，均接受过培训，知晓灭火器使用和各种火情的灭火方法。 </w:t>
            </w:r>
          </w:p>
          <w:p>
            <w:pPr>
              <w:rPr>
                <w:rFonts w:cs="Lucida Sans"/>
              </w:rPr>
            </w:pPr>
            <w:r>
              <w:rPr>
                <w:rFonts w:hint="eastAsia" w:cs="Lucida Sans"/>
              </w:rPr>
              <w:t>提供了《触电事故应急救援预案》及《火灾应急处理预案》包括发生火灾及触电等紧急情况的处置和应急抢救方案等内容。</w:t>
            </w:r>
          </w:p>
          <w:p>
            <w:pPr>
              <w:rPr>
                <w:rFonts w:cs="Lucida Sans"/>
              </w:rPr>
            </w:pPr>
            <w:r>
              <w:rPr>
                <w:rFonts w:hint="eastAsia" w:cs="Lucida Sans"/>
              </w:rPr>
              <w:t>出示了“应急演练记录”</w:t>
            </w:r>
          </w:p>
          <w:p>
            <w:pPr>
              <w:rPr>
                <w:rFonts w:cs="Lucida Sans"/>
              </w:rPr>
            </w:pPr>
            <w:r>
              <w:rPr>
                <w:rFonts w:hint="eastAsia" w:cs="Lucida Sans"/>
              </w:rPr>
              <w:t xml:space="preserve">组织部门：综合部  演练主持人：谢景海 </w:t>
            </w:r>
          </w:p>
          <w:p>
            <w:pPr>
              <w:rPr>
                <w:rFonts w:cs="Lucida Sans"/>
              </w:rPr>
            </w:pPr>
            <w:r>
              <w:rPr>
                <w:rFonts w:hint="eastAsia" w:cs="Lucida Sans"/>
              </w:rPr>
              <w:t xml:space="preserve">参加演练人员名单：公司办公区所有员工。    </w:t>
            </w:r>
          </w:p>
          <w:p>
            <w:pPr>
              <w:rPr>
                <w:rFonts w:cs="Lucida Sans"/>
              </w:rPr>
            </w:pPr>
            <w:r>
              <w:rPr>
                <w:rFonts w:hint="eastAsia" w:cs="Lucida Sans"/>
              </w:rPr>
              <w:t>1.演练目的：</w:t>
            </w:r>
          </w:p>
          <w:p>
            <w:pPr>
              <w:rPr>
                <w:rFonts w:hint="eastAsia" w:cs="Lucida Sans"/>
              </w:rPr>
            </w:pPr>
            <w:r>
              <w:rPr>
                <w:rFonts w:hint="eastAsia" w:cs="Lucida Sans"/>
              </w:rPr>
              <w:t>为了使员工了解火灾发生时的应急自救知识，掌握应对火灾发生时采取的防护措施和方法，最大限度地降低火灾爆炸带来的损失，从而提高员工紧急避险、自救自护和应变的能力。</w:t>
            </w:r>
          </w:p>
          <w:p>
            <w:pPr>
              <w:rPr>
                <w:rFonts w:cs="Lucida Sans"/>
              </w:rPr>
            </w:pPr>
            <w:r>
              <w:rPr>
                <w:rFonts w:hint="eastAsia" w:cs="Lucida Sans"/>
              </w:rPr>
              <w:t>内容：模拟综合部不慎发生火情，最先发现的人扑救没有效果，于是呼救。其他同志听到后有的立即取下楼层灭火器进行灭火。在综合部的总经理和销售部经理进行现场指挥，经过大家共同努力将火扑灭，由于火势不大，没有拨打119报警和惊动物业公司。</w:t>
            </w:r>
          </w:p>
          <w:p>
            <w:pPr>
              <w:rPr>
                <w:rFonts w:cs="Lucida Sans"/>
              </w:rPr>
            </w:pPr>
            <w:r>
              <w:rPr>
                <w:rFonts w:hint="eastAsia" w:cs="Lucida Sans"/>
              </w:rPr>
              <w:t>2.演练小结：参加人员基本了解，掌握了紧急心肺复苏的方法和现场撤离路线。</w:t>
            </w:r>
          </w:p>
          <w:p>
            <w:pPr>
              <w:rPr>
                <w:rFonts w:cs="Lucida Sans"/>
              </w:rPr>
            </w:pPr>
            <w:r>
              <w:rPr>
                <w:rFonts w:hint="eastAsia" w:cs="Lucida Sans"/>
              </w:rPr>
              <w:t>3.存在的问题及整改措施：义务安全员应经常检查火灾隐患，发现问题及时整改，今后应定期进行火灾应急演练。争取得到周边单位的配合和参与。以提高公司员工的火灾防范安全意识。</w:t>
            </w:r>
          </w:p>
          <w:p>
            <w:pPr>
              <w:rPr>
                <w:rFonts w:cs="Lucida Sans"/>
              </w:rPr>
            </w:pPr>
            <w:r>
              <w:rPr>
                <w:rFonts w:hint="eastAsia" w:cs="Lucida Sans"/>
              </w:rPr>
              <w:t>填写部门：综合部  填写日期：2020年09月23日</w:t>
            </w:r>
          </w:p>
          <w:p>
            <w:pPr>
              <w:spacing w:line="360" w:lineRule="auto"/>
              <w:ind w:firstLine="420" w:firstLineChars="200"/>
              <w:rPr>
                <w:rFonts w:ascii="宋体" w:hAnsi="宋体"/>
                <w:szCs w:val="21"/>
              </w:rPr>
            </w:pPr>
            <w:r>
              <w:rPr>
                <w:rFonts w:hint="eastAsia" w:cs="Lucida Sans"/>
              </w:rPr>
              <w:t>提供了“应急预案评审记录”，演练后对预案适宜性充分性进行了评审，结论：预案适用无需修订</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vAlign w:val="center"/>
          </w:tcPr>
          <w:p>
            <w:r>
              <w:rPr>
                <w:rFonts w:hint="eastAsia"/>
                <w:szCs w:val="21"/>
              </w:rPr>
              <w:t>合规性评价</w:t>
            </w:r>
          </w:p>
        </w:tc>
        <w:tc>
          <w:tcPr>
            <w:tcW w:w="960" w:type="dxa"/>
            <w:vAlign w:val="center"/>
          </w:tcPr>
          <w:p>
            <w:pPr>
              <w:rPr>
                <w:szCs w:val="21"/>
              </w:rPr>
            </w:pPr>
            <w:r>
              <w:rPr>
                <w:szCs w:val="21"/>
              </w:rPr>
              <w:t>E</w:t>
            </w:r>
            <w:r>
              <w:rPr>
                <w:rFonts w:hint="eastAsia"/>
                <w:szCs w:val="21"/>
              </w:rPr>
              <w:t>S9.1.2</w:t>
            </w:r>
          </w:p>
          <w:p/>
        </w:tc>
        <w:tc>
          <w:tcPr>
            <w:tcW w:w="10943" w:type="dxa"/>
            <w:vAlign w:val="center"/>
          </w:tcPr>
          <w:p>
            <w:pPr>
              <w:spacing w:line="400" w:lineRule="exact"/>
              <w:ind w:firstLine="420" w:firstLineChars="200"/>
              <w:rPr>
                <w:szCs w:val="21"/>
              </w:rPr>
            </w:pPr>
            <w:r>
              <w:rPr>
                <w:rFonts w:hint="eastAsia"/>
                <w:szCs w:val="21"/>
              </w:rPr>
              <w:t>编制《合规性评价控制程序》</w:t>
            </w:r>
          </w:p>
          <w:p>
            <w:pPr>
              <w:spacing w:line="400" w:lineRule="exact"/>
              <w:ind w:firstLine="420" w:firstLineChars="200"/>
              <w:rPr>
                <w:szCs w:val="21"/>
              </w:rPr>
            </w:pPr>
            <w:r>
              <w:rPr>
                <w:rFonts w:hint="eastAsia"/>
                <w:szCs w:val="21"/>
              </w:rPr>
              <w:t>提供《合规性评价记录》及《合规性评价报告》2019年8月10日，评价依据：</w:t>
            </w:r>
          </w:p>
          <w:p>
            <w:pPr>
              <w:spacing w:line="400" w:lineRule="exact"/>
              <w:ind w:firstLine="420" w:firstLineChars="200"/>
              <w:rPr>
                <w:szCs w:val="21"/>
              </w:rPr>
            </w:pPr>
            <w:r>
              <w:rPr>
                <w:rFonts w:hint="eastAsia"/>
                <w:szCs w:val="21"/>
              </w:rPr>
              <w:t>适用的环境、职业健康安全法律 、适用的环境法律、共同执行法规等。</w:t>
            </w:r>
          </w:p>
          <w:p>
            <w:pPr>
              <w:spacing w:line="400" w:lineRule="exact"/>
              <w:ind w:firstLine="420" w:firstLineChars="20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spacing w:line="400" w:lineRule="exact"/>
              <w:ind w:firstLine="420" w:firstLineChars="200"/>
              <w:rPr>
                <w:szCs w:val="21"/>
              </w:rPr>
            </w:pPr>
            <w:r>
              <w:rPr>
                <w:rFonts w:hint="eastAsia"/>
                <w:szCs w:val="21"/>
              </w:rPr>
              <w:t>评价结论：法律法规和其它要求得到遵守和执行，法律法规适宜。</w:t>
            </w:r>
          </w:p>
          <w:p>
            <w:r>
              <w:rPr>
                <w:rFonts w:hint="eastAsia"/>
                <w:szCs w:val="21"/>
              </w:rPr>
              <w:t>评价人员：许芳、袁敬忠等。经查合规性评价基本符合要求。</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内部审核</w:t>
            </w:r>
          </w:p>
          <w:p>
            <w:pPr>
              <w:spacing w:line="280" w:lineRule="exact"/>
              <w:rPr>
                <w:rFonts w:ascii="宋体" w:hAnsi="宋体" w:cs="宋体"/>
                <w:color w:val="000000"/>
                <w:kern w:val="0"/>
                <w:szCs w:val="21"/>
              </w:rPr>
            </w:pPr>
          </w:p>
          <w:p>
            <w:pPr>
              <w:spacing w:line="280" w:lineRule="exact"/>
              <w:rPr>
                <w:szCs w:val="21"/>
              </w:rPr>
            </w:pPr>
          </w:p>
        </w:tc>
        <w:tc>
          <w:tcPr>
            <w:tcW w:w="960" w:type="dxa"/>
          </w:tcPr>
          <w:p>
            <w:pPr>
              <w:spacing w:line="280" w:lineRule="exact"/>
              <w:rPr>
                <w:rFonts w:ascii="宋体" w:hAnsi="宋体" w:cs="宋体"/>
                <w:kern w:val="0"/>
                <w:szCs w:val="21"/>
              </w:rPr>
            </w:pPr>
            <w:r>
              <w:rPr>
                <w:rFonts w:ascii="宋体" w:hAnsi="宋体" w:cs="宋体"/>
                <w:kern w:val="0"/>
                <w:szCs w:val="21"/>
              </w:rPr>
              <w:t>Q/E/S</w:t>
            </w:r>
            <w:r>
              <w:rPr>
                <w:rFonts w:hint="eastAsia" w:ascii="宋体" w:hAnsi="宋体" w:cs="宋体"/>
                <w:kern w:val="0"/>
                <w:szCs w:val="21"/>
              </w:rPr>
              <w:t>9.2</w:t>
            </w:r>
          </w:p>
          <w:p>
            <w:pPr>
              <w:spacing w:line="280" w:lineRule="exact"/>
              <w:rPr>
                <w:szCs w:val="21"/>
              </w:rPr>
            </w:pPr>
          </w:p>
        </w:tc>
        <w:tc>
          <w:tcPr>
            <w:tcW w:w="10943" w:type="dxa"/>
            <w:vAlign w:val="center"/>
          </w:tcPr>
          <w:p>
            <w:pPr>
              <w:spacing w:line="360" w:lineRule="auto"/>
              <w:ind w:firstLine="420" w:firstLineChars="200"/>
              <w:rPr>
                <w:szCs w:val="21"/>
              </w:rPr>
            </w:pPr>
            <w:r>
              <w:rPr>
                <w:rFonts w:hint="eastAsia"/>
                <w:szCs w:val="21"/>
              </w:rPr>
              <w:t>公司编制并实施了《内部审核控制程序  》，并能按标准规定对内部审核的策划、实施、人员安排与资质、内部审核的记录、不符合项的分析与验证，以及审核的结论等开展内部审核。</w:t>
            </w:r>
          </w:p>
          <w:p>
            <w:pPr>
              <w:spacing w:line="360" w:lineRule="auto"/>
              <w:ind w:firstLine="420" w:firstLineChars="200"/>
              <w:rPr>
                <w:szCs w:val="21"/>
              </w:rPr>
            </w:pPr>
            <w:r>
              <w:rPr>
                <w:rFonts w:hint="eastAsia"/>
                <w:szCs w:val="21"/>
              </w:rPr>
              <w:t>由管理者代表许芳定期组织内部审核，一般每年进行一次内部审核，时间间隔不超过12个月，抽查最近一次的内部审核情况：</w:t>
            </w:r>
          </w:p>
          <w:p>
            <w:pPr>
              <w:spacing w:line="360" w:lineRule="auto"/>
              <w:ind w:firstLine="420" w:firstLineChars="200"/>
              <w:rPr>
                <w:szCs w:val="21"/>
              </w:rPr>
            </w:pPr>
            <w:r>
              <w:rPr>
                <w:rFonts w:hint="eastAsia"/>
                <w:szCs w:val="21"/>
              </w:rPr>
              <w:t>年度审核计划：提供《内部审核实施计划》，其内容已包括了审核目的、范围、准则、审核方法、日期（2020年11月10日），审核依据： ISO9001：2015标准、ISO14001：2015标准、ISO 45001-2018标准；公司质量体系文件；行业法律法规及相关文件</w:t>
            </w:r>
          </w:p>
          <w:p>
            <w:pPr>
              <w:spacing w:line="360" w:lineRule="auto"/>
              <w:ind w:firstLine="420" w:firstLineChars="200"/>
              <w:rPr>
                <w:rFonts w:hint="eastAsia"/>
                <w:szCs w:val="21"/>
              </w:rPr>
            </w:pPr>
            <w:r>
              <w:rPr>
                <w:rFonts w:hint="eastAsia"/>
                <w:szCs w:val="21"/>
              </w:rPr>
              <w:t>审核目的：检查公司QES管理体系运行的符合性及有效性</w:t>
            </w:r>
          </w:p>
          <w:p>
            <w:pPr>
              <w:spacing w:line="360" w:lineRule="auto"/>
              <w:ind w:firstLine="420" w:firstLineChars="200"/>
              <w:rPr>
                <w:szCs w:val="21"/>
              </w:rPr>
            </w:pPr>
            <w:r>
              <w:rPr>
                <w:rFonts w:hint="eastAsia"/>
                <w:szCs w:val="21"/>
              </w:rPr>
              <w:t>1、检查管理体系运行后各项要求的落实情况，识别改进的需求； 2、检查对环境和职业健康的控制，是否满足相关要求；</w:t>
            </w:r>
          </w:p>
          <w:p>
            <w:pPr>
              <w:spacing w:line="360" w:lineRule="auto"/>
              <w:ind w:firstLine="420" w:firstLineChars="200"/>
              <w:rPr>
                <w:szCs w:val="21"/>
              </w:rPr>
            </w:pPr>
            <w:r>
              <w:rPr>
                <w:rFonts w:hint="eastAsia"/>
                <w:szCs w:val="21"/>
              </w:rPr>
              <w:t>3、识别改进的需要，确定本公司管理体系符合要求的程度，评价有效性，以做好管理体系监督审核的准备。</w:t>
            </w:r>
          </w:p>
          <w:p>
            <w:pPr>
              <w:spacing w:line="360" w:lineRule="auto"/>
              <w:ind w:firstLine="420" w:firstLineChars="200"/>
              <w:rPr>
                <w:szCs w:val="21"/>
              </w:rPr>
            </w:pPr>
            <w:r>
              <w:rPr>
                <w:rFonts w:hint="eastAsia"/>
                <w:szCs w:val="21"/>
              </w:rPr>
              <w:t>4、本公司管理体系覆盖范围（见管理体系手册）内的各部门及车间，并将审核结果提交管理评审。</w:t>
            </w:r>
          </w:p>
          <w:p>
            <w:pPr>
              <w:spacing w:line="360" w:lineRule="auto"/>
              <w:ind w:firstLine="420" w:firstLineChars="200"/>
              <w:rPr>
                <w:szCs w:val="21"/>
              </w:rPr>
            </w:pPr>
            <w:r>
              <w:rPr>
                <w:rFonts w:hint="eastAsia"/>
                <w:szCs w:val="21"/>
              </w:rPr>
              <w:t>5、通过对公司的内部审核，在实践中逐步提高内审员的审核水平</w:t>
            </w:r>
          </w:p>
          <w:p>
            <w:pPr>
              <w:spacing w:line="360" w:lineRule="auto"/>
              <w:ind w:firstLine="420" w:firstLineChars="200"/>
              <w:rPr>
                <w:szCs w:val="21"/>
              </w:rPr>
            </w:pPr>
            <w:r>
              <w:rPr>
                <w:rFonts w:hint="eastAsia"/>
                <w:szCs w:val="21"/>
              </w:rPr>
              <w:t>内部审核实施： 审核组长：许芳，审核组成员：谢景海等5人，审核按计划进行，内审员经内部培训合格，能力满足审核需要。</w:t>
            </w:r>
          </w:p>
          <w:p>
            <w:pPr>
              <w:spacing w:line="360" w:lineRule="auto"/>
              <w:ind w:firstLine="420" w:firstLineChars="200"/>
              <w:rPr>
                <w:szCs w:val="21"/>
              </w:rPr>
            </w:pPr>
            <w:r>
              <w:rPr>
                <w:rFonts w:hint="eastAsia"/>
                <w:szCs w:val="21"/>
              </w:rPr>
              <w:t>审核计划已考虑到互查的公正性，无审核员审核本部门的情况，计划内容涉及各部门，条款覆盖整个标准。</w:t>
            </w:r>
          </w:p>
          <w:p>
            <w:pPr>
              <w:spacing w:line="360" w:lineRule="auto"/>
              <w:ind w:firstLine="420" w:firstLineChars="200"/>
              <w:rPr>
                <w:szCs w:val="21"/>
              </w:rPr>
            </w:pPr>
            <w:r>
              <w:rPr>
                <w:rFonts w:hint="eastAsia"/>
                <w:szCs w:val="21"/>
              </w:rPr>
              <w:t>提供了《内审检查表》，其中包括总经理、管理者代表、综合部、财务部的审核记录，条款与策划一致，记录真实、完整。</w:t>
            </w:r>
          </w:p>
          <w:p>
            <w:pPr>
              <w:rPr>
                <w:szCs w:val="21"/>
              </w:rPr>
            </w:pPr>
            <w:r>
              <w:rPr>
                <w:rFonts w:hint="eastAsia"/>
                <w:szCs w:val="21"/>
              </w:rPr>
              <w:t>查看《不合格项报告》1份，审核发现,综合部未按照要求对外来文件清单中法律法规进行及时更新</w:t>
            </w:r>
          </w:p>
          <w:p>
            <w:pPr>
              <w:spacing w:line="360" w:lineRule="auto"/>
              <w:rPr>
                <w:szCs w:val="21"/>
              </w:rPr>
            </w:pPr>
            <w:r>
              <w:rPr>
                <w:rFonts w:hint="eastAsia"/>
                <w:szCs w:val="21"/>
              </w:rPr>
              <w:t xml:space="preserve">审核发现, 没有提供对环境及职业健康安全绩效进行日常监测的记录。 </w:t>
            </w:r>
          </w:p>
          <w:p>
            <w:pPr>
              <w:spacing w:line="360" w:lineRule="auto"/>
              <w:ind w:firstLine="420" w:firstLineChars="200"/>
              <w:rPr>
                <w:szCs w:val="21"/>
              </w:rPr>
            </w:pPr>
            <w:r>
              <w:rPr>
                <w:rFonts w:hint="eastAsia"/>
                <w:szCs w:val="21"/>
              </w:rPr>
              <w:t>不符合与审核记录中不符合的事实描述基本一致。</w:t>
            </w:r>
          </w:p>
          <w:p>
            <w:pPr>
              <w:spacing w:line="360" w:lineRule="auto"/>
              <w:ind w:firstLine="420" w:firstLineChars="200"/>
              <w:rPr>
                <w:szCs w:val="21"/>
              </w:rPr>
            </w:pPr>
            <w:r>
              <w:rPr>
                <w:rFonts w:hint="eastAsia"/>
                <w:szCs w:val="21"/>
              </w:rPr>
              <w:t>查到《纠正措施报告》1份，对不合格项进行了分析,采取了纠正措施，并对纠正措施进行了验证。</w:t>
            </w:r>
          </w:p>
          <w:p>
            <w:pPr>
              <w:spacing w:line="360" w:lineRule="auto"/>
              <w:ind w:firstLine="495"/>
              <w:rPr>
                <w:rFonts w:hint="eastAsia"/>
                <w:szCs w:val="21"/>
              </w:rPr>
            </w:pPr>
            <w:r>
              <w:rPr>
                <w:rFonts w:hint="eastAsia"/>
                <w:szCs w:val="21"/>
              </w:rPr>
              <w:t>内部审核结论：管理体系运行初步具有了符合性、有效性，目前，体系的有效运行对提高内部管理水平，满足顾客要求，减少环境污染，保证员工身心健康安全，强化满足顾客要求的意识起到了积极的指导作用。</w:t>
            </w:r>
          </w:p>
          <w:p>
            <w:pPr>
              <w:spacing w:line="360" w:lineRule="auto"/>
              <w:ind w:firstLine="420" w:firstLineChars="200"/>
              <w:rPr>
                <w:szCs w:val="21"/>
              </w:rPr>
            </w:pPr>
            <w:r>
              <w:rPr>
                <w:rFonts w:hint="eastAsia"/>
                <w:szCs w:val="21"/>
              </w:rPr>
              <w:t>提供了《内部审核报告》，对现场审核进行了综述，对质量、环境和职业健康安全管理体系进行了符合性的综合评价，最后结论为：公司的环境、职业健康安全管理体系基本符合标准要求，管理体系运行有效。</w:t>
            </w:r>
          </w:p>
          <w:p>
            <w:pPr>
              <w:spacing w:line="280" w:lineRule="exact"/>
              <w:ind w:firstLine="420" w:firstLineChars="200"/>
              <w:rPr>
                <w:szCs w:val="21"/>
              </w:rPr>
            </w:pPr>
            <w:r>
              <w:rPr>
                <w:rFonts w:hint="eastAsia"/>
                <w:szCs w:val="21"/>
              </w:rPr>
              <w:t>公司内部审核基本有效。</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分析与评价</w:t>
            </w:r>
          </w:p>
        </w:tc>
        <w:tc>
          <w:tcPr>
            <w:tcW w:w="960" w:type="dxa"/>
            <w:vAlign w:val="center"/>
          </w:tcPr>
          <w:p>
            <w:pPr>
              <w:rPr>
                <w:szCs w:val="21"/>
              </w:rPr>
            </w:pPr>
            <w:r>
              <w:rPr>
                <w:rFonts w:hint="eastAsia"/>
                <w:szCs w:val="21"/>
              </w:rPr>
              <w:t>Q9.1.3</w:t>
            </w:r>
          </w:p>
          <w:p/>
        </w:tc>
        <w:tc>
          <w:tcPr>
            <w:tcW w:w="10943" w:type="dxa"/>
            <w:vAlign w:val="center"/>
          </w:tcPr>
          <w:p>
            <w:pPr>
              <w:rPr>
                <w:color w:val="000000"/>
              </w:rPr>
            </w:pPr>
            <w:r>
              <w:rPr>
                <w:rFonts w:hint="eastAsia"/>
                <w:color w:val="000000"/>
              </w:rPr>
              <w:t>公司制定《数据分析控制程序》，收集和分析适当的数据，评价公司管理体系的适宜性和有效性，充分识别可以改进的机会</w:t>
            </w:r>
          </w:p>
          <w:p>
            <w:pPr>
              <w:pStyle w:val="2"/>
            </w:pPr>
            <w:r>
              <w:rPr>
                <w:rFonts w:hint="eastAsia"/>
                <w:color w:val="000000"/>
              </w:rPr>
              <w:t>提供了公司质量、职业健康安全管理体系运行情况报告，包括产品交付合格率、顾客满意率、运行过程控制、供方业绩评定、体系运行绩效情况等方面的汇总分析，工作成果符合预期效果，提出继续保持建议.</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160" w:type="dxa"/>
          </w:tcPr>
          <w:p>
            <w:pPr>
              <w:adjustRightInd w:val="0"/>
              <w:snapToGrid w:val="0"/>
              <w:spacing w:line="280" w:lineRule="exact"/>
              <w:rPr>
                <w:rFonts w:ascii="宋体" w:hAnsi="宋体"/>
                <w:spacing w:val="-12"/>
                <w:szCs w:val="21"/>
              </w:rPr>
            </w:pPr>
            <w:r>
              <w:rPr>
                <w:rFonts w:hint="eastAsia" w:ascii="宋体" w:hAnsi="宋体"/>
                <w:spacing w:val="-12"/>
                <w:szCs w:val="21"/>
              </w:rPr>
              <w:t>不合格和纠正措施</w:t>
            </w:r>
          </w:p>
          <w:p>
            <w:pPr>
              <w:spacing w:line="280" w:lineRule="exact"/>
              <w:rPr>
                <w:szCs w:val="21"/>
              </w:rPr>
            </w:pPr>
          </w:p>
        </w:tc>
        <w:tc>
          <w:tcPr>
            <w:tcW w:w="960" w:type="dxa"/>
          </w:tcPr>
          <w:p>
            <w:pPr>
              <w:spacing w:line="280" w:lineRule="exact"/>
              <w:rPr>
                <w:rFonts w:ascii="宋体" w:hAnsi="宋体" w:cs="宋体"/>
                <w:szCs w:val="21"/>
              </w:rPr>
            </w:pPr>
            <w:r>
              <w:rPr>
                <w:rFonts w:ascii="宋体" w:hAnsi="宋体" w:cs="宋体"/>
                <w:szCs w:val="21"/>
              </w:rPr>
              <w:t>Q/E/S</w:t>
            </w:r>
            <w:r>
              <w:rPr>
                <w:rFonts w:hint="eastAsia" w:ascii="宋体" w:hAnsi="宋体" w:cs="宋体"/>
                <w:szCs w:val="21"/>
              </w:rPr>
              <w:t>10.2</w:t>
            </w:r>
          </w:p>
          <w:p>
            <w:pPr>
              <w:spacing w:line="280" w:lineRule="exact"/>
              <w:rPr>
                <w:rFonts w:ascii="宋体" w:hAnsi="宋体" w:cs="宋体"/>
                <w:szCs w:val="21"/>
              </w:rPr>
            </w:pPr>
          </w:p>
          <w:p>
            <w:pPr>
              <w:spacing w:line="280" w:lineRule="exact"/>
              <w:rPr>
                <w:szCs w:val="21"/>
              </w:rPr>
            </w:pPr>
          </w:p>
        </w:tc>
        <w:tc>
          <w:tcPr>
            <w:tcW w:w="10943" w:type="dxa"/>
            <w:vAlign w:val="center"/>
          </w:tcPr>
          <w:p>
            <w:pPr>
              <w:spacing w:line="480" w:lineRule="auto"/>
              <w:jc w:val="center"/>
            </w:pPr>
            <w:r>
              <w:rPr>
                <w:rFonts w:hint="eastAsia"/>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 公司内审时发现的不符合项进行了原因分析、纠正措施和验证，详见9.2审核记录。</w:t>
            </w:r>
          </w:p>
          <w:p>
            <w:pPr>
              <w:snapToGrid w:val="0"/>
              <w:spacing w:line="360" w:lineRule="auto"/>
              <w:ind w:firstLine="420" w:firstLineChars="200"/>
              <w:jc w:val="left"/>
              <w:rPr>
                <w:rFonts w:hint="eastAsia"/>
              </w:rPr>
            </w:pPr>
            <w:r>
              <w:rPr>
                <w:rFonts w:hint="eastAsia"/>
              </w:rPr>
              <w:t>公司对纠正及预防措施的管理基本符合要求。</w:t>
            </w:r>
          </w:p>
          <w:p>
            <w:pPr>
              <w:pStyle w:val="2"/>
              <w:rPr>
                <w:rFonts w:hint="eastAsia"/>
                <w:szCs w:val="21"/>
              </w:rPr>
            </w:pPr>
          </w:p>
          <w:p>
            <w:pPr>
              <w:pStyle w:val="2"/>
              <w:rPr>
                <w:rFonts w:hint="default" w:eastAsia="宋体"/>
                <w:szCs w:val="21"/>
                <w:lang w:val="en-US" w:eastAsia="zh-CN"/>
              </w:rPr>
            </w:pPr>
            <w:r>
              <w:rPr>
                <w:rFonts w:hint="eastAsia"/>
                <w:szCs w:val="21"/>
                <w:lang w:val="en-US" w:eastAsia="zh-CN"/>
              </w:rPr>
              <w:t>结论：</w:t>
            </w:r>
            <w:r>
              <w:rPr>
                <w:rFonts w:hint="eastAsia" w:ascii="Times New Roman" w:hAnsi="Times New Roman" w:eastAsia="宋体" w:cs="Times New Roman"/>
                <w:bCs w:val="0"/>
                <w:spacing w:val="0"/>
                <w:kern w:val="2"/>
                <w:sz w:val="21"/>
                <w:szCs w:val="22"/>
                <w:lang w:val="en-US" w:eastAsia="zh-CN" w:bidi="ar-SA"/>
              </w:rPr>
              <w:t>本次审核为远程审核的二阶段补充审核，本部门与远程审核一致，符合要求</w:t>
            </w:r>
            <w:bookmarkStart w:id="1" w:name="_GoBack"/>
            <w:bookmarkEnd w:id="1"/>
          </w:p>
        </w:tc>
        <w:tc>
          <w:tcPr>
            <w:tcW w:w="646" w:type="dxa"/>
          </w:tcPr>
          <w:p>
            <w:pPr>
              <w:rPr>
                <w:rFonts w:ascii="宋体" w:hAnsi="宋体" w:cs="宋体"/>
                <w:szCs w:val="21"/>
              </w:rPr>
            </w:pPr>
          </w:p>
        </w:tc>
      </w:tr>
    </w:tbl>
    <w:p>
      <w:pPr>
        <w:pStyle w:val="5"/>
        <w:spacing w:line="360" w:lineRule="auto"/>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方正仿宋简体">
    <w:altName w:val="宋体"/>
    <w:panose1 w:val="00000000000000000000"/>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621DAB"/>
    <w:multiLevelType w:val="singleLevel"/>
    <w:tmpl w:val="A3621DA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5609"/>
    <w:rsid w:val="000237F6"/>
    <w:rsid w:val="00032EF8"/>
    <w:rsid w:val="0003373A"/>
    <w:rsid w:val="000410B1"/>
    <w:rsid w:val="00060750"/>
    <w:rsid w:val="000739BE"/>
    <w:rsid w:val="000A16D1"/>
    <w:rsid w:val="000E3042"/>
    <w:rsid w:val="00102C2D"/>
    <w:rsid w:val="00110EDF"/>
    <w:rsid w:val="001123B3"/>
    <w:rsid w:val="001A2D7F"/>
    <w:rsid w:val="001D1990"/>
    <w:rsid w:val="001E06C2"/>
    <w:rsid w:val="001F1234"/>
    <w:rsid w:val="00247B3C"/>
    <w:rsid w:val="00337922"/>
    <w:rsid w:val="00340867"/>
    <w:rsid w:val="00380837"/>
    <w:rsid w:val="003A198A"/>
    <w:rsid w:val="003D36DA"/>
    <w:rsid w:val="0040766A"/>
    <w:rsid w:val="00410914"/>
    <w:rsid w:val="00450AD9"/>
    <w:rsid w:val="00467319"/>
    <w:rsid w:val="004A5111"/>
    <w:rsid w:val="00536930"/>
    <w:rsid w:val="00564E53"/>
    <w:rsid w:val="00595C2E"/>
    <w:rsid w:val="005B26F3"/>
    <w:rsid w:val="005D5B27"/>
    <w:rsid w:val="00606D70"/>
    <w:rsid w:val="00644FE2"/>
    <w:rsid w:val="00653868"/>
    <w:rsid w:val="00670ABE"/>
    <w:rsid w:val="00674B7D"/>
    <w:rsid w:val="0067640C"/>
    <w:rsid w:val="006813C1"/>
    <w:rsid w:val="006A7D36"/>
    <w:rsid w:val="006D6E8C"/>
    <w:rsid w:val="006E5B77"/>
    <w:rsid w:val="006E678B"/>
    <w:rsid w:val="006F3664"/>
    <w:rsid w:val="007020C1"/>
    <w:rsid w:val="007757F3"/>
    <w:rsid w:val="007A1C6C"/>
    <w:rsid w:val="007C2CAB"/>
    <w:rsid w:val="007E6AEB"/>
    <w:rsid w:val="00830345"/>
    <w:rsid w:val="00831F15"/>
    <w:rsid w:val="00841CA1"/>
    <w:rsid w:val="00845CDB"/>
    <w:rsid w:val="00863DA7"/>
    <w:rsid w:val="00864011"/>
    <w:rsid w:val="00866E70"/>
    <w:rsid w:val="00867EC0"/>
    <w:rsid w:val="008973EE"/>
    <w:rsid w:val="0090631B"/>
    <w:rsid w:val="009306B5"/>
    <w:rsid w:val="0093791E"/>
    <w:rsid w:val="00971600"/>
    <w:rsid w:val="00982908"/>
    <w:rsid w:val="009973B4"/>
    <w:rsid w:val="009C28C1"/>
    <w:rsid w:val="009D02F0"/>
    <w:rsid w:val="009F7EED"/>
    <w:rsid w:val="00A20BA1"/>
    <w:rsid w:val="00A93DC5"/>
    <w:rsid w:val="00AA2943"/>
    <w:rsid w:val="00AF0AAB"/>
    <w:rsid w:val="00B40339"/>
    <w:rsid w:val="00B90CD3"/>
    <w:rsid w:val="00BC6F9D"/>
    <w:rsid w:val="00BF597E"/>
    <w:rsid w:val="00C073BA"/>
    <w:rsid w:val="00C51A36"/>
    <w:rsid w:val="00C55228"/>
    <w:rsid w:val="00C57D56"/>
    <w:rsid w:val="00C80AE1"/>
    <w:rsid w:val="00C95479"/>
    <w:rsid w:val="00CB2EAB"/>
    <w:rsid w:val="00CE315A"/>
    <w:rsid w:val="00CF7141"/>
    <w:rsid w:val="00D06F59"/>
    <w:rsid w:val="00D4759C"/>
    <w:rsid w:val="00D8388C"/>
    <w:rsid w:val="00E10AB3"/>
    <w:rsid w:val="00E21595"/>
    <w:rsid w:val="00E236E6"/>
    <w:rsid w:val="00E96ABE"/>
    <w:rsid w:val="00EA4982"/>
    <w:rsid w:val="00EB0164"/>
    <w:rsid w:val="00EB5107"/>
    <w:rsid w:val="00ED0F62"/>
    <w:rsid w:val="00EE719A"/>
    <w:rsid w:val="00F03828"/>
    <w:rsid w:val="00FC77EA"/>
    <w:rsid w:val="019B4120"/>
    <w:rsid w:val="019F117D"/>
    <w:rsid w:val="01CC11E1"/>
    <w:rsid w:val="02110C4D"/>
    <w:rsid w:val="026E06D9"/>
    <w:rsid w:val="027F1A3A"/>
    <w:rsid w:val="029A7DEB"/>
    <w:rsid w:val="02C3322E"/>
    <w:rsid w:val="03BB66BD"/>
    <w:rsid w:val="03D21F27"/>
    <w:rsid w:val="043B776B"/>
    <w:rsid w:val="0496794D"/>
    <w:rsid w:val="04AB7014"/>
    <w:rsid w:val="04B54E95"/>
    <w:rsid w:val="053E0778"/>
    <w:rsid w:val="06154BD9"/>
    <w:rsid w:val="062A5C24"/>
    <w:rsid w:val="0647612C"/>
    <w:rsid w:val="065114B0"/>
    <w:rsid w:val="066122DE"/>
    <w:rsid w:val="06DE70D2"/>
    <w:rsid w:val="071866D6"/>
    <w:rsid w:val="07812A85"/>
    <w:rsid w:val="08A81132"/>
    <w:rsid w:val="09453B5B"/>
    <w:rsid w:val="097E08DB"/>
    <w:rsid w:val="0A1B0DCE"/>
    <w:rsid w:val="0A674ACD"/>
    <w:rsid w:val="0AF71A5B"/>
    <w:rsid w:val="0B24440A"/>
    <w:rsid w:val="0B61115E"/>
    <w:rsid w:val="0B9B2016"/>
    <w:rsid w:val="0BA700E3"/>
    <w:rsid w:val="0BC002A3"/>
    <w:rsid w:val="0C6022C4"/>
    <w:rsid w:val="0C870EB7"/>
    <w:rsid w:val="0DE31B01"/>
    <w:rsid w:val="0E16667D"/>
    <w:rsid w:val="0E581367"/>
    <w:rsid w:val="0EBF7D62"/>
    <w:rsid w:val="0ED971D6"/>
    <w:rsid w:val="0F0C4590"/>
    <w:rsid w:val="0F6B16D2"/>
    <w:rsid w:val="0FC04054"/>
    <w:rsid w:val="108027CE"/>
    <w:rsid w:val="108219C2"/>
    <w:rsid w:val="114B0088"/>
    <w:rsid w:val="11592EEE"/>
    <w:rsid w:val="120331EB"/>
    <w:rsid w:val="12141C48"/>
    <w:rsid w:val="12A15C38"/>
    <w:rsid w:val="12BB136F"/>
    <w:rsid w:val="1325761F"/>
    <w:rsid w:val="1335662A"/>
    <w:rsid w:val="13775002"/>
    <w:rsid w:val="15A97B5D"/>
    <w:rsid w:val="15B014F2"/>
    <w:rsid w:val="16047CD6"/>
    <w:rsid w:val="161A6C58"/>
    <w:rsid w:val="16823D74"/>
    <w:rsid w:val="17A52ED9"/>
    <w:rsid w:val="17C7090E"/>
    <w:rsid w:val="17DF7D32"/>
    <w:rsid w:val="17FE5673"/>
    <w:rsid w:val="180D4E8E"/>
    <w:rsid w:val="188612C1"/>
    <w:rsid w:val="18990E31"/>
    <w:rsid w:val="19033CE3"/>
    <w:rsid w:val="19250E5B"/>
    <w:rsid w:val="192868F4"/>
    <w:rsid w:val="1A3E6DDE"/>
    <w:rsid w:val="1AE45AC8"/>
    <w:rsid w:val="1B3B492B"/>
    <w:rsid w:val="1B614031"/>
    <w:rsid w:val="1B8C32FD"/>
    <w:rsid w:val="1BA36AD8"/>
    <w:rsid w:val="1BD26C0C"/>
    <w:rsid w:val="1C122FF3"/>
    <w:rsid w:val="1CC30B95"/>
    <w:rsid w:val="1CCA306F"/>
    <w:rsid w:val="1D1B6189"/>
    <w:rsid w:val="1DA96624"/>
    <w:rsid w:val="1DB40511"/>
    <w:rsid w:val="1DF23DA4"/>
    <w:rsid w:val="1E3F4877"/>
    <w:rsid w:val="1EB93639"/>
    <w:rsid w:val="1F001E27"/>
    <w:rsid w:val="1F5437FD"/>
    <w:rsid w:val="1F9C054F"/>
    <w:rsid w:val="1FC446A9"/>
    <w:rsid w:val="1FE73306"/>
    <w:rsid w:val="1FED3750"/>
    <w:rsid w:val="20E401A2"/>
    <w:rsid w:val="21261BDB"/>
    <w:rsid w:val="2127238C"/>
    <w:rsid w:val="21DD65E7"/>
    <w:rsid w:val="221A2861"/>
    <w:rsid w:val="22881A36"/>
    <w:rsid w:val="22AD6B01"/>
    <w:rsid w:val="22BC1E00"/>
    <w:rsid w:val="23841975"/>
    <w:rsid w:val="23C627F9"/>
    <w:rsid w:val="24F00D62"/>
    <w:rsid w:val="25440405"/>
    <w:rsid w:val="256D5A13"/>
    <w:rsid w:val="260820B2"/>
    <w:rsid w:val="26281911"/>
    <w:rsid w:val="262977D5"/>
    <w:rsid w:val="26494502"/>
    <w:rsid w:val="267A6D43"/>
    <w:rsid w:val="270F1C54"/>
    <w:rsid w:val="273F79EC"/>
    <w:rsid w:val="275A4747"/>
    <w:rsid w:val="279A2B2F"/>
    <w:rsid w:val="282C3C27"/>
    <w:rsid w:val="287C1C8A"/>
    <w:rsid w:val="28E4532A"/>
    <w:rsid w:val="29A74BE8"/>
    <w:rsid w:val="2A0273BD"/>
    <w:rsid w:val="2A8D580F"/>
    <w:rsid w:val="2AD97FCE"/>
    <w:rsid w:val="2B380324"/>
    <w:rsid w:val="2B865215"/>
    <w:rsid w:val="2BCF7358"/>
    <w:rsid w:val="2C651DD0"/>
    <w:rsid w:val="2CA04E6A"/>
    <w:rsid w:val="2CC53862"/>
    <w:rsid w:val="2CC80689"/>
    <w:rsid w:val="2CD67C59"/>
    <w:rsid w:val="2D0655DD"/>
    <w:rsid w:val="2D142B6B"/>
    <w:rsid w:val="2D721C9A"/>
    <w:rsid w:val="2DFC224D"/>
    <w:rsid w:val="2F453830"/>
    <w:rsid w:val="2F4C29F8"/>
    <w:rsid w:val="2FE5562A"/>
    <w:rsid w:val="323039B7"/>
    <w:rsid w:val="337411FB"/>
    <w:rsid w:val="337450D7"/>
    <w:rsid w:val="339E2363"/>
    <w:rsid w:val="33C24B6C"/>
    <w:rsid w:val="33F001D0"/>
    <w:rsid w:val="348B0E2D"/>
    <w:rsid w:val="34CD3055"/>
    <w:rsid w:val="354960C5"/>
    <w:rsid w:val="35F05044"/>
    <w:rsid w:val="35FB0162"/>
    <w:rsid w:val="36A24488"/>
    <w:rsid w:val="36BB60EF"/>
    <w:rsid w:val="374A6B28"/>
    <w:rsid w:val="37A62515"/>
    <w:rsid w:val="3815470B"/>
    <w:rsid w:val="3834548F"/>
    <w:rsid w:val="386C58C4"/>
    <w:rsid w:val="388E52CA"/>
    <w:rsid w:val="38E16034"/>
    <w:rsid w:val="3A113677"/>
    <w:rsid w:val="3A187D7C"/>
    <w:rsid w:val="3A6333DF"/>
    <w:rsid w:val="3AB17966"/>
    <w:rsid w:val="3ADA0A52"/>
    <w:rsid w:val="3AEF3729"/>
    <w:rsid w:val="3B0666EC"/>
    <w:rsid w:val="3B39621D"/>
    <w:rsid w:val="3BF76389"/>
    <w:rsid w:val="3C5C6143"/>
    <w:rsid w:val="3C5E016C"/>
    <w:rsid w:val="3C854557"/>
    <w:rsid w:val="3C934504"/>
    <w:rsid w:val="3CB37FB3"/>
    <w:rsid w:val="3CBB4B01"/>
    <w:rsid w:val="3CE628CF"/>
    <w:rsid w:val="3D59619C"/>
    <w:rsid w:val="3DE02A07"/>
    <w:rsid w:val="3DFF7BC6"/>
    <w:rsid w:val="3E1157EC"/>
    <w:rsid w:val="3ED81901"/>
    <w:rsid w:val="3EFB2A1B"/>
    <w:rsid w:val="3F572254"/>
    <w:rsid w:val="3FA609EA"/>
    <w:rsid w:val="3FA72DB8"/>
    <w:rsid w:val="3FDB31DB"/>
    <w:rsid w:val="3FF21181"/>
    <w:rsid w:val="40146DAC"/>
    <w:rsid w:val="40620F88"/>
    <w:rsid w:val="40E67CA2"/>
    <w:rsid w:val="416F2F77"/>
    <w:rsid w:val="41F26D2F"/>
    <w:rsid w:val="422A1891"/>
    <w:rsid w:val="42EE4EEF"/>
    <w:rsid w:val="43031F33"/>
    <w:rsid w:val="43160210"/>
    <w:rsid w:val="43166C22"/>
    <w:rsid w:val="431D0AF7"/>
    <w:rsid w:val="43B871EA"/>
    <w:rsid w:val="4421634C"/>
    <w:rsid w:val="44572354"/>
    <w:rsid w:val="44E40D1B"/>
    <w:rsid w:val="455A11EF"/>
    <w:rsid w:val="455E34E6"/>
    <w:rsid w:val="46805483"/>
    <w:rsid w:val="472D3322"/>
    <w:rsid w:val="47B24333"/>
    <w:rsid w:val="47F16E83"/>
    <w:rsid w:val="484A756C"/>
    <w:rsid w:val="49BB746F"/>
    <w:rsid w:val="4A2F0587"/>
    <w:rsid w:val="4A9217AC"/>
    <w:rsid w:val="4A944E55"/>
    <w:rsid w:val="4B275D89"/>
    <w:rsid w:val="4B61588A"/>
    <w:rsid w:val="4BB90CD5"/>
    <w:rsid w:val="4BE140E3"/>
    <w:rsid w:val="4C8B0AE1"/>
    <w:rsid w:val="4C8F7213"/>
    <w:rsid w:val="4C9E28B0"/>
    <w:rsid w:val="4D8144CC"/>
    <w:rsid w:val="4E4C16AD"/>
    <w:rsid w:val="4F497FF6"/>
    <w:rsid w:val="4F53786F"/>
    <w:rsid w:val="4F6823F0"/>
    <w:rsid w:val="50034F89"/>
    <w:rsid w:val="5011106C"/>
    <w:rsid w:val="504355B1"/>
    <w:rsid w:val="50E0153E"/>
    <w:rsid w:val="50E6188C"/>
    <w:rsid w:val="51AA76B0"/>
    <w:rsid w:val="51C3292E"/>
    <w:rsid w:val="521B6F8A"/>
    <w:rsid w:val="54922BD7"/>
    <w:rsid w:val="54C73554"/>
    <w:rsid w:val="551A1BEC"/>
    <w:rsid w:val="559009AC"/>
    <w:rsid w:val="55B93A25"/>
    <w:rsid w:val="560D017D"/>
    <w:rsid w:val="565358F3"/>
    <w:rsid w:val="57B762C1"/>
    <w:rsid w:val="58A576F7"/>
    <w:rsid w:val="58BF24EC"/>
    <w:rsid w:val="59350750"/>
    <w:rsid w:val="595C2A6A"/>
    <w:rsid w:val="596D6873"/>
    <w:rsid w:val="59BC24CD"/>
    <w:rsid w:val="5A015538"/>
    <w:rsid w:val="5A722C62"/>
    <w:rsid w:val="5ADF1228"/>
    <w:rsid w:val="5B441338"/>
    <w:rsid w:val="5B6D31F6"/>
    <w:rsid w:val="5C2300C2"/>
    <w:rsid w:val="5C93598B"/>
    <w:rsid w:val="5C96628C"/>
    <w:rsid w:val="5CC71D0B"/>
    <w:rsid w:val="5CE87006"/>
    <w:rsid w:val="5CF67C1C"/>
    <w:rsid w:val="5D2313D5"/>
    <w:rsid w:val="5D324F5F"/>
    <w:rsid w:val="5D491FB1"/>
    <w:rsid w:val="5D566746"/>
    <w:rsid w:val="5D712F46"/>
    <w:rsid w:val="5DD3247E"/>
    <w:rsid w:val="5DEA62E9"/>
    <w:rsid w:val="5E272639"/>
    <w:rsid w:val="5E882435"/>
    <w:rsid w:val="5EA12B9A"/>
    <w:rsid w:val="60126A84"/>
    <w:rsid w:val="608953A2"/>
    <w:rsid w:val="61676FF1"/>
    <w:rsid w:val="61870D02"/>
    <w:rsid w:val="61C3332C"/>
    <w:rsid w:val="61E91015"/>
    <w:rsid w:val="62DE32EE"/>
    <w:rsid w:val="630B4776"/>
    <w:rsid w:val="632F6E7C"/>
    <w:rsid w:val="638D508E"/>
    <w:rsid w:val="643C04EA"/>
    <w:rsid w:val="64CC00F9"/>
    <w:rsid w:val="65E205FD"/>
    <w:rsid w:val="65EF0C7F"/>
    <w:rsid w:val="65FB0E27"/>
    <w:rsid w:val="66407EBB"/>
    <w:rsid w:val="66411A04"/>
    <w:rsid w:val="66654381"/>
    <w:rsid w:val="669D5158"/>
    <w:rsid w:val="67330A18"/>
    <w:rsid w:val="67522E36"/>
    <w:rsid w:val="6779048E"/>
    <w:rsid w:val="67893220"/>
    <w:rsid w:val="67D558BE"/>
    <w:rsid w:val="67D968EA"/>
    <w:rsid w:val="68056E47"/>
    <w:rsid w:val="680A1C17"/>
    <w:rsid w:val="68CB2D06"/>
    <w:rsid w:val="68F42802"/>
    <w:rsid w:val="69084645"/>
    <w:rsid w:val="69BC5DF6"/>
    <w:rsid w:val="6A0B4000"/>
    <w:rsid w:val="6A2364FE"/>
    <w:rsid w:val="6A880511"/>
    <w:rsid w:val="6B27438D"/>
    <w:rsid w:val="6B330DCD"/>
    <w:rsid w:val="6C19132F"/>
    <w:rsid w:val="6D421482"/>
    <w:rsid w:val="6D492A58"/>
    <w:rsid w:val="6E4C0F7B"/>
    <w:rsid w:val="6F494CC6"/>
    <w:rsid w:val="7040581D"/>
    <w:rsid w:val="705C060F"/>
    <w:rsid w:val="70612E30"/>
    <w:rsid w:val="70A9450E"/>
    <w:rsid w:val="72117043"/>
    <w:rsid w:val="72151090"/>
    <w:rsid w:val="729E1A74"/>
    <w:rsid w:val="72DF708A"/>
    <w:rsid w:val="73103127"/>
    <w:rsid w:val="733C08D8"/>
    <w:rsid w:val="73E5581D"/>
    <w:rsid w:val="7480693E"/>
    <w:rsid w:val="75543EE0"/>
    <w:rsid w:val="75B50170"/>
    <w:rsid w:val="75F63CBB"/>
    <w:rsid w:val="762160A6"/>
    <w:rsid w:val="76B710FF"/>
    <w:rsid w:val="77736EFD"/>
    <w:rsid w:val="780B6495"/>
    <w:rsid w:val="78397613"/>
    <w:rsid w:val="79420433"/>
    <w:rsid w:val="7980569E"/>
    <w:rsid w:val="79972CD1"/>
    <w:rsid w:val="79A53344"/>
    <w:rsid w:val="79E82F3D"/>
    <w:rsid w:val="7A5D620D"/>
    <w:rsid w:val="7A9511B9"/>
    <w:rsid w:val="7BDD4178"/>
    <w:rsid w:val="7C962963"/>
    <w:rsid w:val="7CC0661E"/>
    <w:rsid w:val="7D125156"/>
    <w:rsid w:val="7D724772"/>
    <w:rsid w:val="7D946D75"/>
    <w:rsid w:val="7E525717"/>
    <w:rsid w:val="7E617D00"/>
    <w:rsid w:val="7EA33C8C"/>
    <w:rsid w:val="7ECA7A69"/>
    <w:rsid w:val="7ED65D09"/>
    <w:rsid w:val="7EDE7949"/>
    <w:rsid w:val="7F8A7C7A"/>
    <w:rsid w:val="7FDB57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14"/>
    <w:unhideWhenUsed/>
    <w:qFormat/>
    <w:uiPriority w:val="99"/>
    <w:pPr>
      <w:spacing w:after="120"/>
      <w:ind w:left="420" w:leftChars="20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_Style 2"/>
    <w:basedOn w:val="1"/>
    <w:qFormat/>
    <w:uiPriority w:val="34"/>
    <w:pPr>
      <w:ind w:firstLine="420" w:firstLineChars="200"/>
    </w:pPr>
    <w:rPr>
      <w:rFonts w:ascii="Calibri" w:hAnsi="Calibri"/>
      <w:szCs w:val="22"/>
    </w:rPr>
  </w:style>
  <w:style w:type="character" w:customStyle="1" w:styleId="14">
    <w:name w:val="正文文本缩进 Char"/>
    <w:basedOn w:val="8"/>
    <w:link w:val="3"/>
    <w:qFormat/>
    <w:uiPriority w:val="99"/>
    <w:rPr>
      <w:kern w:val="2"/>
      <w:sz w:val="21"/>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TUV</Company>
  <Pages>17</Pages>
  <Words>1316</Words>
  <Characters>7505</Characters>
  <Lines>62</Lines>
  <Paragraphs>17</Paragraphs>
  <TotalTime>1</TotalTime>
  <ScaleCrop>false</ScaleCrop>
  <LinksUpToDate>false</LinksUpToDate>
  <CharactersWithSpaces>8804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2020-12-14T12:39:52Z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