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重庆佳坤土地规划有限公司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2018-N1OHSMS-1230067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董志凯</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ISC-JSZJ-210</w:t>
            </w:r>
          </w:p>
          <w:p>
            <w:pPr>
              <w:snapToGrid w:val="0"/>
              <w:spacing w:line="320" w:lineRule="exact"/>
              <w:ind w:left="1309"/>
              <w:rPr>
                <w:sz w:val="22"/>
                <w:szCs w:val="22"/>
                <w:highlight w:val="none"/>
              </w:rPr>
            </w:pPr>
            <w:r>
              <w:rPr>
                <w:sz w:val="22"/>
                <w:szCs w:val="22"/>
                <w:highlight w:val="none"/>
              </w:rPr>
              <w:t>重庆华厦土地测量事务所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6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rFonts w:ascii="Times New Roman" w:hAnsi="Times New Roman" w:eastAsia="宋体" w:cs="Times New Roman"/>
                <w:b/>
                <w:kern w:val="2"/>
                <w:sz w:val="22"/>
                <w:szCs w:val="22"/>
                <w:lang w:val="en-US" w:eastAsia="zh-CN" w:bidi="ar-SA"/>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2020年12月11日上午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2020年12月12日下午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2020年12月12日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BD2693"/>
    <w:rsid w:val="57814AD7"/>
    <w:rsid w:val="643F38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2020-12-11T06:34:53Z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