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重庆佳坤土地规划有限公司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0661-2020-QEO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rPr>
            </w:pPr>
            <w:r>
              <w:rPr>
                <w:rFonts w:hint="eastAsia"/>
                <w:color w:val="000000"/>
                <w:szCs w:val="21"/>
              </w:rPr>
              <w:t>申请方提供的各类资质证明：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color w:val="000000"/>
                <w:szCs w:val="21"/>
                <w:u w:val="single"/>
                <w:lang w:val="en-US" w:eastAsia="zh-CN"/>
              </w:rPr>
            </w:pPr>
            <w:r>
              <w:rPr>
                <w:rFonts w:hint="eastAsia"/>
                <w:color w:val="000000"/>
                <w:szCs w:val="21"/>
              </w:rPr>
              <w:t>营业执照副本编号：</w:t>
            </w:r>
            <w:r>
              <w:rPr>
                <w:rFonts w:hint="eastAsia"/>
                <w:color w:val="000000"/>
                <w:szCs w:val="21"/>
                <w:lang w:val="en-US" w:eastAsia="zh-CN"/>
              </w:rPr>
              <w:t>9150010366893310XB</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u w:val="single"/>
              </w:rPr>
            </w:pPr>
            <w:r>
              <w:rPr>
                <w:rFonts w:hint="eastAsia"/>
                <w:color w:val="000000"/>
                <w:szCs w:val="21"/>
              </w:rPr>
              <w:t>组织代码证编号：</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rPr>
            </w:pPr>
            <w:r>
              <w:rPr>
                <w:rFonts w:hint="eastAsia"/>
                <w:color w:val="000000"/>
                <w:szCs w:val="21"/>
              </w:rPr>
              <w:t>许可证编号</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color w:val="000000"/>
                <w:szCs w:val="21"/>
                <w:lang w:val="en-US" w:eastAsia="zh-CN"/>
              </w:rPr>
            </w:pPr>
            <w:r>
              <w:rPr>
                <w:rFonts w:hint="eastAsia"/>
                <w:color w:val="000000"/>
                <w:szCs w:val="21"/>
              </w:rPr>
              <w:t>资质证书编号</w:t>
            </w:r>
            <w:r>
              <w:rPr>
                <w:rFonts w:hint="eastAsia"/>
                <w:color w:val="000000"/>
                <w:szCs w:val="21"/>
                <w:lang w:eastAsia="zh-CN"/>
              </w:rPr>
              <w:t>：</w:t>
            </w:r>
            <w:r>
              <w:rPr>
                <w:rFonts w:hint="eastAsia"/>
                <w:color w:val="000000"/>
                <w:szCs w:val="21"/>
                <w:lang w:val="en-US" w:eastAsia="zh-CN"/>
              </w:rPr>
              <w:t>土地规划机构登记证书乙级：渝地规编｛2014｝第23号；土地测量证书乙级：乙测资字5010800</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rPr>
            </w:pPr>
            <w:r>
              <w:rPr>
                <w:rFonts w:hint="eastAsia"/>
                <w:color w:val="000000"/>
                <w:szCs w:val="21"/>
              </w:rPr>
              <w:t>外转企业认证证书编号</w:t>
            </w:r>
          </w:p>
          <w:p>
            <w:pPr>
              <w:keepNext w:val="0"/>
              <w:keepLines w:val="0"/>
              <w:pageBreakBefore w:val="0"/>
              <w:widowControl w:val="0"/>
              <w:kinsoku/>
              <w:wordWrap/>
              <w:overflowPunct/>
              <w:topLinePunct w:val="0"/>
              <w:autoSpaceDE/>
              <w:autoSpaceDN/>
              <w:bidi w:val="0"/>
              <w:adjustRightInd/>
              <w:snapToGrid/>
              <w:spacing w:line="440" w:lineRule="exact"/>
              <w:textAlignment w:val="auto"/>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color w:val="000000"/>
                <w:szCs w:val="21"/>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vAlign w:val="top"/>
          </w:tcPr>
          <w:p>
            <w:pPr>
              <w:rPr>
                <w:szCs w:val="21"/>
              </w:rPr>
            </w:pPr>
            <w:r>
              <w:rPr>
                <w:rFonts w:hint="eastAsia"/>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szCs w:val="21"/>
              </w:rPr>
            </w:pPr>
            <w:r>
              <w:rPr>
                <w:rFonts w:hint="eastAsia"/>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vAlign w:val="top"/>
          </w:tcPr>
          <w:p>
            <w:pPr>
              <w:rPr>
                <w:szCs w:val="21"/>
              </w:rPr>
            </w:pPr>
            <w:r>
              <w:rPr>
                <w:rFonts w:hint="eastAsia"/>
                <w:szCs w:val="21"/>
              </w:rPr>
              <w:t>■</w:t>
            </w:r>
          </w:p>
          <w:p>
            <w:pPr>
              <w:rPr>
                <w:color w:val="000000"/>
                <w:szCs w:val="21"/>
              </w:rPr>
            </w:pP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vAlign w:val="top"/>
          </w:tcPr>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vAlign w:val="top"/>
          </w:tcPr>
          <w:p>
            <w:pPr>
              <w:rPr>
                <w:szCs w:val="21"/>
              </w:rPr>
            </w:pPr>
            <w:r>
              <w:rPr>
                <w:rFonts w:hint="eastAsia"/>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vAlign w:val="top"/>
          </w:tcPr>
          <w:p>
            <w:pPr>
              <w:rPr>
                <w:rFonts w:ascii="Times New Roman" w:hAnsi="Times New Roman" w:eastAsia="宋体" w:cs="Times New Roman"/>
                <w:color w:val="000000"/>
                <w:kern w:val="2"/>
                <w:sz w:val="21"/>
                <w:szCs w:val="21"/>
                <w:lang w:val="en-US" w:eastAsia="zh-CN" w:bidi="ar-SA"/>
              </w:rPr>
            </w:pPr>
            <w:r>
              <w:rPr>
                <w:rFonts w:hint="eastAsia"/>
                <w:szCs w:val="21"/>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25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vAlign w:val="top"/>
          </w:tcPr>
          <w:p>
            <w:pPr>
              <w:rPr>
                <w:szCs w:val="21"/>
              </w:rPr>
            </w:pPr>
            <w:r>
              <w:rPr>
                <w:rFonts w:hint="eastAsia"/>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vAlign w:val="top"/>
          </w:tcPr>
          <w:p>
            <w:pPr>
              <w:rPr>
                <w:szCs w:val="21"/>
              </w:rPr>
            </w:pPr>
            <w:r>
              <w:rPr>
                <w:rFonts w:hint="eastAsia"/>
                <w:szCs w:val="21"/>
              </w:rPr>
              <w:t>■</w:t>
            </w:r>
          </w:p>
          <w:p>
            <w:pPr>
              <w:rPr>
                <w:color w:val="000000"/>
                <w:szCs w:val="21"/>
              </w:rPr>
            </w:pPr>
            <w:r>
              <w:rPr>
                <w:rFonts w:hint="eastAsia"/>
                <w:color w:val="000000"/>
                <w:szCs w:val="21"/>
              </w:rPr>
              <w:t>□</w:t>
            </w:r>
          </w:p>
          <w:p>
            <w:pPr>
              <w:rPr>
                <w:szCs w:val="21"/>
              </w:rPr>
            </w:pPr>
            <w:r>
              <w:rPr>
                <w:rFonts w:hint="eastAsia"/>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vAlign w:val="top"/>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rFonts w:ascii="Times New Roman" w:hAnsi="Times New Roman" w:eastAsia="宋体" w:cs="Times New Roman"/>
                <w:color w:val="000000"/>
                <w:kern w:val="2"/>
                <w:sz w:val="21"/>
                <w:szCs w:val="21"/>
                <w:lang w:val="en-US" w:eastAsia="zh-CN" w:bidi="ar-SA"/>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2020年12月10日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bookmarkStart w:id="2" w:name="_GoBack"/>
            <w:bookmarkEnd w:id="2"/>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526256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2020-12-09T14:19:07Z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