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r>
        <w:rPr>
          <w:rFonts w:hint="eastAsia" w:ascii="楷体" w:hAnsi="楷体" w:eastAsia="楷体" w:cs="Times New Roman"/>
          <w:b/>
          <w:color w:val="000000"/>
          <w:sz w:val="32"/>
          <w:szCs w:val="32"/>
          <w:lang w:eastAsia="zh-CN"/>
        </w:rPr>
        <w:t>河北蓓特丽洗涤用品开发有限公司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王志慧</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O:审核员</w:t>
            </w:r>
          </w:p>
          <w:p>
            <w:pPr>
              <w:jc w:val="center"/>
              <w:rPr>
                <w:b/>
                <w:sz w:val="21"/>
                <w:szCs w:val="21"/>
              </w:rPr>
            </w:pPr>
            <w:r>
              <w:rPr>
                <w:b/>
                <w:sz w:val="21"/>
                <w:szCs w:val="21"/>
              </w:rPr>
              <w:t>E:审核员</w:t>
            </w:r>
          </w:p>
          <w:p>
            <w:pPr>
              <w:jc w:val="center"/>
              <w:rPr>
                <w:b/>
                <w:sz w:val="21"/>
                <w:szCs w:val="21"/>
              </w:rPr>
            </w:pPr>
            <w:r>
              <w:rPr>
                <w:b/>
                <w:sz w:val="21"/>
                <w:szCs w:val="21"/>
              </w:rPr>
              <w:t>Q:审核员</w:t>
            </w:r>
          </w:p>
        </w:tc>
        <w:tc>
          <w:tcPr>
            <w:tcW w:w="1699" w:type="dxa"/>
            <w:vAlign w:val="center"/>
          </w:tcPr>
          <w:p>
            <w:pPr>
              <w:jc w:val="center"/>
              <w:rPr>
                <w:b/>
                <w:sz w:val="21"/>
                <w:szCs w:val="21"/>
              </w:rPr>
            </w:pPr>
            <w:r>
              <w:rPr>
                <w:b/>
                <w:sz w:val="21"/>
                <w:szCs w:val="21"/>
              </w:rPr>
              <w:t>2018-N1OHSMS-1210615</w:t>
            </w:r>
          </w:p>
          <w:p>
            <w:pPr>
              <w:jc w:val="center"/>
              <w:rPr>
                <w:b/>
                <w:sz w:val="21"/>
                <w:szCs w:val="21"/>
              </w:rPr>
            </w:pPr>
            <w:r>
              <w:rPr>
                <w:b/>
                <w:sz w:val="21"/>
                <w:szCs w:val="21"/>
              </w:rPr>
              <w:t>2018-N1EMS-1210615</w:t>
            </w:r>
          </w:p>
          <w:p>
            <w:pPr>
              <w:jc w:val="center"/>
              <w:rPr>
                <w:b/>
                <w:sz w:val="21"/>
                <w:szCs w:val="21"/>
              </w:rPr>
            </w:pPr>
            <w:r>
              <w:rPr>
                <w:b/>
                <w:sz w:val="21"/>
                <w:szCs w:val="21"/>
              </w:rPr>
              <w:t>2018-N1QMS-2210615</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ISC-210615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白振中</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O:专家</w:t>
            </w:r>
          </w:p>
          <w:p>
            <w:pPr>
              <w:jc w:val="center"/>
              <w:rPr>
                <w:b/>
                <w:sz w:val="21"/>
                <w:szCs w:val="21"/>
              </w:rPr>
            </w:pPr>
            <w:r>
              <w:rPr>
                <w:b/>
                <w:sz w:val="21"/>
                <w:szCs w:val="21"/>
              </w:rPr>
              <w:t>E:专家</w:t>
            </w:r>
          </w:p>
          <w:p>
            <w:pPr>
              <w:jc w:val="center"/>
              <w:rPr>
                <w:b/>
                <w:sz w:val="21"/>
                <w:szCs w:val="21"/>
              </w:rPr>
            </w:pPr>
            <w:r>
              <w:rPr>
                <w:b/>
                <w:sz w:val="21"/>
                <w:szCs w:val="21"/>
              </w:rPr>
              <w:t>Q:专家</w:t>
            </w:r>
          </w:p>
          <w:p>
            <w:pPr>
              <w:jc w:val="center"/>
              <w:rPr>
                <w:b/>
                <w:sz w:val="21"/>
                <w:szCs w:val="21"/>
              </w:rPr>
            </w:pPr>
          </w:p>
        </w:tc>
        <w:tc>
          <w:tcPr>
            <w:tcW w:w="1699" w:type="dxa"/>
            <w:vAlign w:val="center"/>
          </w:tcPr>
          <w:p>
            <w:pPr>
              <w:jc w:val="center"/>
              <w:rPr>
                <w:b/>
                <w:sz w:val="21"/>
                <w:szCs w:val="21"/>
              </w:rPr>
            </w:pPr>
            <w:r>
              <w:rPr>
                <w:b/>
                <w:sz w:val="21"/>
                <w:szCs w:val="21"/>
              </w:rPr>
              <w:t>ISC-JSZJ-214</w:t>
            </w:r>
          </w:p>
          <w:p>
            <w:pPr>
              <w:jc w:val="center"/>
              <w:rPr>
                <w:b/>
                <w:sz w:val="21"/>
                <w:szCs w:val="21"/>
              </w:rPr>
            </w:pPr>
            <w:r>
              <w:rPr>
                <w:b/>
                <w:sz w:val="21"/>
                <w:szCs w:val="21"/>
              </w:rPr>
              <w:t>ISC-JSZJ-214</w:t>
            </w:r>
          </w:p>
          <w:p>
            <w:pPr>
              <w:jc w:val="center"/>
              <w:rPr>
                <w:b/>
                <w:sz w:val="21"/>
                <w:szCs w:val="21"/>
              </w:rPr>
            </w:pPr>
            <w:r>
              <w:rPr>
                <w:b/>
                <w:sz w:val="21"/>
                <w:szCs w:val="21"/>
              </w:rPr>
              <w:t>ISC-JSZJ-214</w:t>
            </w:r>
          </w:p>
          <w:p>
            <w:pPr>
              <w:jc w:val="center"/>
              <w:rPr>
                <w:b/>
                <w:sz w:val="21"/>
                <w:szCs w:val="21"/>
              </w:rPr>
            </w:pPr>
            <w:r>
              <w:rPr>
                <w:b/>
                <w:sz w:val="21"/>
                <w:szCs w:val="21"/>
              </w:rPr>
              <w:t>北京骏景酒店用品有限公司</w:t>
            </w:r>
          </w:p>
        </w:tc>
        <w:tc>
          <w:tcPr>
            <w:tcW w:w="1728" w:type="dxa"/>
            <w:gridSpan w:val="2"/>
            <w:vAlign w:val="center"/>
          </w:tcPr>
          <w:p>
            <w:pPr>
              <w:jc w:val="center"/>
              <w:rPr>
                <w:b/>
                <w:sz w:val="21"/>
                <w:szCs w:val="21"/>
              </w:rPr>
            </w:pPr>
            <w:r>
              <w:rPr>
                <w:b/>
                <w:sz w:val="21"/>
                <w:szCs w:val="21"/>
              </w:rPr>
              <w:t>O:12.04.01</w:t>
            </w:r>
          </w:p>
          <w:p>
            <w:pPr>
              <w:jc w:val="center"/>
              <w:rPr>
                <w:b/>
                <w:sz w:val="21"/>
                <w:szCs w:val="21"/>
              </w:rPr>
            </w:pPr>
            <w:r>
              <w:rPr>
                <w:b/>
                <w:sz w:val="21"/>
                <w:szCs w:val="21"/>
              </w:rPr>
              <w:t>E:12.04.01</w:t>
            </w:r>
          </w:p>
          <w:p>
            <w:pPr>
              <w:jc w:val="center"/>
              <w:rPr>
                <w:b/>
                <w:sz w:val="21"/>
                <w:szCs w:val="21"/>
              </w:rPr>
            </w:pPr>
            <w:r>
              <w:rPr>
                <w:b/>
                <w:sz w:val="21"/>
                <w:szCs w:val="21"/>
              </w:rPr>
              <w:t>Q:12.04.01</w:t>
            </w:r>
          </w:p>
        </w:tc>
        <w:tc>
          <w:tcPr>
            <w:tcW w:w="1729" w:type="dxa"/>
            <w:gridSpan w:val="2"/>
            <w:vAlign w:val="center"/>
          </w:tcPr>
          <w:p>
            <w:pPr>
              <w:jc w:val="center"/>
              <w:rPr>
                <w:b/>
                <w:sz w:val="21"/>
                <w:szCs w:val="21"/>
              </w:rPr>
            </w:pPr>
            <w:r>
              <w:rPr>
                <w:b/>
                <w:sz w:val="21"/>
                <w:szCs w:val="21"/>
              </w:rPr>
              <w:t>ISC-JSZJ-214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w:t>
      </w:r>
      <w:r>
        <w:rPr>
          <w:rFonts w:hint="eastAsia"/>
          <w:b/>
          <w:sz w:val="21"/>
          <w:szCs w:val="21"/>
          <w:u w:val="single"/>
        </w:rPr>
        <w:t>___</w:t>
      </w:r>
      <w:r>
        <w:rPr>
          <w:rFonts w:hint="eastAsia"/>
          <w:b/>
          <w:sz w:val="21"/>
          <w:szCs w:val="21"/>
          <w:u w:val="single"/>
          <w:lang w:val="en-US" w:eastAsia="zh-CN"/>
        </w:rPr>
        <w:t>GB/T45001转版审核</w:t>
      </w:r>
      <w:r>
        <w:rPr>
          <w:rFonts w:hint="eastAsia"/>
          <w:b/>
          <w:sz w:val="21"/>
          <w:szCs w:val="21"/>
          <w:u w:val="single"/>
        </w:rPr>
        <w:t>____</w:t>
      </w:r>
      <w:r>
        <w:rPr>
          <w:rFonts w:hint="eastAsia"/>
          <w:b/>
          <w:sz w:val="21"/>
          <w:szCs w:val="21"/>
        </w:rPr>
        <w:t>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E勾选Add"/>
      <w:r>
        <w:rPr>
          <w:rFonts w:hint="eastAsia"/>
          <w:b/>
          <w:sz w:val="21"/>
          <w:szCs w:val="21"/>
        </w:rPr>
        <w:t>■</w:t>
      </w:r>
      <w:bookmarkEnd w:id="6"/>
      <w:r>
        <w:rPr>
          <w:rFonts w:hint="eastAsia"/>
          <w:b/>
          <w:sz w:val="21"/>
          <w:szCs w:val="21"/>
        </w:rPr>
        <w:t xml:space="preserve"> GB/T 24001-2016 idt ISO 14001:2015标准</w:t>
      </w:r>
    </w:p>
    <w:p>
      <w:pPr>
        <w:tabs>
          <w:tab w:val="left" w:pos="645"/>
        </w:tabs>
        <w:rPr>
          <w:b/>
          <w:sz w:val="21"/>
          <w:szCs w:val="21"/>
        </w:rPr>
      </w:pPr>
      <w:bookmarkStart w:id="7" w:name="S勾选Add1"/>
      <w:r>
        <w:rPr>
          <w:rFonts w:hint="eastAsia"/>
          <w:b/>
          <w:sz w:val="21"/>
          <w:szCs w:val="21"/>
        </w:rPr>
        <w:t>■</w:t>
      </w:r>
      <w:bookmarkEnd w:id="7"/>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8" w:name="组织名称Add"/>
            <w:r>
              <w:rPr>
                <w:rFonts w:ascii="宋体"/>
                <w:b/>
                <w:color w:val="auto"/>
                <w:sz w:val="21"/>
              </w:rPr>
              <w:t>河北蓓特丽洗涤用品开发有限公司</w:t>
            </w:r>
            <w:bookmarkEnd w:id="8"/>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r>
              <w:rPr>
                <w:rFonts w:hint="eastAsia" w:ascii="宋体"/>
                <w:b w:val="0"/>
                <w:bCs/>
                <w:sz w:val="21"/>
                <w:lang w:val="en-US" w:eastAsia="zh-CN"/>
              </w:rPr>
              <w:t>25无变化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color w:val="auto"/>
                <w:sz w:val="21"/>
              </w:rPr>
            </w:pPr>
            <w:bookmarkStart w:id="9" w:name="注册地址"/>
            <w:r>
              <w:rPr>
                <w:rFonts w:ascii="宋体"/>
                <w:b/>
                <w:color w:val="auto"/>
                <w:sz w:val="21"/>
              </w:rPr>
              <w:t>河北省石家庄市桥西区留营乡南简良村工业园区</w:t>
            </w:r>
            <w:bookmarkEnd w:id="9"/>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b/>
                <w:sz w:val="21"/>
              </w:rPr>
            </w:pPr>
            <w:r>
              <w:rPr>
                <w:rFonts w:hint="eastAsia" w:ascii="宋体"/>
                <w:b w:val="0"/>
                <w:bCs/>
                <w:sz w:val="21"/>
                <w:lang w:eastAsia="zh-CN"/>
              </w:rPr>
              <w:t>050081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0" w:name="办公地址"/>
            <w:r>
              <w:rPr>
                <w:rFonts w:ascii="宋体"/>
                <w:b/>
                <w:sz w:val="21"/>
              </w:rPr>
              <w:t>河北省石家庄市桥西区留营乡南简良村工业园区</w:t>
            </w:r>
            <w:bookmarkEnd w:id="10"/>
          </w:p>
        </w:tc>
        <w:tc>
          <w:tcPr>
            <w:tcW w:w="1672" w:type="dxa"/>
            <w:vMerge w:val="continue"/>
            <w:vAlign w:val="center"/>
          </w:tcPr>
          <w:p>
            <w:pPr>
              <w:jc w:val="center"/>
              <w:rPr>
                <w:rFonts w:ascii="宋体"/>
                <w:b/>
                <w:sz w:val="21"/>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b/>
                <w:sz w:val="21"/>
              </w:rPr>
            </w:pPr>
            <w:r>
              <w:rPr>
                <w:rFonts w:hint="eastAsia" w:ascii="宋体"/>
                <w:b w:val="0"/>
                <w:bCs/>
                <w:sz w:val="21"/>
                <w:lang w:eastAsia="zh-CN"/>
              </w:rPr>
              <w:t>050081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1" w:name="生产地址Add"/>
            <w:r>
              <w:rPr>
                <w:rFonts w:ascii="宋体"/>
                <w:b/>
                <w:sz w:val="21"/>
              </w:rPr>
              <w:t>河北省石家庄市桥西区留营乡南简良村工业园区</w:t>
            </w:r>
            <w:bookmarkEnd w:id="11"/>
          </w:p>
        </w:tc>
        <w:tc>
          <w:tcPr>
            <w:tcW w:w="1672" w:type="dxa"/>
            <w:vMerge w:val="continue"/>
            <w:vAlign w:val="center"/>
          </w:tcPr>
          <w:p>
            <w:pPr>
              <w:jc w:val="center"/>
              <w:rPr>
                <w:rFonts w:ascii="宋体"/>
                <w:b/>
                <w:sz w:val="21"/>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b/>
                <w:sz w:val="21"/>
              </w:rPr>
            </w:pPr>
            <w:r>
              <w:rPr>
                <w:rFonts w:hint="eastAsia" w:ascii="宋体"/>
                <w:b w:val="0"/>
                <w:bCs/>
                <w:sz w:val="21"/>
                <w:lang w:eastAsia="zh-CN"/>
              </w:rPr>
              <w:t>050081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2" w:name="联系人"/>
            <w:r>
              <w:rPr>
                <w:rFonts w:ascii="宋体"/>
                <w:b/>
                <w:sz w:val="21"/>
              </w:rPr>
              <w:t>陈永军</w:t>
            </w:r>
            <w:bookmarkEnd w:id="12"/>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3" w:name="联系人电话Add"/>
            <w:r>
              <w:rPr>
                <w:rFonts w:ascii="宋体"/>
                <w:b/>
                <w:sz w:val="21"/>
              </w:rPr>
              <w:t>0311-83605762</w:t>
            </w:r>
            <w:bookmarkEnd w:id="13"/>
          </w:p>
        </w:tc>
        <w:tc>
          <w:tcPr>
            <w:tcW w:w="1672" w:type="dxa"/>
            <w:vAlign w:val="center"/>
          </w:tcPr>
          <w:p>
            <w:pPr>
              <w:jc w:val="center"/>
              <w:rPr>
                <w:rFonts w:ascii="宋体"/>
                <w:b/>
                <w:sz w:val="21"/>
              </w:rPr>
            </w:pPr>
            <w:r>
              <w:rPr>
                <w:rFonts w:hint="eastAsia" w:ascii="宋体" w:hAnsi="宋体"/>
                <w:b/>
                <w:sz w:val="21"/>
              </w:rPr>
              <w:t>传真</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b/>
                <w:sz w:val="21"/>
              </w:rPr>
            </w:pPr>
            <w:bookmarkStart w:id="14" w:name="联系人传真"/>
            <w:bookmarkEnd w:id="14"/>
            <w:r>
              <w:rPr>
                <w:b w:val="0"/>
                <w:bCs/>
                <w:sz w:val="20"/>
              </w:rPr>
              <w:t>0311-83605762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5" w:name="法人"/>
            <w:r>
              <w:rPr>
                <w:rFonts w:ascii="宋体" w:hAnsi="宋体"/>
                <w:b/>
                <w:sz w:val="21"/>
                <w:szCs w:val="21"/>
              </w:rPr>
              <w:t>石玉芹</w:t>
            </w:r>
            <w:bookmarkEnd w:id="15"/>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6" w:name="管理者代表"/>
            <w:r>
              <w:rPr>
                <w:rFonts w:ascii="宋体"/>
                <w:b/>
                <w:sz w:val="21"/>
              </w:rPr>
              <w:t>陈永军</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7" w:name="审核日期"/>
            <w:r>
              <w:rPr>
                <w:rFonts w:ascii="宋体" w:hAnsi="宋体"/>
                <w:b/>
                <w:sz w:val="21"/>
                <w:szCs w:val="21"/>
              </w:rPr>
              <w:t>2020年12月07日 上午至2020年12月10日 下午</w:t>
            </w:r>
            <w:bookmarkEnd w:id="17"/>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260" w:lineRule="exact"/>
              <w:jc w:val="left"/>
              <w:rPr>
                <w:rFonts w:hint="eastAsia" w:ascii="宋体" w:hAnsi="宋体" w:cs="Times New Roman"/>
                <w:b/>
                <w:sz w:val="21"/>
                <w:szCs w:val="21"/>
              </w:rPr>
            </w:pPr>
            <w:bookmarkStart w:id="18" w:name="审核范围"/>
            <w:r>
              <w:rPr>
                <w:rFonts w:hint="eastAsia" w:ascii="宋体" w:hAnsi="宋体" w:cs="Times New Roman"/>
                <w:b/>
                <w:sz w:val="21"/>
                <w:szCs w:val="21"/>
              </w:rPr>
              <w:t>O：洗涤剂（洗衣液、洗衣粉）的生产及其所涉及场所的相关职业健康安全管理活动</w:t>
            </w:r>
          </w:p>
          <w:p>
            <w:pPr>
              <w:spacing w:line="260" w:lineRule="exact"/>
              <w:jc w:val="left"/>
              <w:rPr>
                <w:rFonts w:hint="eastAsia" w:ascii="宋体" w:hAnsi="宋体" w:cs="Times New Roman"/>
                <w:b/>
                <w:sz w:val="21"/>
                <w:szCs w:val="21"/>
              </w:rPr>
            </w:pPr>
            <w:r>
              <w:rPr>
                <w:rFonts w:hint="eastAsia" w:ascii="宋体" w:hAnsi="宋体" w:cs="Times New Roman"/>
                <w:b/>
                <w:sz w:val="21"/>
                <w:szCs w:val="21"/>
              </w:rPr>
              <w:t>E：洗涤剂（洗衣液、洗衣粉）的生产及其所涉及场所的相关环境管理活动</w:t>
            </w:r>
          </w:p>
          <w:p>
            <w:pPr>
              <w:spacing w:line="260" w:lineRule="exact"/>
              <w:jc w:val="left"/>
              <w:rPr>
                <w:rFonts w:ascii="宋体" w:hAnsi="宋体"/>
                <w:b/>
                <w:sz w:val="21"/>
                <w:szCs w:val="21"/>
              </w:rPr>
            </w:pPr>
            <w:r>
              <w:rPr>
                <w:rFonts w:hint="eastAsia" w:ascii="宋体" w:hAnsi="宋体" w:cs="Times New Roman"/>
                <w:b/>
                <w:sz w:val="21"/>
                <w:szCs w:val="21"/>
              </w:rPr>
              <w:t>Q：洗涤剂（洗衣液、洗衣粉）的生产</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19" w:name="专业代码"/>
            <w:r>
              <w:rPr>
                <w:rFonts w:ascii="宋体" w:hAnsi="宋体"/>
                <w:b/>
                <w:sz w:val="21"/>
                <w:szCs w:val="21"/>
              </w:rPr>
              <w:t>O：12.04.01</w:t>
            </w:r>
          </w:p>
          <w:p>
            <w:pPr>
              <w:spacing w:line="260" w:lineRule="exact"/>
              <w:rPr>
                <w:rFonts w:ascii="宋体" w:hAnsi="宋体"/>
                <w:b/>
                <w:sz w:val="21"/>
                <w:szCs w:val="21"/>
              </w:rPr>
            </w:pPr>
            <w:r>
              <w:rPr>
                <w:rFonts w:ascii="宋体" w:hAnsi="宋体"/>
                <w:b/>
                <w:sz w:val="21"/>
                <w:szCs w:val="21"/>
              </w:rPr>
              <w:t>E：12.04.01</w:t>
            </w:r>
          </w:p>
          <w:p>
            <w:pPr>
              <w:spacing w:line="260" w:lineRule="exact"/>
              <w:rPr>
                <w:rFonts w:ascii="宋体" w:hAnsi="宋体"/>
                <w:b/>
                <w:sz w:val="21"/>
                <w:szCs w:val="21"/>
              </w:rPr>
            </w:pPr>
            <w:r>
              <w:rPr>
                <w:rFonts w:ascii="宋体" w:hAnsi="宋体"/>
                <w:b/>
                <w:sz w:val="21"/>
                <w:szCs w:val="21"/>
              </w:rPr>
              <w:t>Q：12.04.01</w:t>
            </w:r>
            <w:bookmarkEnd w:id="19"/>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宋体" w:hAnsi="宋体"/>
                <w:b w:val="0"/>
                <w:bCs/>
                <w:sz w:val="21"/>
                <w:szCs w:val="21"/>
                <w:lang w:val="en-US" w:eastAsia="zh-CN"/>
              </w:rPr>
              <w:t>2021.9.27</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9</w:t>
            </w:r>
            <w:r>
              <w:rPr>
                <w:rFonts w:hint="eastAsia" w:ascii="宋体" w:hAnsi="宋体"/>
                <w:b/>
                <w:sz w:val="21"/>
                <w:szCs w:val="21"/>
              </w:rPr>
              <w:t>月</w:t>
            </w:r>
            <w:r>
              <w:rPr>
                <w:rFonts w:hint="eastAsia" w:ascii="宋体" w:hAnsi="宋体"/>
                <w:b/>
                <w:sz w:val="21"/>
                <w:szCs w:val="21"/>
                <w:lang w:val="en-US" w:eastAsia="zh-CN"/>
              </w:rPr>
              <w:t>24</w:t>
            </w:r>
            <w:r>
              <w:rPr>
                <w:rFonts w:hint="eastAsia" w:ascii="宋体" w:hAnsi="宋体"/>
                <w:b/>
                <w:sz w:val="21"/>
                <w:szCs w:val="21"/>
              </w:rPr>
              <w:t>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9</w:t>
      </w:r>
      <w:r>
        <w:rPr>
          <w:rFonts w:hint="eastAsia" w:ascii="宋体" w:hAnsi="宋体"/>
          <w:b/>
          <w:sz w:val="21"/>
          <w:szCs w:val="21"/>
        </w:rPr>
        <w:t>月</w:t>
      </w:r>
      <w:r>
        <w:rPr>
          <w:rFonts w:hint="eastAsia" w:ascii="宋体" w:hAnsi="宋体"/>
          <w:b/>
          <w:sz w:val="21"/>
          <w:szCs w:val="21"/>
          <w:lang w:val="en-US" w:eastAsia="zh-CN"/>
        </w:rPr>
        <w:t>24</w:t>
      </w:r>
      <w:r>
        <w:rPr>
          <w:rFonts w:hint="eastAsia" w:ascii="宋体" w:hAnsi="宋体"/>
          <w:b/>
          <w:sz w:val="21"/>
          <w:szCs w:val="21"/>
        </w:rPr>
        <w:t>日至</w:t>
      </w:r>
      <w:r>
        <w:rPr>
          <w:rFonts w:hint="eastAsia" w:ascii="宋体" w:hAnsi="宋体"/>
          <w:b/>
          <w:sz w:val="21"/>
          <w:szCs w:val="21"/>
          <w:lang w:val="en-US" w:eastAsia="zh-CN"/>
        </w:rPr>
        <w:t>2020年12月10日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b/>
          <w:sz w:val="21"/>
          <w:szCs w:val="21"/>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9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681"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241" w:right="113" w:hanging="241" w:hangingChars="100"/>
              <w:jc w:val="center"/>
              <w:textAlignment w:val="auto"/>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237"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sz w:val="21"/>
                <w:szCs w:val="21"/>
              </w:rPr>
            </w:pPr>
            <w:r>
              <w:rPr>
                <w:rFonts w:hint="eastAsia"/>
                <w:sz w:val="21"/>
                <w:szCs w:val="21"/>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sz w:val="21"/>
                <w:szCs w:val="21"/>
                <w:lang w:eastAsia="zh-CN"/>
              </w:rPr>
              <w:t>；</w:t>
            </w:r>
            <w:r>
              <w:rPr>
                <w:rFonts w:hint="eastAsia"/>
                <w:sz w:val="21"/>
                <w:szCs w:val="21"/>
              </w:rPr>
              <w:t>对这些内外部因素通过定期的网站获取、顾客沟通、及定期（周总结会议、月中、月末总结会议）内部总结等方式进行监视和评审</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3" w:hRule="atLeast"/>
          <w:jc w:val="center"/>
        </w:trPr>
        <w:tc>
          <w:tcPr>
            <w:tcW w:w="681"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41" w:right="113" w:hanging="241" w:hangingChars="100"/>
              <w:jc w:val="center"/>
              <w:textAlignment w:val="auto"/>
              <w:rPr>
                <w:rFonts w:ascii="宋体"/>
                <w:b/>
                <w:szCs w:val="21"/>
              </w:rPr>
            </w:pPr>
          </w:p>
        </w:tc>
        <w:tc>
          <w:tcPr>
            <w:tcW w:w="9237" w:type="dxa"/>
          </w:tcPr>
          <w:p>
            <w:pPr>
              <w:keepNext w:val="0"/>
              <w:keepLines w:val="0"/>
              <w:pageBreakBefore w:val="0"/>
              <w:numPr>
                <w:ilvl w:val="0"/>
                <w:numId w:val="1"/>
              </w:numPr>
              <w:kinsoku/>
              <w:wordWrap/>
              <w:overflowPunct/>
              <w:topLinePunct w:val="0"/>
              <w:autoSpaceDE/>
              <w:autoSpaceDN/>
              <w:bidi w:val="0"/>
              <w:adjustRightInd/>
              <w:snapToGrid/>
              <w:spacing w:line="360" w:lineRule="exact"/>
              <w:textAlignment w:val="auto"/>
              <w:rPr>
                <w:rFonts w:hint="eastAsia" w:ascii="宋体" w:hAnsi="宋体"/>
                <w:b/>
                <w:sz w:val="21"/>
                <w:szCs w:val="21"/>
              </w:rPr>
            </w:pPr>
            <w:r>
              <w:rPr>
                <w:rFonts w:hint="eastAsia" w:ascii="宋体" w:hAnsi="宋体"/>
                <w:b/>
                <w:sz w:val="21"/>
                <w:szCs w:val="21"/>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b/>
                <w:sz w:val="21"/>
                <w:szCs w:val="21"/>
              </w:rPr>
            </w:pPr>
            <w:r>
              <w:rPr>
                <w:rFonts w:hint="eastAsia"/>
                <w:sz w:val="21"/>
                <w:szCs w:val="21"/>
              </w:rPr>
              <w:t>公司确定了与</w:t>
            </w:r>
            <w:r>
              <w:rPr>
                <w:rFonts w:hint="eastAsia"/>
                <w:sz w:val="21"/>
                <w:szCs w:val="21"/>
                <w:lang w:val="en-US" w:eastAsia="zh-CN"/>
              </w:rPr>
              <w:t>质量、环境、职业健康安全</w:t>
            </w:r>
            <w:r>
              <w:rPr>
                <w:rFonts w:hint="eastAsia"/>
                <w:sz w:val="21"/>
                <w:szCs w:val="21"/>
              </w:rPr>
              <w:t>管理体系有关的相关方包括顾客、政府机构、社区、股东、供应商、内部员工等。相关方对企业的要求有：遵守国家的现行法律法规、保持有效的资质、生产的产品环保，对环境无重大污染、量具定期检定、不断提高技术水平以及不断提高客户满意度等。</w:t>
            </w:r>
            <w:r>
              <w:rPr>
                <w:rFonts w:hint="eastAsia"/>
                <w:sz w:val="21"/>
                <w:szCs w:val="21"/>
                <w:lang w:val="en-US" w:eastAsia="zh-CN"/>
              </w:rPr>
              <w:t>公司通过</w:t>
            </w:r>
            <w:r>
              <w:rPr>
                <w:rFonts w:hint="eastAsia"/>
                <w:sz w:val="21"/>
                <w:szCs w:val="21"/>
              </w:rPr>
              <w:t>关注顾客需求，通过持续改进增强用户满意</w:t>
            </w:r>
            <w:r>
              <w:rPr>
                <w:rFonts w:hint="eastAsia"/>
                <w:sz w:val="21"/>
                <w:szCs w:val="21"/>
                <w:lang w:eastAsia="zh-CN"/>
              </w:rPr>
              <w:t>；</w:t>
            </w:r>
            <w:r>
              <w:rPr>
                <w:rFonts w:hint="eastAsia"/>
                <w:sz w:val="21"/>
                <w:szCs w:val="21"/>
              </w:rPr>
              <w:t>遵守国家和地方各项法律法规，履行合规义务</w:t>
            </w:r>
            <w:r>
              <w:rPr>
                <w:rFonts w:hint="eastAsia"/>
                <w:sz w:val="21"/>
                <w:szCs w:val="21"/>
                <w:lang w:eastAsia="zh-CN"/>
              </w:rPr>
              <w:t>；</w:t>
            </w:r>
            <w:r>
              <w:rPr>
                <w:rFonts w:hint="eastAsia"/>
                <w:sz w:val="21"/>
                <w:szCs w:val="21"/>
              </w:rPr>
              <w:t>以下行为满足相关方需求和期望：持续改进管理体系过程，提升</w:t>
            </w:r>
            <w:r>
              <w:rPr>
                <w:rFonts w:hint="eastAsia"/>
                <w:sz w:val="21"/>
                <w:szCs w:val="21"/>
                <w:lang w:val="en-US" w:eastAsia="zh-CN"/>
              </w:rPr>
              <w:t>环境、职业健康安全</w:t>
            </w:r>
            <w:r>
              <w:rPr>
                <w:rFonts w:hint="eastAsia"/>
                <w:sz w:val="21"/>
                <w:szCs w:val="21"/>
              </w:rPr>
              <w:t>绩效</w:t>
            </w:r>
            <w:r>
              <w:rPr>
                <w:rFonts w:hint="eastAsia"/>
                <w:sz w:val="21"/>
                <w:szCs w:val="21"/>
                <w:lang w:val="en-US" w:eastAsia="zh-CN"/>
              </w:rPr>
              <w:t>等，</w:t>
            </w:r>
            <w:r>
              <w:rPr>
                <w:rFonts w:hint="eastAsia"/>
                <w:sz w:val="21"/>
                <w:szCs w:val="21"/>
              </w:rPr>
              <w:t>公司管理层及相关部门将持续关注相关方需求的变化，必要时通过评估风险和机遇，调整管理体系目标和指标或变更管理过程以适应这些变化或实现改进</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2" w:hRule="atLeast"/>
          <w:jc w:val="center"/>
        </w:trPr>
        <w:tc>
          <w:tcPr>
            <w:tcW w:w="681"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41" w:right="113" w:hanging="241" w:hangingChars="100"/>
              <w:jc w:val="center"/>
              <w:textAlignment w:val="auto"/>
              <w:rPr>
                <w:rFonts w:ascii="宋体"/>
                <w:b/>
                <w:szCs w:val="21"/>
              </w:rPr>
            </w:pPr>
          </w:p>
        </w:tc>
        <w:tc>
          <w:tcPr>
            <w:tcW w:w="9237" w:type="dxa"/>
          </w:tcPr>
          <w:p>
            <w:pPr>
              <w:keepNext w:val="0"/>
              <w:keepLines w:val="0"/>
              <w:pageBreakBefore w:val="0"/>
              <w:numPr>
                <w:ilvl w:val="0"/>
                <w:numId w:val="2"/>
              </w:numPr>
              <w:kinsoku/>
              <w:wordWrap/>
              <w:overflowPunct/>
              <w:topLinePunct w:val="0"/>
              <w:autoSpaceDE/>
              <w:autoSpaceDN/>
              <w:bidi w:val="0"/>
              <w:adjustRightInd/>
              <w:snapToGrid/>
              <w:spacing w:line="360" w:lineRule="exact"/>
              <w:textAlignment w:val="auto"/>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职业健康安全方针</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eastAsia="宋体"/>
                <w:sz w:val="21"/>
                <w:szCs w:val="21"/>
                <w:lang w:eastAsia="zh-CN"/>
              </w:rPr>
            </w:pPr>
            <w:r>
              <w:rPr>
                <w:rFonts w:hint="eastAsia"/>
                <w:sz w:val="21"/>
                <w:szCs w:val="21"/>
                <w:lang w:val="en-US" w:eastAsia="zh-CN"/>
              </w:rPr>
              <w:t>1.</w:t>
            </w:r>
            <w:r>
              <w:rPr>
                <w:rFonts w:hint="eastAsia"/>
                <w:sz w:val="21"/>
                <w:szCs w:val="21"/>
              </w:rPr>
              <w:t>管理方针：科学管理，遵守法规，预防污染，持续改进，为社会及员工提供一个健康、安全的工作生活环境，提供用户满意的优质产品，创国内一流品牌</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2.管理方针与企业的经营宗旨相适应，协调一致；</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b/>
                <w:sz w:val="21"/>
                <w:szCs w:val="21"/>
              </w:rPr>
            </w:pPr>
            <w:r>
              <w:rPr>
                <w:rFonts w:hint="eastAsia"/>
                <w:sz w:val="21"/>
                <w:szCs w:val="21"/>
              </w:rPr>
              <w:t>3.通过会议传达，沟通，让全体员工理解执行。并定期进行评审（一般一年一次）。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jc w:val="center"/>
        </w:trPr>
        <w:tc>
          <w:tcPr>
            <w:tcW w:w="681"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41" w:right="113" w:hanging="241" w:hangingChars="100"/>
              <w:jc w:val="center"/>
              <w:textAlignment w:val="auto"/>
              <w:rPr>
                <w:rFonts w:ascii="宋体"/>
                <w:b/>
                <w:szCs w:val="21"/>
              </w:rPr>
            </w:pPr>
          </w:p>
        </w:tc>
        <w:tc>
          <w:tcPr>
            <w:tcW w:w="9237" w:type="dxa"/>
          </w:tcPr>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b/>
                <w:sz w:val="21"/>
                <w:szCs w:val="21"/>
              </w:rPr>
            </w:pPr>
            <w:r>
              <w:rPr>
                <w:rFonts w:hint="eastAsia" w:ascii="宋体" w:hAnsi="宋体"/>
                <w:b/>
                <w:sz w:val="21"/>
                <w:szCs w:val="21"/>
                <w:lang w:val="en-US" w:eastAsia="zh-CN"/>
              </w:rPr>
              <w:t>4.</w:t>
            </w:r>
            <w:r>
              <w:rPr>
                <w:rFonts w:hint="eastAsia" w:ascii="宋体" w:hAnsi="宋体"/>
                <w:b/>
                <w:sz w:val="21"/>
                <w:szCs w:val="21"/>
              </w:rPr>
              <w:t>风险识别与控制策划</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b/>
                <w:sz w:val="21"/>
                <w:szCs w:val="21"/>
              </w:rPr>
            </w:pPr>
            <w:r>
              <w:rPr>
                <w:rFonts w:hint="eastAsia" w:ascii="Times New Roman" w:hAnsi="Times New Roman" w:cs="Times New Roman"/>
                <w:sz w:val="21"/>
                <w:szCs w:val="21"/>
                <w:u w:val="none"/>
              </w:rPr>
              <w:t>公司</w:t>
            </w:r>
            <w:r>
              <w:rPr>
                <w:rFonts w:hint="eastAsia" w:ascii="Times New Roman" w:hAnsi="Times New Roman" w:cs="Times New Roman"/>
                <w:sz w:val="21"/>
                <w:szCs w:val="21"/>
                <w:u w:val="none"/>
                <w:lang w:val="en-US" w:eastAsia="zh-CN"/>
              </w:rPr>
              <w:t>编制</w:t>
            </w:r>
            <w:r>
              <w:rPr>
                <w:rFonts w:hint="eastAsia" w:ascii="Times New Roman" w:hAnsi="Times New Roman" w:cs="Times New Roman"/>
                <w:sz w:val="21"/>
                <w:szCs w:val="21"/>
                <w:u w:val="none"/>
              </w:rPr>
              <w:t>《应对风险和机遇的措施表》，公司</w:t>
            </w:r>
            <w:r>
              <w:rPr>
                <w:rFonts w:hint="eastAsia" w:ascii="Times New Roman" w:hAnsi="Times New Roman" w:cs="Times New Roman"/>
                <w:sz w:val="21"/>
                <w:szCs w:val="21"/>
                <w:u w:val="none"/>
                <w:lang w:val="en-US" w:eastAsia="zh-CN"/>
              </w:rPr>
              <w:t>分别从顾客过程、公司内部、外部供方、外部环境等方面</w:t>
            </w:r>
            <w:r>
              <w:rPr>
                <w:rFonts w:hint="eastAsia" w:ascii="Times New Roman" w:hAnsi="Times New Roman" w:cs="Times New Roman"/>
                <w:sz w:val="21"/>
                <w:szCs w:val="21"/>
                <w:u w:val="none"/>
              </w:rPr>
              <w:t>识别了必要的风险和机遇，如：方针和目标变更的需求，</w:t>
            </w:r>
            <w:r>
              <w:rPr>
                <w:rFonts w:hint="eastAsia" w:ascii="Times New Roman" w:hAnsi="Times New Roman" w:cs="Times New Roman"/>
                <w:sz w:val="21"/>
                <w:szCs w:val="21"/>
                <w:u w:val="none"/>
                <w:lang w:val="en-US" w:eastAsia="zh-CN"/>
              </w:rPr>
              <w:t>环境</w:t>
            </w:r>
            <w:r>
              <w:rPr>
                <w:rFonts w:hint="eastAsia" w:ascii="Times New Roman" w:hAnsi="Times New Roman" w:cs="Times New Roman"/>
                <w:sz w:val="21"/>
                <w:szCs w:val="21"/>
                <w:u w:val="none"/>
              </w:rPr>
              <w:t>标准变更，原材料变更，工艺变更</w:t>
            </w:r>
            <w:r>
              <w:rPr>
                <w:rFonts w:hint="eastAsia" w:ascii="Times New Roman" w:hAnsi="Times New Roman" w:cs="Times New Roman"/>
                <w:sz w:val="21"/>
                <w:szCs w:val="21"/>
                <w:u w:val="none"/>
                <w:lang w:eastAsia="zh-CN"/>
              </w:rPr>
              <w:t>、</w:t>
            </w:r>
            <w:r>
              <w:rPr>
                <w:rFonts w:hint="eastAsia" w:ascii="Times New Roman" w:hAnsi="Times New Roman" w:cs="Times New Roman"/>
                <w:sz w:val="21"/>
                <w:szCs w:val="21"/>
                <w:u w:val="none"/>
                <w:lang w:val="en-US" w:eastAsia="zh-CN"/>
              </w:rPr>
              <w:t>法律法规变更、外部环境（包括空气 水的变化）</w:t>
            </w:r>
            <w:r>
              <w:rPr>
                <w:rFonts w:hint="eastAsia" w:ascii="Times New Roman" w:hAnsi="Times New Roman" w:cs="Times New Roman"/>
                <w:sz w:val="21"/>
                <w:szCs w:val="21"/>
                <w:u w:val="none"/>
              </w:rPr>
              <w:t>等风险，制定了相应的应对措施，制定了负责的部门和具体的实施方案，需要的资金和日程安排</w:t>
            </w:r>
            <w:r>
              <w:rPr>
                <w:rFonts w:hint="eastAsia" w:ascii="Times New Roman" w:hAnsi="Times New Roman" w:cs="Times New Roman"/>
                <w:sz w:val="21"/>
                <w:szCs w:val="21"/>
                <w:u w:val="none"/>
                <w:lang w:val="en-US" w:eastAsia="zh-CN"/>
              </w:rPr>
              <w:t>等，</w:t>
            </w:r>
            <w:r>
              <w:rPr>
                <w:rFonts w:hint="eastAsia" w:ascii="Times New Roman" w:hAnsi="Times New Roman" w:cs="Times New Roman"/>
                <w:sz w:val="21"/>
                <w:szCs w:val="21"/>
                <w:u w:val="none"/>
              </w:rPr>
              <w:t>如针对</w:t>
            </w:r>
            <w:r>
              <w:rPr>
                <w:rFonts w:hint="eastAsia" w:ascii="Times New Roman" w:hAnsi="Times New Roman" w:cs="Times New Roman"/>
                <w:sz w:val="21"/>
                <w:szCs w:val="21"/>
                <w:u w:val="none"/>
                <w:lang w:val="en-US" w:eastAsia="zh-CN"/>
              </w:rPr>
              <w:t>法律法规</w:t>
            </w:r>
            <w:r>
              <w:rPr>
                <w:rFonts w:hint="eastAsia" w:ascii="Times New Roman" w:hAnsi="Times New Roman" w:cs="Times New Roman"/>
                <w:sz w:val="21"/>
                <w:szCs w:val="21"/>
                <w:u w:val="none"/>
              </w:rPr>
              <w:t>的变更，由</w:t>
            </w:r>
            <w:r>
              <w:rPr>
                <w:rFonts w:hint="eastAsia" w:ascii="Times New Roman" w:hAnsi="Times New Roman" w:cs="Times New Roman"/>
                <w:sz w:val="21"/>
                <w:szCs w:val="21"/>
                <w:u w:val="none"/>
                <w:lang w:val="en-US" w:eastAsia="zh-CN"/>
              </w:rPr>
              <w:t>办公室</w:t>
            </w:r>
            <w:r>
              <w:rPr>
                <w:rFonts w:hint="eastAsia" w:ascii="Times New Roman" w:hAnsi="Times New Roman" w:cs="Times New Roman"/>
                <w:sz w:val="21"/>
                <w:szCs w:val="21"/>
                <w:u w:val="none"/>
                <w:lang w:eastAsia="zh-CN"/>
              </w:rPr>
              <w:t>紧密与</w:t>
            </w:r>
            <w:r>
              <w:rPr>
                <w:rFonts w:hint="eastAsia" w:ascii="Times New Roman" w:hAnsi="Times New Roman" w:cs="Times New Roman"/>
                <w:sz w:val="21"/>
                <w:szCs w:val="21"/>
                <w:u w:val="none"/>
                <w:lang w:val="en-US" w:eastAsia="zh-CN"/>
              </w:rPr>
              <w:t>行政部门</w:t>
            </w:r>
            <w:r>
              <w:rPr>
                <w:rFonts w:hint="eastAsia" w:ascii="Times New Roman" w:hAnsi="Times New Roman" w:cs="Times New Roman"/>
                <w:sz w:val="21"/>
                <w:szCs w:val="21"/>
                <w:u w:val="none"/>
                <w:lang w:eastAsia="zh-CN"/>
              </w:rPr>
              <w:t>沟通</w:t>
            </w:r>
            <w:r>
              <w:rPr>
                <w:rFonts w:hint="eastAsia" w:ascii="Times New Roman" w:hAnsi="Times New Roman" w:cs="Times New Roman"/>
                <w:sz w:val="21"/>
                <w:szCs w:val="21"/>
                <w:u w:val="none"/>
              </w:rPr>
              <w:t>，是否有更新的需求</w:t>
            </w:r>
            <w:r>
              <w:rPr>
                <w:rFonts w:hint="eastAsia" w:ascii="Times New Roman" w:hAnsi="Times New Roman" w:cs="Times New Roman"/>
                <w:sz w:val="21"/>
                <w:szCs w:val="21"/>
                <w:u w:val="none"/>
                <w:lang w:eastAsia="zh-CN"/>
              </w:rPr>
              <w:t>，</w:t>
            </w:r>
            <w:r>
              <w:rPr>
                <w:rFonts w:hint="eastAsia" w:ascii="Times New Roman" w:hAnsi="Times New Roman" w:cs="Times New Roman"/>
                <w:sz w:val="21"/>
                <w:szCs w:val="21"/>
                <w:u w:val="none"/>
                <w:lang w:val="en-US" w:eastAsia="zh-CN"/>
              </w:rPr>
              <w:t>经查</w:t>
            </w:r>
            <w:r>
              <w:rPr>
                <w:rFonts w:hint="eastAsia" w:ascii="Times New Roman" w:hAnsi="Times New Roman" w:cs="Times New Roman"/>
                <w:sz w:val="21"/>
                <w:szCs w:val="21"/>
                <w:u w:val="none"/>
              </w:rPr>
              <w:t>暂无变更需求</w:t>
            </w:r>
            <w:r>
              <w:rPr>
                <w:rFonts w:hint="eastAsia" w:ascii="Times New Roman" w:hAnsi="Times New Roman" w:cs="Times New Roman"/>
                <w:sz w:val="21"/>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jc w:val="center"/>
        </w:trPr>
        <w:tc>
          <w:tcPr>
            <w:tcW w:w="681"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41" w:right="113" w:hanging="241" w:hangingChars="100"/>
              <w:jc w:val="center"/>
              <w:textAlignment w:val="auto"/>
              <w:rPr>
                <w:rFonts w:ascii="宋体"/>
                <w:b/>
                <w:szCs w:val="21"/>
              </w:rPr>
            </w:pPr>
          </w:p>
        </w:tc>
        <w:tc>
          <w:tcPr>
            <w:tcW w:w="9237" w:type="dxa"/>
          </w:tcPr>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b/>
                <w:color w:val="000000" w:themeColor="text1"/>
                <w:sz w:val="21"/>
                <w:szCs w:val="21"/>
              </w:rPr>
            </w:pPr>
            <w:r>
              <w:rPr>
                <w:b/>
                <w:sz w:val="21"/>
                <w:szCs w:val="21"/>
              </w:rPr>
              <w:t>5.QMS</w:t>
            </w:r>
            <w:r>
              <w:rPr>
                <w:rFonts w:hint="eastAsia" w:ascii="宋体" w:hAnsi="宋体"/>
                <w:b/>
                <w:sz w:val="21"/>
                <w:szCs w:val="21"/>
              </w:rPr>
              <w:t>过程</w:t>
            </w:r>
          </w:p>
          <w:p>
            <w:pPr>
              <w:keepNext w:val="0"/>
              <w:keepLines w:val="0"/>
              <w:pageBreakBefore w:val="0"/>
              <w:tabs>
                <w:tab w:val="left" w:pos="540"/>
              </w:tabs>
              <w:kinsoku/>
              <w:wordWrap/>
              <w:overflowPunct/>
              <w:topLinePunct w:val="0"/>
              <w:autoSpaceDE/>
              <w:autoSpaceDN/>
              <w:bidi w:val="0"/>
              <w:adjustRightInd/>
              <w:snapToGrid/>
              <w:spacing w:line="34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 w:val="21"/>
                <w:szCs w:val="21"/>
                <w:lang w:val="en-US" w:eastAsia="zh-CN"/>
              </w:rPr>
              <w:t>生产和服务提供过程；产品和服务的放行；销售过程；</w:t>
            </w:r>
            <w:r>
              <w:rPr>
                <w:rFonts w:hint="eastAsia" w:ascii="宋体" w:hAnsi="宋体" w:eastAsia="宋体" w:cs="宋体"/>
                <w:kern w:val="0"/>
                <w:sz w:val="21"/>
                <w:szCs w:val="21"/>
                <w:lang w:eastAsia="zh-CN"/>
              </w:rPr>
              <w:t>外部提供产品、服务和过程</w:t>
            </w:r>
          </w:p>
          <w:p>
            <w:pPr>
              <w:keepNext w:val="0"/>
              <w:keepLines w:val="0"/>
              <w:pageBreakBefore w:val="0"/>
              <w:tabs>
                <w:tab w:val="left" w:pos="540"/>
              </w:tabs>
              <w:kinsoku/>
              <w:wordWrap/>
              <w:overflowPunct/>
              <w:topLinePunct w:val="0"/>
              <w:autoSpaceDE/>
              <w:autoSpaceDN/>
              <w:bidi w:val="0"/>
              <w:adjustRightInd/>
              <w:snapToGrid/>
              <w:spacing w:line="34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val="0"/>
                <w:bCs/>
                <w:color w:val="000000" w:themeColor="text1"/>
                <w:sz w:val="20"/>
                <w:szCs w:val="20"/>
                <w:u w:val="single"/>
              </w:rPr>
              <w:t xml:space="preserve"> </w:t>
            </w:r>
            <w:r>
              <w:rPr>
                <w:rFonts w:hint="eastAsia" w:ascii="宋体" w:hAnsi="宋体"/>
                <w:b w:val="0"/>
                <w:bCs/>
                <w:color w:val="000000" w:themeColor="text1"/>
                <w:sz w:val="20"/>
                <w:szCs w:val="20"/>
                <w:u w:val="single"/>
                <w:lang w:val="en-US" w:eastAsia="zh-CN"/>
              </w:rPr>
              <w:t>配料</w:t>
            </w:r>
            <w:r>
              <w:rPr>
                <w:rFonts w:hint="eastAsia" w:ascii="宋体" w:hAnsi="宋体"/>
                <w:b w:val="0"/>
                <w:bCs/>
                <w:color w:val="000000" w:themeColor="text1"/>
                <w:sz w:val="20"/>
                <w:szCs w:val="20"/>
                <w:u w:val="single"/>
              </w:rPr>
              <w:t xml:space="preserve"> </w:t>
            </w:r>
            <w:r>
              <w:rPr>
                <w:rFonts w:hint="eastAsia" w:ascii="宋体" w:hAnsi="宋体"/>
                <w:b/>
                <w:color w:val="000000" w:themeColor="text1"/>
                <w:sz w:val="20"/>
                <w:szCs w:val="20"/>
                <w:u w:val="single"/>
              </w:rPr>
              <w:t xml:space="preserve"> </w:t>
            </w:r>
          </w:p>
          <w:p>
            <w:pPr>
              <w:keepNext w:val="0"/>
              <w:keepLines w:val="0"/>
              <w:pageBreakBefore w:val="0"/>
              <w:tabs>
                <w:tab w:val="left" w:pos="540"/>
              </w:tabs>
              <w:kinsoku/>
              <w:wordWrap/>
              <w:overflowPunct/>
              <w:topLinePunct w:val="0"/>
              <w:autoSpaceDE/>
              <w:autoSpaceDN/>
              <w:bidi w:val="0"/>
              <w:adjustRightInd/>
              <w:snapToGrid/>
              <w:spacing w:line="34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u w:val="single"/>
                <w:lang w:val="en-US" w:eastAsia="zh-CN"/>
              </w:rPr>
              <w:t>配料</w:t>
            </w:r>
            <w:r>
              <w:rPr>
                <w:rFonts w:hint="eastAsia" w:ascii="宋体" w:hAnsi="宋体"/>
                <w:b/>
                <w:color w:val="000000" w:themeColor="text1"/>
                <w:sz w:val="20"/>
                <w:szCs w:val="20"/>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Times New Roman" w:hAnsi="Times New Roman" w:cs="Times New Roman"/>
                <w:sz w:val="21"/>
                <w:szCs w:val="21"/>
                <w:u w:val="none"/>
              </w:rPr>
            </w:pPr>
            <w:r>
              <w:rPr>
                <w:rFonts w:hint="eastAsia" w:ascii="宋体" w:hAnsi="宋体"/>
                <w:b/>
                <w:color w:val="000000" w:themeColor="text1"/>
                <w:sz w:val="20"/>
                <w:szCs w:val="20"/>
              </w:rPr>
              <w:t>不适用条款是</w:t>
            </w:r>
            <w:r>
              <w:rPr>
                <w:rFonts w:hint="default" w:ascii="Times New Roman" w:hAnsi="Times New Roman" w:cs="Times New Roman"/>
                <w:b w:val="0"/>
                <w:bCs/>
                <w:color w:val="000000" w:themeColor="text1"/>
                <w:sz w:val="21"/>
                <w:szCs w:val="21"/>
                <w:u w:val="single"/>
              </w:rPr>
              <w:t xml:space="preserve"> </w:t>
            </w:r>
            <w:r>
              <w:rPr>
                <w:rFonts w:hint="default" w:ascii="Times New Roman" w:hAnsi="Times New Roman" w:cs="Times New Roman"/>
                <w:b w:val="0"/>
                <w:bCs/>
                <w:color w:val="000000" w:themeColor="text1"/>
                <w:sz w:val="21"/>
                <w:szCs w:val="21"/>
                <w:u w:val="single"/>
                <w:lang w:val="en-US" w:eastAsia="zh-CN"/>
              </w:rPr>
              <w:t>8.3</w:t>
            </w:r>
            <w:r>
              <w:rPr>
                <w:rFonts w:hint="eastAsia" w:ascii="宋体" w:hAnsi="宋体"/>
                <w:b/>
                <w:color w:val="000000" w:themeColor="text1"/>
                <w:sz w:val="20"/>
                <w:szCs w:val="20"/>
              </w:rPr>
              <w:t>，不适用理由：</w:t>
            </w:r>
            <w:r>
              <w:rPr>
                <w:rFonts w:hint="eastAsia"/>
                <w:sz w:val="21"/>
                <w:szCs w:val="21"/>
              </w:rPr>
              <w:t>产品依据国家标准、行业标准、客户要求</w:t>
            </w:r>
            <w:r>
              <w:rPr>
                <w:rFonts w:hint="eastAsia"/>
                <w:sz w:val="21"/>
                <w:szCs w:val="21"/>
                <w:lang w:val="en-US" w:eastAsia="zh-CN"/>
              </w:rPr>
              <w:t>生产</w:t>
            </w:r>
            <w:r>
              <w:rPr>
                <w:rFonts w:hint="eastAsia"/>
                <w:sz w:val="21"/>
                <w:szCs w:val="21"/>
              </w:rPr>
              <w:t>，目前工艺流程简单成熟</w:t>
            </w:r>
            <w:r>
              <w:rPr>
                <w:rFonts w:hint="eastAsia"/>
                <w:sz w:val="21"/>
                <w:szCs w:val="21"/>
                <w:lang w:val="en-US" w:eastAsia="zh-CN"/>
              </w:rPr>
              <w:t>，</w:t>
            </w:r>
            <w:r>
              <w:rPr>
                <w:rFonts w:hint="eastAsia"/>
                <w:sz w:val="21"/>
                <w:szCs w:val="21"/>
              </w:rPr>
              <w:t>无设计开发要求，故不适用8.3条款，不影响组织确保其产品和服务合格的能力或责任，对增强顾客满意也不会产生影响</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68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 w:val="20"/>
              </w:rPr>
            </w:pPr>
          </w:p>
        </w:tc>
        <w:tc>
          <w:tcPr>
            <w:tcW w:w="923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ascii="宋体" w:hAnsi="宋体"/>
                <w:b/>
                <w:sz w:val="21"/>
                <w:szCs w:val="21"/>
                <w:lang w:val="en-US" w:eastAsia="zh-CN"/>
              </w:rPr>
              <w:t>6</w:t>
            </w:r>
            <w:r>
              <w:rPr>
                <w:rFonts w:ascii="宋体" w:hAnsi="宋体"/>
                <w:b/>
                <w:sz w:val="21"/>
                <w:szCs w:val="21"/>
              </w:rPr>
              <w:t>.</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ascii="宋体" w:hAnsi="宋体"/>
                <w:sz w:val="21"/>
                <w:szCs w:val="21"/>
                <w:lang w:val="en-US" w:eastAsia="zh-CN"/>
              </w:rPr>
              <w:t>办公室组织全体部门对所涉及的环境因素进行识别，并评价出重要环境因素，提供环境因素评价记录，目前环境因素识别基本完整，评价的重要环境因素有</w:t>
            </w:r>
            <w:r>
              <w:rPr>
                <w:rFonts w:hint="eastAsia"/>
                <w:sz w:val="21"/>
                <w:szCs w:val="21"/>
              </w:rPr>
              <w:t>资源能源消耗、固体废弃物排放、噪声排放、火灾</w:t>
            </w:r>
            <w:r>
              <w:rPr>
                <w:rFonts w:hint="eastAsia"/>
                <w:sz w:val="21"/>
                <w:szCs w:val="21"/>
                <w:lang w:val="en-US" w:eastAsia="zh-CN"/>
              </w:rPr>
              <w:t>事故</w:t>
            </w:r>
            <w:r>
              <w:rPr>
                <w:rFonts w:hint="eastAsia"/>
                <w:sz w:val="21"/>
                <w:szCs w:val="21"/>
              </w:rPr>
              <w:t>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8" w:hRule="atLeast"/>
          <w:jc w:val="center"/>
        </w:trPr>
        <w:tc>
          <w:tcPr>
            <w:tcW w:w="68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 w:val="20"/>
              </w:rPr>
            </w:pPr>
          </w:p>
        </w:tc>
        <w:tc>
          <w:tcPr>
            <w:tcW w:w="923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ascii="宋体" w:hAnsi="宋体"/>
                <w:b/>
                <w:sz w:val="21"/>
                <w:szCs w:val="21"/>
                <w:lang w:val="en-US" w:eastAsia="zh-CN"/>
              </w:rPr>
              <w:t>7</w:t>
            </w:r>
            <w:r>
              <w:rPr>
                <w:rFonts w:ascii="宋体" w:hAnsi="宋体"/>
                <w:b/>
                <w:sz w:val="21"/>
                <w:szCs w:val="21"/>
              </w:rPr>
              <w:t xml:space="preserve">.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sz w:val="21"/>
                <w:szCs w:val="21"/>
              </w:rPr>
            </w:pPr>
            <w:r>
              <w:rPr>
                <w:rFonts w:hint="eastAsia" w:ascii="宋体" w:hAnsi="宋体"/>
                <w:sz w:val="21"/>
                <w:szCs w:val="21"/>
                <w:lang w:val="en-US" w:eastAsia="zh-CN"/>
              </w:rPr>
              <w:t>办公室组织全体部门对所涉及的危险源进行识别，并评价出重大危险源，提供重大危险源评价记录，目前危险源识别基本完整，评价的不可接受风险为新冠疫情、</w:t>
            </w:r>
            <w:bookmarkStart w:id="20" w:name="_GoBack"/>
            <w:bookmarkEnd w:id="20"/>
            <w:r>
              <w:rPr>
                <w:rFonts w:hint="eastAsia" w:ascii="宋体" w:hAnsi="宋体"/>
                <w:sz w:val="21"/>
                <w:szCs w:val="21"/>
                <w:lang w:val="en-US" w:eastAsia="zh-CN"/>
              </w:rPr>
              <w:t>火灾、触电、噪声伤害、机械伤害</w:t>
            </w:r>
            <w:r>
              <w:rPr>
                <w:rFonts w:hint="eastAsia" w:ascii="宋体" w:hAnsi="宋体"/>
                <w:sz w:val="21"/>
                <w:szCs w:val="21"/>
                <w:lang w:val="en-GB" w:eastAsia="zh-CN"/>
              </w:rPr>
              <w:t>，</w:t>
            </w:r>
            <w:r>
              <w:rPr>
                <w:rFonts w:hint="eastAsia" w:ascii="宋体" w:hAnsi="宋体"/>
                <w:sz w:val="21"/>
                <w:szCs w:val="21"/>
                <w:lang w:val="en-US" w:eastAsia="zh-CN"/>
              </w:rPr>
              <w:t>危险源</w:t>
            </w:r>
            <w:r>
              <w:rPr>
                <w:rFonts w:hint="eastAsia" w:ascii="宋体" w:hAnsi="宋体"/>
                <w:sz w:val="21"/>
                <w:szCs w:val="21"/>
                <w:lang w:val="en-GB" w:eastAsia="zh-CN"/>
              </w:rPr>
              <w:t>识别评价符合要求。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jc w:val="center"/>
        </w:trPr>
        <w:tc>
          <w:tcPr>
            <w:tcW w:w="68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 w:val="20"/>
              </w:rPr>
            </w:pPr>
          </w:p>
        </w:tc>
        <w:tc>
          <w:tcPr>
            <w:tcW w:w="923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ascii="宋体" w:hAnsi="宋体"/>
                <w:b/>
                <w:sz w:val="21"/>
                <w:szCs w:val="21"/>
                <w:lang w:val="en-US" w:eastAsia="zh-CN"/>
              </w:rPr>
              <w:t>8</w:t>
            </w:r>
            <w:r>
              <w:rPr>
                <w:rFonts w:ascii="宋体" w:hAnsi="宋体"/>
                <w:b/>
                <w:sz w:val="21"/>
                <w:szCs w:val="21"/>
              </w:rPr>
              <w:t>.</w:t>
            </w:r>
            <w:r>
              <w:rPr>
                <w:rFonts w:hint="eastAsia" w:ascii="宋体" w:hAnsi="宋体"/>
                <w:b/>
                <w:sz w:val="21"/>
                <w:szCs w:val="21"/>
              </w:rPr>
              <w:t>法律法规及其他要求</w:t>
            </w:r>
          </w:p>
          <w:p>
            <w:pPr>
              <w:pStyle w:val="13"/>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left="-13" w:leftChars="-43" w:hanging="90" w:hangingChars="43"/>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获取法律法规项，☑法律法规获取充分</w:t>
            </w:r>
          </w:p>
          <w:p>
            <w:pPr>
              <w:pStyle w:val="13"/>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结合公司的☑产品/服务☑环境因素☑危险源，☑确定□未确定法律法规要求的具体条款，</w:t>
            </w:r>
          </w:p>
          <w:p>
            <w:pPr>
              <w:pStyle w:val="13"/>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法律法规的宣传方式：</w:t>
            </w:r>
          </w:p>
          <w:p>
            <w:pPr>
              <w:pStyle w:val="13"/>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sz w:val="21"/>
                <w:szCs w:val="21"/>
              </w:rPr>
            </w:pPr>
            <w:r>
              <w:rPr>
                <w:rFonts w:hint="eastAsia" w:ascii="宋体" w:hAnsi="宋体" w:eastAsia="宋体" w:cs="Times New Roman"/>
                <w:b w:val="0"/>
                <w:bCs w:val="0"/>
                <w:kern w:val="2"/>
                <w:sz w:val="21"/>
                <w:szCs w:val="21"/>
                <w:lang w:val="en-US" w:eastAsia="zh-CN" w:bidi="ar-SA"/>
              </w:rPr>
              <w:t>法律法规要求及时更新</w:t>
            </w:r>
            <w:r>
              <w:rPr>
                <w:rFonts w:hint="eastAsia" w:ascii="宋体" w:hAnsi="宋体" w:cs="Times New Roman"/>
                <w:b w:val="0"/>
                <w:bCs w:val="0"/>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68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 w:val="20"/>
              </w:rPr>
            </w:pPr>
          </w:p>
        </w:tc>
        <w:tc>
          <w:tcPr>
            <w:tcW w:w="923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auto"/>
                <w:sz w:val="21"/>
                <w:szCs w:val="21"/>
              </w:rPr>
            </w:pPr>
            <w:r>
              <w:rPr>
                <w:rFonts w:hint="eastAsia" w:ascii="宋体" w:hAnsi="宋体"/>
                <w:b/>
                <w:color w:val="auto"/>
                <w:sz w:val="21"/>
                <w:szCs w:val="21"/>
                <w:lang w:val="en-US" w:eastAsia="zh-CN"/>
              </w:rPr>
              <w:t>9</w:t>
            </w:r>
            <w:r>
              <w:rPr>
                <w:rFonts w:ascii="宋体" w:hAnsi="宋体"/>
                <w:b/>
                <w:color w:val="auto"/>
                <w:sz w:val="21"/>
                <w:szCs w:val="21"/>
              </w:rPr>
              <w:t>.</w:t>
            </w:r>
            <w:r>
              <w:rPr>
                <w:rFonts w:hint="eastAsia" w:ascii="宋体" w:hAnsi="宋体"/>
                <w:b/>
                <w:color w:val="auto"/>
                <w:sz w:val="21"/>
                <w:szCs w:val="21"/>
              </w:rPr>
              <w:t>目标、方案</w:t>
            </w:r>
          </w:p>
          <w:p>
            <w:pPr>
              <w:keepNext w:val="0"/>
              <w:keepLines w:val="0"/>
              <w:pageBreakBefore w:val="0"/>
              <w:kinsoku/>
              <w:wordWrap/>
              <w:overflowPunct/>
              <w:topLinePunct w:val="0"/>
              <w:autoSpaceDE/>
              <w:autoSpaceDN/>
              <w:bidi w:val="0"/>
              <w:adjustRightInd/>
              <w:snapToGrid/>
              <w:spacing w:line="360" w:lineRule="exact"/>
              <w:textAlignment w:val="auto"/>
              <w:rPr>
                <w:rFonts w:hint="eastAsia"/>
                <w:color w:val="auto"/>
                <w:sz w:val="21"/>
                <w:szCs w:val="21"/>
                <w:u w:val="none"/>
                <w:lang w:eastAsia="zh-CN"/>
              </w:rPr>
            </w:pPr>
            <w:r>
              <w:rPr>
                <w:rFonts w:hint="eastAsia"/>
                <w:color w:val="auto"/>
                <w:sz w:val="21"/>
                <w:szCs w:val="21"/>
              </w:rPr>
              <w:t>公司目标：</w:t>
            </w:r>
            <w:r>
              <w:rPr>
                <w:rFonts w:hint="eastAsia"/>
                <w:color w:val="auto"/>
                <w:sz w:val="21"/>
                <w:szCs w:val="21"/>
                <w:lang w:val="en-US" w:eastAsia="zh-CN"/>
              </w:rPr>
              <w:t>产品一次交付合格率95%以上；</w:t>
            </w:r>
            <w:r>
              <w:rPr>
                <w:rFonts w:hint="eastAsia"/>
                <w:color w:val="auto"/>
                <w:sz w:val="21"/>
                <w:szCs w:val="21"/>
              </w:rPr>
              <w:t>顾客满意度95</w:t>
            </w:r>
            <w:r>
              <w:rPr>
                <w:rFonts w:hint="eastAsia"/>
                <w:color w:val="auto"/>
                <w:sz w:val="21"/>
                <w:szCs w:val="21"/>
                <w:lang w:val="en-US" w:eastAsia="zh-CN"/>
              </w:rPr>
              <w:t>%</w:t>
            </w:r>
            <w:r>
              <w:rPr>
                <w:rFonts w:hint="eastAsia"/>
                <w:color w:val="auto"/>
                <w:sz w:val="21"/>
                <w:szCs w:val="21"/>
              </w:rPr>
              <w:t>以上；固废分类处置率100%；轻伤事故少于3起/年；无火灾及重大安全事故发生；无职业病发生</w:t>
            </w:r>
            <w:r>
              <w:rPr>
                <w:rFonts w:hint="eastAsia"/>
                <w:color w:val="auto"/>
                <w:sz w:val="21"/>
                <w:szCs w:val="21"/>
                <w:u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auto"/>
                <w:sz w:val="21"/>
                <w:szCs w:val="21"/>
              </w:rPr>
            </w:pPr>
            <w:r>
              <w:rPr>
                <w:rFonts w:hint="eastAsia" w:ascii="Times New Roman" w:hAnsi="Times New Roman" w:cs="宋体"/>
                <w:color w:val="auto"/>
                <w:sz w:val="21"/>
                <w:szCs w:val="21"/>
              </w:rPr>
              <w:t>提供了文件化可分解的目标</w:t>
            </w:r>
            <w:r>
              <w:rPr>
                <w:rFonts w:hint="eastAsia" w:ascii="Times New Roman" w:hAnsi="Times New Roman" w:cs="宋体"/>
                <w:color w:val="auto"/>
                <w:sz w:val="21"/>
                <w:szCs w:val="21"/>
                <w:lang w:eastAsia="zh-CN"/>
              </w:rPr>
              <w:t>、指标</w:t>
            </w:r>
            <w:r>
              <w:rPr>
                <w:rFonts w:hint="eastAsia" w:ascii="Times New Roman" w:hAnsi="Times New Roman" w:cs="宋体"/>
                <w:color w:val="auto"/>
                <w:sz w:val="21"/>
                <w:szCs w:val="21"/>
              </w:rPr>
              <w:t>，经查问分解到各部门，经查阅建立的</w:t>
            </w:r>
            <w:r>
              <w:rPr>
                <w:rFonts w:hint="eastAsia" w:ascii="Times New Roman" w:hAnsi="Times New Roman" w:cs="宋体"/>
                <w:color w:val="auto"/>
                <w:sz w:val="21"/>
                <w:szCs w:val="21"/>
                <w:lang w:eastAsia="zh-CN"/>
              </w:rPr>
              <w:t>管理</w:t>
            </w:r>
            <w:r>
              <w:rPr>
                <w:rFonts w:hint="eastAsia" w:ascii="Times New Roman" w:hAnsi="Times New Roman" w:cs="宋体"/>
                <w:color w:val="auto"/>
                <w:sz w:val="21"/>
                <w:szCs w:val="21"/>
              </w:rPr>
              <w:t>目标符合标准要求，在方针的框架下展开，每</w:t>
            </w:r>
            <w:r>
              <w:rPr>
                <w:rFonts w:hint="eastAsia" w:ascii="Times New Roman" w:hAnsi="Times New Roman" w:cs="宋体"/>
                <w:color w:val="auto"/>
                <w:sz w:val="21"/>
                <w:szCs w:val="21"/>
                <w:lang w:val="en-US" w:eastAsia="zh-CN"/>
              </w:rPr>
              <w:t>季度</w:t>
            </w:r>
            <w:r>
              <w:rPr>
                <w:rFonts w:hint="eastAsia" w:ascii="Times New Roman" w:hAnsi="Times New Roman" w:cs="宋体"/>
                <w:color w:val="auto"/>
                <w:sz w:val="21"/>
                <w:szCs w:val="21"/>
              </w:rPr>
              <w:t>考核一次，提供</w:t>
            </w:r>
            <w:r>
              <w:rPr>
                <w:rFonts w:hint="eastAsia" w:ascii="Times New Roman" w:hAnsi="Times New Roman" w:cs="宋体"/>
                <w:color w:val="auto"/>
                <w:sz w:val="21"/>
                <w:szCs w:val="21"/>
                <w:lang w:val="en-US" w:eastAsia="zh-CN"/>
              </w:rPr>
              <w:t>20</w:t>
            </w:r>
            <w:r>
              <w:rPr>
                <w:rFonts w:hint="eastAsia" w:cs="宋体"/>
                <w:color w:val="auto"/>
                <w:sz w:val="21"/>
                <w:szCs w:val="21"/>
                <w:lang w:val="en-US" w:eastAsia="zh-CN"/>
              </w:rPr>
              <w:t>20</w:t>
            </w:r>
            <w:r>
              <w:rPr>
                <w:rFonts w:hint="eastAsia" w:ascii="Times New Roman" w:hAnsi="Times New Roman" w:cs="宋体"/>
                <w:color w:val="auto"/>
                <w:sz w:val="21"/>
                <w:szCs w:val="21"/>
                <w:lang w:val="en-US" w:eastAsia="zh-CN"/>
              </w:rPr>
              <w:t>年</w:t>
            </w:r>
            <w:r>
              <w:rPr>
                <w:rFonts w:hint="eastAsia" w:cs="宋体"/>
                <w:color w:val="auto"/>
                <w:sz w:val="21"/>
                <w:szCs w:val="21"/>
                <w:lang w:val="en-US" w:eastAsia="zh-CN"/>
              </w:rPr>
              <w:t>1-3</w:t>
            </w:r>
            <w:r>
              <w:rPr>
                <w:rFonts w:hint="eastAsia" w:ascii="Times New Roman" w:hAnsi="Times New Roman" w:cs="宋体"/>
                <w:color w:val="auto"/>
                <w:sz w:val="21"/>
                <w:szCs w:val="21"/>
                <w:lang w:val="en-US" w:eastAsia="zh-CN"/>
              </w:rPr>
              <w:t>季度目标考核记录</w:t>
            </w:r>
            <w:r>
              <w:rPr>
                <w:rFonts w:hint="eastAsia" w:ascii="Times New Roman" w:hAnsi="Times New Roman" w:cs="宋体"/>
                <w:color w:val="auto"/>
                <w:sz w:val="21"/>
                <w:szCs w:val="21"/>
              </w:rPr>
              <w:t>，</w:t>
            </w:r>
            <w:r>
              <w:rPr>
                <w:rFonts w:hint="eastAsia" w:ascii="Times New Roman" w:hAnsi="Times New Roman" w:cs="宋体"/>
                <w:color w:val="auto"/>
                <w:sz w:val="21"/>
                <w:szCs w:val="21"/>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68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 w:val="20"/>
              </w:rPr>
            </w:pPr>
          </w:p>
        </w:tc>
        <w:tc>
          <w:tcPr>
            <w:tcW w:w="923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auto"/>
                <w:sz w:val="21"/>
                <w:szCs w:val="21"/>
              </w:rPr>
            </w:pPr>
            <w:r>
              <w:rPr>
                <w:rFonts w:hint="eastAsia" w:ascii="宋体" w:hAnsi="宋体"/>
                <w:b/>
                <w:color w:val="auto"/>
                <w:sz w:val="21"/>
                <w:szCs w:val="21"/>
                <w:lang w:val="en-US" w:eastAsia="zh-CN"/>
              </w:rPr>
              <w:t>10</w:t>
            </w:r>
            <w:r>
              <w:rPr>
                <w:rFonts w:ascii="宋体" w:hAnsi="宋体"/>
                <w:b/>
                <w:color w:val="auto"/>
                <w:sz w:val="21"/>
                <w:szCs w:val="21"/>
              </w:rPr>
              <w:t>.</w:t>
            </w:r>
            <w:r>
              <w:rPr>
                <w:rFonts w:hint="eastAsia" w:ascii="宋体" w:hAnsi="宋体"/>
                <w:b/>
                <w:color w:val="auto"/>
                <w:sz w:val="21"/>
                <w:szCs w:val="21"/>
              </w:rPr>
              <w:t>文件与记录控制</w:t>
            </w:r>
            <w:r>
              <w:rPr>
                <w:rFonts w:ascii="宋体" w:hAnsi="宋体"/>
                <w:b/>
                <w:color w:val="auto"/>
                <w:sz w:val="21"/>
                <w:szCs w:val="21"/>
              </w:rPr>
              <w:t>(</w:t>
            </w:r>
            <w:r>
              <w:rPr>
                <w:rFonts w:hint="eastAsia" w:ascii="宋体" w:hAnsi="宋体"/>
                <w:b/>
                <w:color w:val="auto"/>
                <w:sz w:val="21"/>
                <w:szCs w:val="21"/>
              </w:rPr>
              <w:t>文审修订后文件与标准的符合程度评价、文件控制管理等</w:t>
            </w:r>
            <w:r>
              <w:rPr>
                <w:rFonts w:ascii="宋体" w:hAnsi="宋体"/>
                <w:b/>
                <w:color w:val="auto"/>
                <w:sz w:val="21"/>
                <w:szCs w:val="21"/>
              </w:rPr>
              <w:t>)</w:t>
            </w:r>
          </w:p>
          <w:p>
            <w:pPr>
              <w:keepNext w:val="0"/>
              <w:keepLines w:val="0"/>
              <w:pageBreakBefore w:val="0"/>
              <w:tabs>
                <w:tab w:val="left" w:pos="540"/>
              </w:tabs>
              <w:kinsoku/>
              <w:wordWrap/>
              <w:overflowPunct/>
              <w:topLinePunct w:val="0"/>
              <w:autoSpaceDE/>
              <w:autoSpaceDN/>
              <w:bidi w:val="0"/>
              <w:adjustRightInd/>
              <w:snapToGrid/>
              <w:spacing w:line="360" w:lineRule="exact"/>
              <w:textAlignment w:val="auto"/>
              <w:rPr>
                <w:rFonts w:hint="eastAsia" w:ascii="宋体" w:hAnsi="宋体" w:eastAsia="宋体"/>
                <w:b/>
                <w:color w:val="auto"/>
                <w:sz w:val="21"/>
                <w:szCs w:val="21"/>
                <w:lang w:eastAsia="zh-CN"/>
              </w:rPr>
            </w:pPr>
            <w:r>
              <w:rPr>
                <w:rFonts w:hint="eastAsia" w:ascii="Times New Roman" w:hAnsi="Times New Roman" w:cs="宋体"/>
                <w:color w:val="auto"/>
                <w:sz w:val="21"/>
                <w:szCs w:val="21"/>
              </w:rPr>
              <w:t>管理体系文件由</w:t>
            </w:r>
            <w:r>
              <w:rPr>
                <w:rFonts w:hint="eastAsia" w:cs="宋体"/>
                <w:color w:val="auto"/>
                <w:sz w:val="21"/>
                <w:szCs w:val="21"/>
                <w:lang w:val="en-US" w:eastAsia="zh-CN"/>
              </w:rPr>
              <w:t>办公室</w:t>
            </w:r>
            <w:r>
              <w:rPr>
                <w:rFonts w:hint="eastAsia" w:ascii="Times New Roman" w:hAnsi="Times New Roman" w:cs="宋体"/>
                <w:color w:val="auto"/>
                <w:sz w:val="21"/>
                <w:szCs w:val="21"/>
              </w:rPr>
              <w:t>组织编写，总经理批准发布实施，</w:t>
            </w:r>
            <w:r>
              <w:rPr>
                <w:rFonts w:hint="eastAsia" w:ascii="Times New Roman" w:hAnsi="Times New Roman" w:cs="宋体"/>
                <w:color w:val="auto"/>
                <w:sz w:val="21"/>
                <w:szCs w:val="21"/>
                <w:lang w:eastAsia="zh-CN"/>
              </w:rPr>
              <w:t>办公室</w:t>
            </w:r>
            <w:r>
              <w:rPr>
                <w:rFonts w:hint="eastAsia" w:ascii="Times New Roman" w:hAnsi="Times New Roman" w:cs="宋体"/>
                <w:color w:val="auto"/>
                <w:sz w:val="21"/>
                <w:szCs w:val="21"/>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cs="宋体"/>
                <w:color w:val="auto"/>
                <w:sz w:val="21"/>
                <w:szCs w:val="21"/>
                <w:lang w:val="en-US" w:eastAsia="zh-CN"/>
              </w:rPr>
              <w:t>办公室</w:t>
            </w:r>
            <w:r>
              <w:rPr>
                <w:rFonts w:hint="eastAsia" w:ascii="Times New Roman" w:hAnsi="Times New Roman" w:cs="宋体"/>
                <w:color w:val="auto"/>
                <w:sz w:val="21"/>
                <w:szCs w:val="21"/>
              </w:rPr>
              <w:t>根据管理</w:t>
            </w:r>
            <w:r>
              <w:rPr>
                <w:rFonts w:hint="eastAsia" w:ascii="Times New Roman" w:hAnsi="Times New Roman" w:cs="宋体"/>
                <w:color w:val="auto"/>
                <w:sz w:val="21"/>
                <w:szCs w:val="21"/>
                <w:lang w:eastAsia="zh-CN"/>
              </w:rPr>
              <w:t>体</w:t>
            </w:r>
            <w:r>
              <w:rPr>
                <w:rFonts w:hint="eastAsia" w:ascii="Times New Roman" w:hAnsi="Times New Roman" w:cs="宋体"/>
                <w:color w:val="auto"/>
                <w:sz w:val="21"/>
                <w:szCs w:val="21"/>
              </w:rPr>
              <w:t>系要求设计了空白表格，按照需求发放，由使用人员填写记录并保存，</w:t>
            </w:r>
            <w:r>
              <w:rPr>
                <w:rFonts w:hint="eastAsia" w:cs="宋体"/>
                <w:color w:val="auto"/>
                <w:sz w:val="21"/>
                <w:szCs w:val="21"/>
                <w:lang w:val="en-US" w:eastAsia="zh-CN"/>
              </w:rPr>
              <w:t>办公室</w:t>
            </w:r>
            <w:r>
              <w:rPr>
                <w:rFonts w:hint="eastAsia" w:ascii="Times New Roman" w:hAnsi="Times New Roman" w:cs="宋体"/>
                <w:color w:val="auto"/>
                <w:sz w:val="21"/>
                <w:szCs w:val="21"/>
              </w:rPr>
              <w:t>不定期检查记录的同步性、真实性和填写完整、保存状况</w:t>
            </w:r>
            <w:r>
              <w:rPr>
                <w:rFonts w:hint="eastAsia"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681"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237"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b/>
                <w:color w:val="000000" w:themeColor="text1"/>
                <w:sz w:val="20"/>
                <w:szCs w:val="20"/>
                <w:lang w:val="en-US" w:eastAsia="zh-CN"/>
              </w:rPr>
              <w:t>1.</w:t>
            </w:r>
            <w:r>
              <w:rPr>
                <w:rFonts w:hint="eastAsia" w:ascii="宋体" w:hAnsi="宋体"/>
                <w:b/>
                <w:color w:val="000000" w:themeColor="text1"/>
                <w:sz w:val="20"/>
                <w:szCs w:val="20"/>
              </w:rPr>
              <w:t>人力资源的简要说明</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eastAsia="宋体" w:cs="Times New Roman"/>
                <w:b/>
                <w:color w:val="000000" w:themeColor="text1"/>
                <w:kern w:val="2"/>
                <w:sz w:val="20"/>
                <w:szCs w:val="20"/>
                <w:lang w:val="en-US" w:eastAsia="zh-CN" w:bidi="ar-SA"/>
              </w:rPr>
            </w:pPr>
            <w:r>
              <w:rPr>
                <w:rFonts w:hint="eastAsia"/>
                <w:sz w:val="21"/>
                <w:szCs w:val="21"/>
              </w:rPr>
              <w:t>公司共有员工</w:t>
            </w:r>
            <w:r>
              <w:rPr>
                <w:rFonts w:hint="eastAsia"/>
                <w:sz w:val="21"/>
                <w:szCs w:val="21"/>
                <w:lang w:val="en-US" w:eastAsia="zh-CN"/>
              </w:rPr>
              <w:t>25</w:t>
            </w:r>
            <w:r>
              <w:rPr>
                <w:rFonts w:hint="eastAsia"/>
                <w:sz w:val="21"/>
                <w:szCs w:val="21"/>
              </w:rPr>
              <w:t>人，其中管理人员</w:t>
            </w:r>
            <w:r>
              <w:rPr>
                <w:rFonts w:hint="eastAsia"/>
                <w:sz w:val="21"/>
                <w:szCs w:val="21"/>
                <w:lang w:val="en-US" w:eastAsia="zh-CN"/>
              </w:rPr>
              <w:t>5</w:t>
            </w:r>
            <w:r>
              <w:rPr>
                <w:rFonts w:hint="eastAsia"/>
                <w:sz w:val="21"/>
                <w:szCs w:val="21"/>
              </w:rPr>
              <w:t>人，满足</w:t>
            </w:r>
            <w:r>
              <w:rPr>
                <w:rFonts w:hint="eastAsia"/>
                <w:sz w:val="21"/>
                <w:szCs w:val="21"/>
                <w:lang w:val="en-US" w:eastAsia="zh-CN"/>
              </w:rPr>
              <w:t>生产服务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81"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2.</w:t>
            </w: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eastAsia="宋体" w:cs="Times New Roman"/>
                <w:b/>
                <w:color w:val="000000" w:themeColor="text1"/>
                <w:kern w:val="2"/>
                <w:sz w:val="20"/>
                <w:szCs w:val="20"/>
                <w:lang w:val="en-US" w:eastAsia="zh-CN" w:bidi="ar-SA"/>
              </w:rPr>
            </w:pPr>
            <w:r>
              <w:rPr>
                <w:rFonts w:hint="eastAsia"/>
                <w:sz w:val="21"/>
                <w:szCs w:val="21"/>
              </w:rPr>
              <w:t>配备有</w:t>
            </w:r>
            <w:r>
              <w:rPr>
                <w:rFonts w:hint="eastAsia"/>
                <w:sz w:val="21"/>
                <w:szCs w:val="21"/>
                <w:lang w:eastAsia="zh-CN"/>
              </w:rPr>
              <w:t>办公室、</w:t>
            </w:r>
            <w:r>
              <w:rPr>
                <w:rFonts w:hint="eastAsia"/>
                <w:sz w:val="21"/>
                <w:szCs w:val="21"/>
                <w:lang w:val="en-US" w:eastAsia="zh-CN"/>
              </w:rPr>
              <w:t>厂房、库房</w:t>
            </w:r>
            <w:r>
              <w:rPr>
                <w:rFonts w:hint="eastAsia"/>
                <w:sz w:val="21"/>
                <w:szCs w:val="21"/>
              </w:rPr>
              <w:t>等基础设施，生产设备有反应罐、搅拌机、灌装机、喷码机、水处理设备、装袋机、台秤，满足</w:t>
            </w:r>
            <w:r>
              <w:rPr>
                <w:rFonts w:hint="eastAsia"/>
                <w:sz w:val="21"/>
                <w:szCs w:val="21"/>
                <w:lang w:val="en-US" w:eastAsia="zh-CN"/>
              </w:rPr>
              <w:t>生产</w:t>
            </w:r>
            <w:r>
              <w:rPr>
                <w:rFonts w:hint="eastAsia"/>
                <w:sz w:val="21"/>
                <w:szCs w:val="21"/>
                <w:lang w:eastAsia="zh-CN"/>
              </w:rPr>
              <w:t>服务</w:t>
            </w:r>
            <w:r>
              <w:rPr>
                <w:rFonts w:hint="eastAsia"/>
                <w:sz w:val="21"/>
                <w:szCs w:val="21"/>
              </w:rPr>
              <w:t>需求</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681"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3.</w:t>
            </w:r>
            <w:r>
              <w:rPr>
                <w:rFonts w:hint="eastAsia" w:ascii="宋体" w:hAnsi="宋体"/>
                <w:b/>
                <w:color w:val="000000" w:themeColor="text1"/>
                <w:sz w:val="20"/>
                <w:szCs w:val="20"/>
              </w:rPr>
              <w:t>过程运行环境</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eastAsia="宋体" w:cs="Times New Roman"/>
                <w:b/>
                <w:color w:val="000000" w:themeColor="text1"/>
                <w:kern w:val="2"/>
                <w:sz w:val="20"/>
                <w:szCs w:val="20"/>
                <w:lang w:val="en-US" w:eastAsia="zh-CN" w:bidi="ar-SA"/>
              </w:rPr>
            </w:pPr>
            <w:r>
              <w:rPr>
                <w:rFonts w:hint="eastAsia" w:cs="宋体"/>
                <w:sz w:val="21"/>
                <w:szCs w:val="21"/>
                <w:lang w:val="en-US" w:eastAsia="zh-CN"/>
              </w:rPr>
              <w:t>公司</w:t>
            </w:r>
            <w:r>
              <w:rPr>
                <w:rFonts w:hint="eastAsia" w:cs="宋体"/>
                <w:sz w:val="21"/>
                <w:szCs w:val="21"/>
              </w:rPr>
              <w:t>位于</w:t>
            </w:r>
            <w:r>
              <w:rPr>
                <w:rFonts w:asciiTheme="minorEastAsia" w:hAnsiTheme="minorEastAsia" w:eastAsiaTheme="minorEastAsia"/>
                <w:sz w:val="20"/>
              </w:rPr>
              <w:t>石家庄市桥西区留营乡南简良村工业园区</w:t>
            </w:r>
            <w:r>
              <w:rPr>
                <w:rFonts w:hint="eastAsia" w:cs="宋体"/>
                <w:sz w:val="21"/>
                <w:szCs w:val="21"/>
              </w:rPr>
              <w:t>，</w:t>
            </w:r>
            <w:r>
              <w:rPr>
                <w:rFonts w:hint="eastAsia"/>
                <w:sz w:val="21"/>
                <w:szCs w:val="21"/>
              </w:rPr>
              <w:t>占地面积2200平米，其中办公面积约100平米，生产车间约300平米</w:t>
            </w:r>
            <w:r>
              <w:rPr>
                <w:rFonts w:hint="eastAsia"/>
                <w:sz w:val="21"/>
                <w:szCs w:val="21"/>
                <w:lang w:val="en-US" w:eastAsia="zh-CN"/>
              </w:rPr>
              <w:t>，</w:t>
            </w:r>
            <w:r>
              <w:rPr>
                <w:rFonts w:hint="eastAsia"/>
                <w:sz w:val="21"/>
                <w:szCs w:val="21"/>
                <w:lang w:eastAsia="zh-CN"/>
              </w:rPr>
              <w:t>布局合理，场所卫生干净整洁，工作环境</w:t>
            </w:r>
            <w:r>
              <w:rPr>
                <w:rFonts w:hint="eastAsia"/>
                <w:sz w:val="21"/>
                <w:szCs w:val="21"/>
                <w:lang w:val="en-US" w:eastAsia="zh-CN"/>
              </w:rPr>
              <w:t>一般</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681"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auto"/>
                <w:sz w:val="20"/>
                <w:szCs w:val="20"/>
              </w:rPr>
            </w:pPr>
            <w:r>
              <w:rPr>
                <w:rFonts w:hint="eastAsia" w:ascii="宋体" w:hAnsi="宋体"/>
                <w:b/>
                <w:color w:val="auto"/>
                <w:sz w:val="20"/>
                <w:szCs w:val="20"/>
                <w:lang w:val="en-US" w:eastAsia="zh-CN"/>
              </w:rPr>
              <w:t>4.</w:t>
            </w:r>
            <w:r>
              <w:rPr>
                <w:rFonts w:hint="eastAsia" w:ascii="宋体" w:hAnsi="宋体"/>
                <w:b/>
                <w:color w:val="auto"/>
                <w:sz w:val="20"/>
                <w:szCs w:val="20"/>
              </w:rPr>
              <w:t>监视和测量资源</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eastAsia="宋体" w:cs="Times New Roman"/>
                <w:b/>
                <w:color w:val="auto"/>
                <w:kern w:val="2"/>
                <w:sz w:val="20"/>
                <w:szCs w:val="20"/>
                <w:lang w:val="en-US" w:eastAsia="zh-CN" w:bidi="ar-SA"/>
              </w:rPr>
            </w:pPr>
            <w:r>
              <w:rPr>
                <w:rFonts w:hint="eastAsia"/>
                <w:color w:val="auto"/>
                <w:sz w:val="21"/>
                <w:szCs w:val="21"/>
                <w:lang w:val="en-US" w:eastAsia="zh-CN"/>
              </w:rPr>
              <w:t>温度计、架盘天平</w:t>
            </w:r>
            <w:r>
              <w:rPr>
                <w:rFonts w:hint="eastAsia" w:cs="Times New Roman"/>
                <w:color w:val="auto"/>
                <w:sz w:val="21"/>
                <w:szCs w:val="21"/>
                <w:lang w:val="en-US" w:eastAsia="zh-CN"/>
              </w:rPr>
              <w:t>等</w:t>
            </w:r>
            <w:r>
              <w:rPr>
                <w:rFonts w:hint="eastAsia" w:ascii="宋体" w:hAnsi="宋体"/>
                <w:b w:val="0"/>
                <w:bCs/>
                <w:color w:val="auto"/>
                <w:sz w:val="21"/>
                <w:szCs w:val="21"/>
                <w:lang w:val="en-US" w:eastAsia="zh-CN"/>
              </w:rPr>
              <w:t>，见</w:t>
            </w:r>
            <w:r>
              <w:rPr>
                <w:rFonts w:hint="eastAsia" w:ascii="宋体" w:hAnsi="宋体" w:cs="Times New Roman"/>
                <w:b w:val="0"/>
                <w:bCs/>
                <w:color w:val="auto"/>
                <w:sz w:val="21"/>
                <w:szCs w:val="21"/>
                <w:lang w:val="en-US" w:eastAsia="zh-CN"/>
              </w:rPr>
              <w:t>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5" w:hRule="atLeast"/>
          <w:jc w:val="center"/>
        </w:trPr>
        <w:tc>
          <w:tcPr>
            <w:tcW w:w="681"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auto"/>
                <w:sz w:val="20"/>
                <w:szCs w:val="20"/>
              </w:rPr>
            </w:pPr>
            <w:r>
              <w:rPr>
                <w:rFonts w:hint="eastAsia" w:ascii="宋体" w:hAnsi="宋体"/>
                <w:b/>
                <w:color w:val="auto"/>
                <w:sz w:val="20"/>
                <w:szCs w:val="20"/>
                <w:lang w:val="en-US" w:eastAsia="zh-CN"/>
              </w:rPr>
              <w:t>5.</w:t>
            </w:r>
            <w:r>
              <w:rPr>
                <w:rFonts w:hint="eastAsia" w:ascii="宋体" w:hAnsi="宋体"/>
                <w:b/>
                <w:color w:val="auto"/>
                <w:sz w:val="20"/>
                <w:szCs w:val="20"/>
              </w:rPr>
              <w:t>知识</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eastAsia="宋体" w:cs="Times New Roman"/>
                <w:b/>
                <w:color w:val="auto"/>
                <w:kern w:val="2"/>
                <w:sz w:val="20"/>
                <w:szCs w:val="20"/>
                <w:lang w:val="en-US" w:eastAsia="zh-CN" w:bidi="ar-SA"/>
              </w:rPr>
            </w:pPr>
            <w:r>
              <w:rPr>
                <w:rFonts w:hint="eastAsia"/>
                <w:color w:val="auto"/>
                <w:sz w:val="21"/>
                <w:szCs w:val="21"/>
              </w:rPr>
              <w:t>公司对法律法规及其他要求进行了获取，包括质量法、合同法、环境保护法、劳动法、消防法、环境空气质量标准、固体废弃物环境防治法、仓库防火安全管理规则、劳动保护用品管理规定、GB12348-2008《工业企业厂界环境噪声排放标准》、GB3095-2012《环境空气质量标准》、</w:t>
            </w:r>
            <w:r>
              <w:rPr>
                <w:color w:val="auto"/>
                <w:sz w:val="21"/>
                <w:szCs w:val="21"/>
              </w:rPr>
              <w:t>GBZ2-200</w:t>
            </w:r>
            <w:r>
              <w:rPr>
                <w:rFonts w:hint="eastAsia"/>
                <w:color w:val="auto"/>
                <w:sz w:val="21"/>
                <w:szCs w:val="21"/>
              </w:rPr>
              <w:t>7《</w:t>
            </w:r>
            <w:r>
              <w:rPr>
                <w:color w:val="auto"/>
                <w:sz w:val="21"/>
                <w:szCs w:val="21"/>
              </w:rPr>
              <w:t>工作场所有害因素职业接触限值</w:t>
            </w:r>
            <w:r>
              <w:rPr>
                <w:rFonts w:hint="eastAsia"/>
                <w:color w:val="auto"/>
                <w:sz w:val="21"/>
                <w:szCs w:val="21"/>
              </w:rPr>
              <w:t>》、QB/T1224-2012《衣料用液体洗涤剂》、GB/T13171-2009《洗衣粉》等法规要求</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81"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6.</w:t>
            </w:r>
            <w:r>
              <w:rPr>
                <w:rFonts w:hint="eastAsia" w:ascii="宋体" w:hAnsi="宋体"/>
                <w:b/>
                <w:color w:val="000000" w:themeColor="text1"/>
                <w:sz w:val="20"/>
                <w:szCs w:val="20"/>
              </w:rPr>
              <w:t>环保设施：</w:t>
            </w:r>
            <w:r>
              <w:rPr>
                <w:rFonts w:hint="eastAsia"/>
                <w:sz w:val="21"/>
                <w:szCs w:val="21"/>
                <w:lang w:val="en-US" w:eastAsia="zh-CN"/>
              </w:rPr>
              <w:t>灭火器、</w:t>
            </w:r>
            <w:r>
              <w:rPr>
                <w:rFonts w:hint="eastAsia"/>
                <w:sz w:val="21"/>
                <w:szCs w:val="21"/>
              </w:rPr>
              <w:t>静电油烟处理机、减震基础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81"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7.</w:t>
            </w:r>
            <w:r>
              <w:rPr>
                <w:rFonts w:hint="eastAsia" w:ascii="宋体" w:hAnsi="宋体"/>
                <w:b/>
                <w:color w:val="000000" w:themeColor="text1"/>
                <w:sz w:val="20"/>
                <w:szCs w:val="20"/>
              </w:rPr>
              <w:t>职业健康安全设施：</w:t>
            </w:r>
            <w:r>
              <w:rPr>
                <w:rFonts w:hint="eastAsia"/>
                <w:sz w:val="21"/>
                <w:szCs w:val="21"/>
                <w:lang w:val="en-US"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3" w:hRule="atLeast"/>
          <w:jc w:val="center"/>
        </w:trPr>
        <w:tc>
          <w:tcPr>
            <w:tcW w:w="681"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237"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1. 针对方针的管理职责评审</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sz w:val="21"/>
                <w:szCs w:val="21"/>
                <w:lang w:eastAsia="zh-CN"/>
              </w:rPr>
            </w:pPr>
            <w:r>
              <w:rPr>
                <w:rFonts w:hint="eastAsia" w:cs="宋体"/>
                <w:sz w:val="21"/>
                <w:szCs w:val="21"/>
              </w:rPr>
              <w:t>管理方针：</w:t>
            </w:r>
            <w:r>
              <w:rPr>
                <w:rFonts w:hint="eastAsia"/>
                <w:sz w:val="21"/>
                <w:szCs w:val="21"/>
              </w:rPr>
              <w:t>科学管理，遵守法规，预防污染，持续改进，为社会及员工提供一个健康、安全的工作生活环境，提供用户满意的优质产品，创国内一流品牌</w:t>
            </w:r>
            <w:r>
              <w:rPr>
                <w:rFonts w:hint="eastAsia"/>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sz w:val="21"/>
                <w:szCs w:val="21"/>
              </w:rPr>
            </w:pPr>
            <w:r>
              <w:rPr>
                <w:sz w:val="21"/>
                <w:szCs w:val="21"/>
              </w:rPr>
              <w:t xml:space="preserve">2. </w:t>
            </w:r>
            <w:r>
              <w:rPr>
                <w:rFonts w:hint="eastAsia" w:cs="宋体"/>
                <w:sz w:val="21"/>
                <w:szCs w:val="21"/>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ind w:left="1" w:leftChars="0"/>
              <w:textAlignment w:val="auto"/>
              <w:rPr>
                <w:rFonts w:ascii="Times New Roman" w:hAnsi="Times New Roman" w:eastAsia="宋体" w:cs="Times New Roman"/>
                <w:b/>
                <w:color w:val="000000" w:themeColor="text1"/>
                <w:kern w:val="2"/>
                <w:sz w:val="20"/>
                <w:szCs w:val="20"/>
                <w:lang w:val="en-US" w:eastAsia="zh-CN" w:bidi="ar-SA"/>
              </w:rPr>
            </w:pPr>
            <w:r>
              <w:rPr>
                <w:sz w:val="21"/>
                <w:szCs w:val="21"/>
              </w:rPr>
              <w:t xml:space="preserve">3. </w:t>
            </w:r>
            <w:r>
              <w:rPr>
                <w:rFonts w:hint="eastAsia" w:cs="宋体"/>
                <w:sz w:val="21"/>
                <w:szCs w:val="21"/>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0" w:hRule="atLeast"/>
          <w:jc w:val="center"/>
        </w:trPr>
        <w:tc>
          <w:tcPr>
            <w:tcW w:w="68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Cs w:val="21"/>
              </w:rPr>
            </w:pPr>
          </w:p>
        </w:tc>
        <w:tc>
          <w:tcPr>
            <w:tcW w:w="9237" w:type="dxa"/>
            <w:vAlign w:val="top"/>
          </w:tcPr>
          <w:p>
            <w:pPr>
              <w:keepNext w:val="0"/>
              <w:keepLines w:val="0"/>
              <w:pageBreakBefore w:val="0"/>
              <w:numPr>
                <w:ilvl w:val="0"/>
                <w:numId w:val="4"/>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组织内部沟通的充分性与效果</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 w:val="21"/>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 w:val="21"/>
                <w:szCs w:val="21"/>
              </w:rPr>
              <w:t>沟通较为顺畅</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0"/>
                <w:szCs w:val="20"/>
              </w:rPr>
              <w:t>外部信息的接收、成文并答复的情况：</w:t>
            </w:r>
            <w:r>
              <w:rPr>
                <w:rFonts w:hint="eastAsia" w:ascii="宋体" w:hAnsi="宋体"/>
                <w:sz w:val="21"/>
                <w:szCs w:val="21"/>
                <w:lang w:val="en-US" w:eastAsia="zh-CN"/>
              </w:rPr>
              <w:t>与</w:t>
            </w:r>
            <w:r>
              <w:rPr>
                <w:rFonts w:hint="eastAsia" w:ascii="宋体" w:hAnsi="宋体"/>
                <w:sz w:val="21"/>
                <w:szCs w:val="21"/>
              </w:rPr>
              <w:t>上级主管部门的沟通，目前沟通都较为顺畅</w:t>
            </w:r>
            <w:r>
              <w:rPr>
                <w:rFonts w:hint="eastAsia" w:ascii="宋体" w:hAnsi="宋体"/>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0"/>
                <w:szCs w:val="20"/>
              </w:rPr>
              <w:t>重要环境因素信息对外交流情况：</w:t>
            </w:r>
            <w:r>
              <w:rPr>
                <w:rFonts w:hint="eastAsia" w:ascii="宋体" w:hAnsi="宋体"/>
                <w:sz w:val="21"/>
                <w:szCs w:val="21"/>
              </w:rPr>
              <w:t>外部沟通：文件、电话、面谈、传真等，主要与顾客、供方、上级主管部门的沟通，目前各项沟通都较为顺畅</w:t>
            </w:r>
            <w:r>
              <w:rPr>
                <w:rFonts w:hint="eastAsia" w:ascii="宋体" w:hAnsi="宋体"/>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hAnsi="Times New Roman" w:eastAsia="楷体_GB2312" w:cs="Times New Roman"/>
                <w:b/>
                <w:color w:val="000000" w:themeColor="text1"/>
                <w:kern w:val="2"/>
                <w:sz w:val="24"/>
                <w:szCs w:val="21"/>
                <w:lang w:val="en-US" w:eastAsia="zh-CN" w:bidi="ar-SA"/>
              </w:rPr>
            </w:pPr>
            <w:r>
              <w:rPr>
                <w:rFonts w:hint="eastAsia" w:ascii="楷体_GB2312" w:eastAsia="楷体_GB2312"/>
                <w:b/>
                <w:color w:val="000000" w:themeColor="text1"/>
                <w:sz w:val="20"/>
                <w:szCs w:val="20"/>
              </w:rPr>
              <w:t>与相关方协商的情况</w:t>
            </w:r>
            <w:r>
              <w:rPr>
                <w:rFonts w:hint="eastAsia" w:ascii="楷体_GB2312" w:eastAsia="楷体_GB2312"/>
                <w:b/>
                <w:color w:val="000000" w:themeColor="text1"/>
                <w:szCs w:val="21"/>
              </w:rPr>
              <w:t>：</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5" w:hRule="atLeast"/>
          <w:jc w:val="center"/>
        </w:trPr>
        <w:tc>
          <w:tcPr>
            <w:tcW w:w="68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Cs w:val="21"/>
              </w:rPr>
            </w:pPr>
          </w:p>
        </w:tc>
        <w:tc>
          <w:tcPr>
            <w:tcW w:w="9237" w:type="dxa"/>
            <w:vAlign w:val="top"/>
          </w:tcPr>
          <w:p>
            <w:pPr>
              <w:keepNext w:val="0"/>
              <w:keepLines w:val="0"/>
              <w:pageBreakBefore w:val="0"/>
              <w:numPr>
                <w:ilvl w:val="0"/>
                <w:numId w:val="4"/>
              </w:numPr>
              <w:kinsoku/>
              <w:wordWrap/>
              <w:overflowPunct/>
              <w:topLinePunct w:val="0"/>
              <w:autoSpaceDE/>
              <w:autoSpaceDN/>
              <w:bidi w:val="0"/>
              <w:adjustRightInd/>
              <w:snapToGrid/>
              <w:spacing w:line="340" w:lineRule="exact"/>
              <w:ind w:left="0" w:leftChars="0" w:firstLine="0" w:firstLineChars="0"/>
              <w:textAlignment w:val="auto"/>
              <w:rPr>
                <w:rFonts w:hint="eastAsia"/>
                <w:b/>
                <w:sz w:val="21"/>
                <w:szCs w:val="21"/>
              </w:rPr>
            </w:pPr>
            <w:r>
              <w:rPr>
                <w:b/>
                <w:sz w:val="21"/>
                <w:szCs w:val="21"/>
              </w:rPr>
              <w:t xml:space="preserve"> QMS </w:t>
            </w:r>
            <w:r>
              <w:rPr>
                <w:rFonts w:hint="eastAsia"/>
                <w:b/>
                <w:sz w:val="21"/>
                <w:szCs w:val="21"/>
              </w:rPr>
              <w:t>组织对重要过程实施控制的结果</w:t>
            </w:r>
          </w:p>
          <w:p>
            <w:pPr>
              <w:keepNext w:val="0"/>
              <w:keepLines w:val="0"/>
              <w:pageBreakBefore w:val="0"/>
              <w:numPr>
                <w:ilvl w:val="0"/>
                <w:numId w:val="0"/>
              </w:numPr>
              <w:kinsoku/>
              <w:wordWrap/>
              <w:overflowPunct/>
              <w:topLinePunct w:val="0"/>
              <w:autoSpaceDE/>
              <w:autoSpaceDN/>
              <w:bidi w:val="0"/>
              <w:adjustRightInd/>
              <w:snapToGrid/>
              <w:spacing w:line="340" w:lineRule="exact"/>
              <w:ind w:leftChars="0"/>
              <w:textAlignment w:val="auto"/>
              <w:rPr>
                <w:rFonts w:hint="eastAsia" w:ascii="Times New Roman" w:hAnsi="Times New Roman" w:cs="Times New Roman"/>
                <w:sz w:val="21"/>
                <w:szCs w:val="21"/>
              </w:rPr>
            </w:pPr>
            <w:r>
              <w:rPr>
                <w:rFonts w:hint="eastAsia" w:ascii="Times New Roman" w:hAnsi="Times New Roman" w:cs="Times New Roman"/>
                <w:sz w:val="21"/>
                <w:szCs w:val="21"/>
              </w:rPr>
              <w:t>产品和服务要求</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主要根据顾客提出的产品要求/标书中明示产品要求/产品执行的技术指标等进行控制，严格按要求进行了合同评审—确保能满足客户需求，控制情况较好。</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Times New Roman" w:hAnsi="Times New Roman" w:cs="Times New Roman"/>
                <w:sz w:val="21"/>
                <w:szCs w:val="21"/>
              </w:rPr>
            </w:pPr>
            <w:r>
              <w:rPr>
                <w:rFonts w:hint="eastAsia" w:ascii="Times New Roman" w:hAnsi="Times New Roman" w:cs="Times New Roman"/>
                <w:sz w:val="21"/>
                <w:szCs w:val="21"/>
              </w:rPr>
              <w:t>采购过程控制：首先编制采购产品验收规范等作业文件规定采购产品质量要求；其次对</w:t>
            </w:r>
            <w:r>
              <w:rPr>
                <w:rFonts w:hint="eastAsia" w:ascii="Times New Roman" w:hAnsi="Times New Roman" w:cs="Times New Roman"/>
                <w:sz w:val="21"/>
                <w:szCs w:val="21"/>
                <w:lang w:eastAsia="zh-CN"/>
              </w:rPr>
              <w:t>供方</w:t>
            </w:r>
            <w:r>
              <w:rPr>
                <w:rFonts w:hint="eastAsia" w:ascii="Times New Roman" w:hAnsi="Times New Roman" w:cs="Times New Roman"/>
                <w:sz w:val="21"/>
                <w:szCs w:val="21"/>
              </w:rPr>
              <w:t>进行了评价，保证采购产品</w:t>
            </w:r>
            <w:r>
              <w:rPr>
                <w:rFonts w:hint="eastAsia" w:ascii="Times New Roman" w:hAnsi="Times New Roman" w:cs="Times New Roman"/>
                <w:sz w:val="21"/>
                <w:szCs w:val="21"/>
                <w:lang w:val="en-US" w:eastAsia="zh-CN"/>
              </w:rPr>
              <w:t>/服务</w:t>
            </w:r>
            <w:r>
              <w:rPr>
                <w:rFonts w:hint="eastAsia" w:ascii="Times New Roman" w:hAnsi="Times New Roman" w:cs="Times New Roman"/>
                <w:sz w:val="21"/>
                <w:szCs w:val="21"/>
              </w:rPr>
              <w:t>的质量符合公司要求；通过制定采购计划实施采购，</w:t>
            </w:r>
            <w:r>
              <w:rPr>
                <w:rFonts w:hint="eastAsia" w:ascii="Times New Roman" w:hAnsi="Times New Roman" w:cs="Times New Roman"/>
                <w:sz w:val="21"/>
                <w:szCs w:val="21"/>
                <w:lang w:eastAsia="zh-CN"/>
              </w:rPr>
              <w:t>目前控制状况良好</w:t>
            </w:r>
            <w:r>
              <w:rPr>
                <w:rFonts w:hint="eastAsia" w:ascii="Times New Roman" w:hAnsi="Times New Roman" w:cs="Times New Roman"/>
                <w:sz w:val="21"/>
                <w:szCs w:val="21"/>
              </w:rPr>
              <w:t>。</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生产和服务提供：</w:t>
            </w:r>
            <w:r>
              <w:rPr>
                <w:rFonts w:hint="eastAsia" w:ascii="Times New Roman" w:hAnsi="Times New Roman" w:cs="Times New Roman"/>
                <w:sz w:val="21"/>
                <w:szCs w:val="21"/>
                <w:lang w:val="en-GB"/>
              </w:rPr>
              <w:t>依据产品标准、客户要求进行</w:t>
            </w:r>
            <w:r>
              <w:rPr>
                <w:rFonts w:hint="eastAsia" w:cs="Times New Roman"/>
                <w:sz w:val="21"/>
                <w:szCs w:val="21"/>
                <w:lang w:val="en-US" w:eastAsia="zh-CN"/>
              </w:rPr>
              <w:t>生产</w:t>
            </w:r>
            <w:r>
              <w:rPr>
                <w:rFonts w:hint="eastAsia" w:ascii="Times New Roman" w:hAnsi="Times New Roman" w:cs="Times New Roman"/>
                <w:sz w:val="21"/>
                <w:szCs w:val="21"/>
                <w:lang w:val="en-GB"/>
              </w:rPr>
              <w:t>，</w:t>
            </w:r>
            <w:r>
              <w:rPr>
                <w:rFonts w:hint="eastAsia" w:ascii="Times New Roman" w:hAnsi="Times New Roman" w:cs="Times New Roman"/>
                <w:sz w:val="21"/>
                <w:szCs w:val="21"/>
              </w:rPr>
              <w:t>明确了质量标准等，编制了《</w:t>
            </w:r>
            <w:r>
              <w:rPr>
                <w:rFonts w:hint="eastAsia" w:cs="Times New Roman"/>
                <w:sz w:val="21"/>
                <w:szCs w:val="21"/>
                <w:lang w:val="en-US" w:eastAsia="zh-CN"/>
              </w:rPr>
              <w:t>机加工</w:t>
            </w:r>
            <w:r>
              <w:rPr>
                <w:rFonts w:hint="eastAsia" w:ascii="Times New Roman" w:hAnsi="Times New Roman" w:cs="Times New Roman"/>
                <w:sz w:val="21"/>
                <w:szCs w:val="21"/>
              </w:rPr>
              <w:t>工艺要求》、《</w:t>
            </w:r>
            <w:r>
              <w:rPr>
                <w:rFonts w:hint="eastAsia" w:cs="Times New Roman"/>
                <w:sz w:val="21"/>
                <w:szCs w:val="21"/>
                <w:lang w:val="en-US" w:eastAsia="zh-CN"/>
              </w:rPr>
              <w:t>设备</w:t>
            </w:r>
            <w:r>
              <w:rPr>
                <w:rFonts w:hint="eastAsia" w:ascii="Times New Roman" w:hAnsi="Times New Roman" w:cs="Times New Roman"/>
                <w:sz w:val="21"/>
                <w:szCs w:val="21"/>
              </w:rPr>
              <w:t>安全操作规程》、《安全生产管理制度》，对主要生产加工</w:t>
            </w:r>
            <w:r>
              <w:rPr>
                <w:rFonts w:hint="eastAsia" w:ascii="Times New Roman" w:hAnsi="Times New Roman" w:cs="Times New Roman"/>
                <w:sz w:val="21"/>
                <w:szCs w:val="21"/>
                <w:lang w:eastAsia="zh-CN"/>
              </w:rPr>
              <w:t>及销售服务</w:t>
            </w:r>
            <w:r>
              <w:rPr>
                <w:rFonts w:hint="eastAsia" w:ascii="Times New Roman" w:hAnsi="Times New Roman" w:cs="Times New Roman"/>
                <w:sz w:val="21"/>
                <w:szCs w:val="21"/>
              </w:rPr>
              <w:t>各个过</w:t>
            </w:r>
            <w:r>
              <w:rPr>
                <w:rFonts w:hint="eastAsia"/>
                <w:sz w:val="21"/>
                <w:szCs w:val="21"/>
              </w:rPr>
              <w:t>程、因素进行控制。</w:t>
            </w:r>
            <w:r>
              <w:rPr>
                <w:rFonts w:hint="eastAsia" w:ascii="宋体" w:hAnsi="宋体"/>
                <w:sz w:val="21"/>
                <w:szCs w:val="21"/>
                <w:lang w:val="en-GB"/>
              </w:rPr>
              <w:t>现场查看</w:t>
            </w:r>
            <w:r>
              <w:rPr>
                <w:rFonts w:hint="eastAsia" w:ascii="宋体" w:hAnsi="宋体"/>
                <w:sz w:val="21"/>
                <w:szCs w:val="21"/>
                <w:lang w:val="en-US" w:eastAsia="zh-CN"/>
              </w:rPr>
              <w:t>机加工</w:t>
            </w:r>
            <w:r>
              <w:rPr>
                <w:rFonts w:hint="eastAsia" w:ascii="宋体" w:hAnsi="宋体"/>
                <w:sz w:val="21"/>
                <w:szCs w:val="21"/>
                <w:lang w:val="en-GB"/>
              </w:rPr>
              <w:t>情况，均按照要求进行操作</w:t>
            </w:r>
            <w:r>
              <w:rPr>
                <w:rFonts w:hint="eastAsia"/>
                <w:sz w:val="21"/>
                <w:szCs w:val="21"/>
              </w:rPr>
              <w:t>，目前生产和服务过程控制情况较好</w:t>
            </w:r>
            <w:r>
              <w:rPr>
                <w:rFonts w:hint="eastAsia" w:ascii="宋体" w:hAnsi="宋体"/>
                <w:sz w:val="21"/>
                <w:szCs w:val="21"/>
                <w:lang w:val="en-GB" w:eastAsia="zh-CN"/>
              </w:rPr>
              <w:t>。</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GB"/>
              </w:rPr>
              <w:t>产品检验：分为原材料</w:t>
            </w:r>
            <w:r>
              <w:rPr>
                <w:rFonts w:hint="eastAsia" w:cs="Times New Roman"/>
                <w:sz w:val="21"/>
                <w:szCs w:val="21"/>
                <w:lang w:val="en-GB" w:eastAsia="zh-CN"/>
              </w:rPr>
              <w:t>、</w:t>
            </w:r>
            <w:r>
              <w:rPr>
                <w:rFonts w:hint="eastAsia" w:cs="Times New Roman"/>
                <w:sz w:val="21"/>
                <w:szCs w:val="21"/>
                <w:lang w:val="en-US" w:eastAsia="zh-CN"/>
              </w:rPr>
              <w:t>过程检验</w:t>
            </w:r>
            <w:r>
              <w:rPr>
                <w:rFonts w:hint="eastAsia" w:ascii="Times New Roman" w:hAnsi="Times New Roman" w:cs="Times New Roman"/>
                <w:sz w:val="21"/>
                <w:szCs w:val="21"/>
                <w:lang w:val="en-GB" w:eastAsia="zh-CN"/>
              </w:rPr>
              <w:t>及</w:t>
            </w:r>
            <w:r>
              <w:rPr>
                <w:rFonts w:hint="eastAsia" w:ascii="Times New Roman" w:hAnsi="Times New Roman" w:cs="Times New Roman"/>
                <w:sz w:val="21"/>
                <w:szCs w:val="21"/>
                <w:lang w:val="en-GB"/>
              </w:rPr>
              <w:t>成品检验，原材料采取进货验证，</w:t>
            </w:r>
            <w:r>
              <w:rPr>
                <w:rFonts w:hint="eastAsia" w:cs="Times New Roman"/>
                <w:sz w:val="21"/>
                <w:szCs w:val="21"/>
                <w:lang w:val="en-US" w:eastAsia="zh-CN"/>
              </w:rPr>
              <w:t>过程检验为随工</w:t>
            </w:r>
            <w:r>
              <w:rPr>
                <w:rFonts w:hint="eastAsia" w:ascii="Times New Roman" w:hAnsi="Times New Roman" w:cs="Times New Roman"/>
                <w:sz w:val="21"/>
                <w:szCs w:val="21"/>
                <w:lang w:val="en-GB" w:eastAsia="zh-CN"/>
              </w:rPr>
              <w:t>检验</w:t>
            </w:r>
            <w:r>
              <w:rPr>
                <w:rFonts w:hint="eastAsia" w:ascii="Times New Roman" w:hAnsi="Times New Roman" w:cs="Times New Roman"/>
                <w:sz w:val="21"/>
                <w:szCs w:val="21"/>
                <w:lang w:val="en-GB"/>
              </w:rPr>
              <w:t>；原材料</w:t>
            </w:r>
            <w:r>
              <w:rPr>
                <w:rFonts w:hint="eastAsia" w:ascii="Times New Roman" w:hAnsi="Times New Roman" w:cs="Times New Roman"/>
                <w:sz w:val="21"/>
                <w:szCs w:val="21"/>
                <w:lang w:val="en-GB" w:eastAsia="zh-CN"/>
              </w:rPr>
              <w:t>主要为</w:t>
            </w:r>
            <w:r>
              <w:rPr>
                <w:rFonts w:hint="eastAsia"/>
                <w:sz w:val="21"/>
                <w:szCs w:val="21"/>
              </w:rPr>
              <w:t>碱</w:t>
            </w:r>
            <w:r>
              <w:rPr>
                <w:rFonts w:hint="eastAsia"/>
                <w:sz w:val="21"/>
                <w:szCs w:val="21"/>
                <w:lang w:eastAsia="zh-CN"/>
              </w:rPr>
              <w:t>、</w:t>
            </w:r>
            <w:r>
              <w:rPr>
                <w:rFonts w:hint="eastAsia"/>
                <w:sz w:val="21"/>
                <w:szCs w:val="21"/>
              </w:rPr>
              <w:t>过碳酸钠</w:t>
            </w:r>
            <w:r>
              <w:rPr>
                <w:rFonts w:hint="eastAsia"/>
                <w:sz w:val="21"/>
                <w:szCs w:val="21"/>
                <w:lang w:eastAsia="zh-CN"/>
              </w:rPr>
              <w:t>、</w:t>
            </w:r>
            <w:r>
              <w:rPr>
                <w:rFonts w:hint="eastAsia"/>
                <w:sz w:val="21"/>
                <w:szCs w:val="21"/>
              </w:rPr>
              <w:t>DACC</w:t>
            </w:r>
            <w:r>
              <w:rPr>
                <w:rFonts w:hint="eastAsia"/>
                <w:sz w:val="21"/>
                <w:szCs w:val="21"/>
                <w:lang w:eastAsia="zh-CN"/>
              </w:rPr>
              <w:t>、</w:t>
            </w:r>
            <w:r>
              <w:rPr>
                <w:rFonts w:hint="eastAsia"/>
                <w:sz w:val="21"/>
                <w:szCs w:val="21"/>
              </w:rPr>
              <w:t>皂粉</w:t>
            </w:r>
            <w:r>
              <w:rPr>
                <w:rFonts w:hint="eastAsia"/>
                <w:sz w:val="21"/>
                <w:szCs w:val="21"/>
                <w:lang w:eastAsia="zh-CN"/>
              </w:rPr>
              <w:t>、</w:t>
            </w:r>
            <w:r>
              <w:rPr>
                <w:rFonts w:hint="eastAsia"/>
                <w:sz w:val="21"/>
                <w:szCs w:val="21"/>
              </w:rPr>
              <w:t>十二烷基苯磺酸钠</w:t>
            </w:r>
            <w:r>
              <w:rPr>
                <w:rFonts w:hint="eastAsia" w:ascii="Times New Roman" w:hAnsi="Times New Roman" w:cs="Times New Roman"/>
                <w:sz w:val="21"/>
                <w:szCs w:val="21"/>
                <w:lang w:val="en-US" w:eastAsia="zh-CN"/>
              </w:rPr>
              <w:t>等，</w:t>
            </w:r>
            <w:r>
              <w:rPr>
                <w:rFonts w:hint="eastAsia" w:ascii="Times New Roman" w:hAnsi="Times New Roman" w:cs="Times New Roman"/>
                <w:sz w:val="21"/>
                <w:szCs w:val="21"/>
                <w:lang w:val="en-GB" w:eastAsia="zh-CN"/>
              </w:rPr>
              <w:t>验证</w:t>
            </w:r>
            <w:r>
              <w:rPr>
                <w:rFonts w:hint="eastAsia" w:ascii="Times New Roman" w:hAnsi="Times New Roman" w:cs="Times New Roman"/>
                <w:sz w:val="21"/>
                <w:szCs w:val="21"/>
                <w:lang w:val="en-GB"/>
              </w:rPr>
              <w:t>项目有</w:t>
            </w:r>
            <w:r>
              <w:rPr>
                <w:rFonts w:hint="eastAsia" w:ascii="Times New Roman" w:hAnsi="Times New Roman" w:cs="Times New Roman"/>
                <w:sz w:val="21"/>
                <w:szCs w:val="21"/>
              </w:rPr>
              <w:t>数量</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外观</w:t>
            </w:r>
            <w:r>
              <w:rPr>
                <w:rFonts w:hint="eastAsia" w:ascii="Times New Roman" w:hAnsi="Times New Roman" w:cs="Times New Roman"/>
                <w:sz w:val="21"/>
                <w:szCs w:val="21"/>
                <w:lang w:val="en-US" w:eastAsia="zh-CN"/>
              </w:rPr>
              <w:t>/材质单</w:t>
            </w:r>
            <w:r>
              <w:rPr>
                <w:rFonts w:hint="eastAsia" w:ascii="Times New Roman" w:hAnsi="Times New Roman" w:cs="Times New Roman"/>
                <w:sz w:val="21"/>
                <w:szCs w:val="21"/>
                <w:lang w:val="en-GB"/>
              </w:rPr>
              <w:t>；</w:t>
            </w:r>
            <w:r>
              <w:rPr>
                <w:rFonts w:hint="eastAsia" w:cs="Times New Roman"/>
                <w:sz w:val="21"/>
                <w:szCs w:val="21"/>
                <w:lang w:val="en-US" w:eastAsia="zh-CN"/>
              </w:rPr>
              <w:t>过程检验</w:t>
            </w:r>
            <w:r>
              <w:rPr>
                <w:rFonts w:hint="eastAsia" w:ascii="Times New Roman" w:hAnsi="Times New Roman" w:cs="Times New Roman"/>
                <w:sz w:val="21"/>
                <w:szCs w:val="21"/>
                <w:lang w:val="en-GB" w:eastAsia="zh-CN"/>
              </w:rPr>
              <w:t>主要为关键工序检验</w:t>
            </w:r>
            <w:r>
              <w:rPr>
                <w:rFonts w:hint="eastAsia" w:ascii="Times New Roman" w:hAnsi="Times New Roman" w:cs="Times New Roman"/>
                <w:sz w:val="21"/>
                <w:szCs w:val="21"/>
                <w:lang w:val="en-US" w:eastAsia="zh-CN"/>
              </w:rPr>
              <w:t>，验证项目为</w:t>
            </w:r>
            <w:r>
              <w:rPr>
                <w:rFonts w:hint="eastAsia" w:cs="Times New Roman"/>
                <w:sz w:val="21"/>
                <w:szCs w:val="21"/>
                <w:lang w:val="en-US" w:eastAsia="zh-CN"/>
              </w:rPr>
              <w:t>操作符合性</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lang w:val="en-GB"/>
              </w:rPr>
              <w:t>成品检验</w:t>
            </w:r>
            <w:r>
              <w:rPr>
                <w:rFonts w:hint="eastAsia" w:ascii="Times New Roman" w:hAnsi="Times New Roman" w:cs="Times New Roman"/>
                <w:sz w:val="21"/>
                <w:szCs w:val="21"/>
                <w:lang w:val="en-GB" w:eastAsia="zh-CN"/>
              </w:rPr>
              <w:t>：检验</w:t>
            </w:r>
            <w:r>
              <w:rPr>
                <w:rFonts w:hint="eastAsia" w:ascii="Times New Roman" w:hAnsi="Times New Roman" w:cs="Times New Roman"/>
                <w:sz w:val="21"/>
                <w:szCs w:val="21"/>
                <w:lang w:eastAsia="zh-CN"/>
              </w:rPr>
              <w:t>项目有</w:t>
            </w:r>
            <w:r>
              <w:rPr>
                <w:rFonts w:hint="eastAsia"/>
                <w:sz w:val="21"/>
                <w:szCs w:val="21"/>
              </w:rPr>
              <w:t>外观、气味、稳定性、p</w:t>
            </w:r>
            <w:r>
              <w:rPr>
                <w:sz w:val="21"/>
                <w:szCs w:val="21"/>
              </w:rPr>
              <w:t>H</w:t>
            </w:r>
            <w:r>
              <w:rPr>
                <w:rFonts w:hint="eastAsia" w:ascii="Times New Roman" w:hAnsi="Times New Roman" w:cs="Times New Roman"/>
                <w:sz w:val="21"/>
                <w:szCs w:val="21"/>
                <w:lang w:val="zh-CN"/>
              </w:rPr>
              <w:t>等</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提供</w:t>
            </w:r>
            <w:r>
              <w:rPr>
                <w:rFonts w:hint="eastAsia" w:ascii="Times New Roman" w:hAnsi="Times New Roman" w:cs="Times New Roman"/>
                <w:sz w:val="21"/>
                <w:szCs w:val="21"/>
                <w:lang w:eastAsia="zh-CN"/>
              </w:rPr>
              <w:t>原材料、</w:t>
            </w:r>
            <w:r>
              <w:rPr>
                <w:rFonts w:hint="eastAsia" w:cs="Times New Roman"/>
                <w:sz w:val="21"/>
                <w:szCs w:val="21"/>
                <w:lang w:val="en-US" w:eastAsia="zh-CN"/>
              </w:rPr>
              <w:t>过程</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产品检验记录</w:t>
            </w:r>
            <w:r>
              <w:rPr>
                <w:rFonts w:hint="eastAsia" w:ascii="Times New Roman" w:hAnsi="Times New Roman" w:cs="Times New Roman"/>
                <w:sz w:val="21"/>
                <w:szCs w:val="21"/>
                <w:lang w:eastAsia="zh-CN"/>
              </w:rPr>
              <w:t>。审核结论：产品的监视和测量符合要求。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 w:hRule="atLeast"/>
          <w:jc w:val="center"/>
        </w:trPr>
        <w:tc>
          <w:tcPr>
            <w:tcW w:w="68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340" w:lineRule="exact"/>
              <w:jc w:val="left"/>
              <w:textAlignment w:val="auto"/>
              <w:rPr>
                <w:b/>
                <w:color w:val="000000"/>
                <w:sz w:val="21"/>
                <w:szCs w:val="21"/>
              </w:rPr>
            </w:pPr>
            <w:r>
              <w:rPr>
                <w:b/>
                <w:color w:val="000000"/>
                <w:sz w:val="21"/>
                <w:szCs w:val="21"/>
              </w:rPr>
              <w:t>4.QMS</w:t>
            </w:r>
            <w:r>
              <w:rPr>
                <w:rFonts w:hint="eastAsia"/>
                <w:b/>
                <w:color w:val="000000"/>
                <w:sz w:val="21"/>
                <w:szCs w:val="21"/>
              </w:rPr>
              <w:t>产品</w:t>
            </w:r>
            <w:r>
              <w:rPr>
                <w:b/>
                <w:color w:val="000000"/>
                <w:sz w:val="21"/>
                <w:szCs w:val="21"/>
              </w:rPr>
              <w:t>/</w:t>
            </w:r>
            <w:r>
              <w:rPr>
                <w:rFonts w:hint="eastAsia"/>
                <w:b/>
                <w:color w:val="000000"/>
                <w:sz w:val="21"/>
                <w:szCs w:val="21"/>
              </w:rPr>
              <w:t>服务的标准、协议</w:t>
            </w:r>
            <w:r>
              <w:rPr>
                <w:b/>
                <w:color w:val="000000"/>
                <w:sz w:val="21"/>
                <w:szCs w:val="21"/>
              </w:rPr>
              <w:t>/</w:t>
            </w:r>
            <w:r>
              <w:rPr>
                <w:rFonts w:hint="eastAsia"/>
                <w:b/>
                <w:color w:val="000000"/>
                <w:sz w:val="21"/>
                <w:szCs w:val="21"/>
              </w:rPr>
              <w:t>规范的有效性以及产品</w:t>
            </w:r>
            <w:r>
              <w:rPr>
                <w:b/>
                <w:color w:val="000000"/>
                <w:sz w:val="21"/>
                <w:szCs w:val="21"/>
              </w:rPr>
              <w:t>/</w:t>
            </w:r>
            <w:r>
              <w:rPr>
                <w:rFonts w:hint="eastAsia"/>
                <w:b/>
                <w:color w:val="000000"/>
                <w:sz w:val="21"/>
                <w:szCs w:val="21"/>
              </w:rPr>
              <w:t>服务质量符合要求，向顾客稳定提供合格产品的情况</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b/>
                <w:kern w:val="2"/>
                <w:sz w:val="24"/>
                <w:szCs w:val="21"/>
                <w:lang w:val="en-US" w:eastAsia="zh-CN" w:bidi="ar-SA"/>
              </w:rPr>
            </w:pPr>
            <w:r>
              <w:rPr>
                <w:rFonts w:hint="eastAsia" w:ascii="Times New Roman" w:hAnsi="Times New Roman" w:cs="Times New Roman"/>
                <w:sz w:val="21"/>
                <w:szCs w:val="21"/>
                <w:lang w:val="en-US" w:eastAsia="zh-CN"/>
              </w:rPr>
              <w:t>主要满足</w:t>
            </w:r>
            <w:r>
              <w:rPr>
                <w:rFonts w:hint="eastAsia"/>
                <w:sz w:val="21"/>
                <w:szCs w:val="21"/>
              </w:rPr>
              <w:t>GB/T13171-2009《洗衣粉》、QB/T1224-2012《衣料用液体洗涤剂》</w:t>
            </w:r>
            <w:r>
              <w:rPr>
                <w:rFonts w:hint="eastAsia" w:ascii="Times New Roman" w:hAnsi="Times New Roman" w:cs="Times New Roman"/>
                <w:sz w:val="21"/>
                <w:szCs w:val="21"/>
                <w:lang w:val="en-US" w:eastAsia="zh-CN"/>
              </w:rPr>
              <w:t>及客户要求，目前向顾客提供的产品</w:t>
            </w:r>
            <w:r>
              <w:rPr>
                <w:rFonts w:hint="eastAsia" w:cs="Times New Roman"/>
                <w:sz w:val="21"/>
                <w:szCs w:val="21"/>
                <w:lang w:val="en-US" w:eastAsia="zh-CN"/>
              </w:rPr>
              <w:t>/服务</w:t>
            </w:r>
            <w:r>
              <w:rPr>
                <w:rFonts w:hint="eastAsia" w:ascii="Times New Roman" w:hAnsi="Times New Roman" w:cs="Times New Roman"/>
                <w:sz w:val="21"/>
                <w:szCs w:val="21"/>
                <w:lang w:val="en-US" w:eastAsia="zh-CN"/>
              </w:rPr>
              <w:t>均合格，提供有产品检验记录、客户验收记录。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68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340" w:lineRule="exact"/>
              <w:textAlignment w:val="auto"/>
              <w:rPr>
                <w:b/>
                <w:color w:val="000000"/>
                <w:sz w:val="20"/>
              </w:rPr>
            </w:pPr>
            <w:r>
              <w:rPr>
                <w:b/>
                <w:color w:val="000000"/>
                <w:sz w:val="20"/>
              </w:rPr>
              <w:t>5 .QMS</w:t>
            </w:r>
            <w:r>
              <w:rPr>
                <w:rFonts w:hint="eastAsia"/>
                <w:b/>
                <w:color w:val="000000"/>
                <w:sz w:val="20"/>
              </w:rPr>
              <w:t>国家</w:t>
            </w:r>
            <w:r>
              <w:rPr>
                <w:b/>
                <w:color w:val="000000"/>
                <w:sz w:val="20"/>
              </w:rPr>
              <w:t>/</w:t>
            </w:r>
            <w:r>
              <w:rPr>
                <w:rFonts w:hint="eastAsia"/>
                <w:b/>
                <w:color w:val="000000"/>
                <w:sz w:val="20"/>
              </w:rPr>
              <w:t>地方技术监督部门监测（检测、委托检测、定期监测、型式试验等）、抽查结果</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b/>
                <w:color w:val="000000"/>
                <w:kern w:val="2"/>
                <w:sz w:val="20"/>
                <w:lang w:val="en-US" w:eastAsia="zh-CN" w:bidi="ar-SA"/>
              </w:rPr>
            </w:pPr>
            <w:r>
              <w:rPr>
                <w:rFonts w:hint="eastAsia"/>
                <w:b/>
                <w:color w:val="000000"/>
                <w:sz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jc w:val="center"/>
        </w:trPr>
        <w:tc>
          <w:tcPr>
            <w:tcW w:w="68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pacing w:val="-8"/>
                <w:sz w:val="20"/>
                <w:szCs w:val="20"/>
                <w:lang w:eastAsia="zh-CN"/>
              </w:rPr>
            </w:pPr>
            <w:r>
              <w:rPr>
                <w:rFonts w:hint="eastAsia"/>
                <w:b/>
                <w:color w:val="000000" w:themeColor="text1"/>
                <w:sz w:val="20"/>
                <w:szCs w:val="20"/>
                <w:lang w:val="en-US" w:eastAsia="zh-CN"/>
              </w:rPr>
              <w:t>6</w:t>
            </w:r>
            <w:r>
              <w:rPr>
                <w:rFonts w:hint="eastAsia"/>
                <w:b/>
                <w:color w:val="000000" w:themeColor="text1"/>
                <w:sz w:val="20"/>
                <w:szCs w:val="20"/>
              </w:rPr>
              <w:t>.</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60" w:lineRule="exact"/>
              <w:textAlignment w:val="auto"/>
              <w:rPr>
                <w:rFonts w:ascii="Times New Roman" w:hAnsi="Times New Roman" w:eastAsia="宋体" w:cs="Times New Roman"/>
                <w:b/>
                <w:color w:val="000000" w:themeColor="text1"/>
                <w:kern w:val="2"/>
                <w:sz w:val="20"/>
                <w:szCs w:val="20"/>
                <w:lang w:val="en-US" w:eastAsia="zh-CN" w:bidi="ar-SA"/>
              </w:rPr>
            </w:pPr>
            <w:r>
              <w:rPr>
                <w:rFonts w:hint="eastAsia"/>
                <w:sz w:val="21"/>
                <w:szCs w:val="21"/>
              </w:rPr>
              <w:t>对于</w:t>
            </w:r>
            <w:r>
              <w:rPr>
                <w:rFonts w:hint="eastAsia"/>
                <w:sz w:val="21"/>
                <w:szCs w:val="21"/>
                <w:lang w:val="en-US" w:eastAsia="zh-CN"/>
              </w:rPr>
              <w:t>不合格项</w:t>
            </w:r>
            <w:r>
              <w:rPr>
                <w:rFonts w:hint="eastAsia"/>
                <w:sz w:val="21"/>
                <w:szCs w:val="21"/>
              </w:rPr>
              <w:t>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2" w:hRule="atLeast"/>
          <w:jc w:val="center"/>
        </w:trPr>
        <w:tc>
          <w:tcPr>
            <w:tcW w:w="68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7</w:t>
            </w:r>
            <w:r>
              <w:rPr>
                <w:rFonts w:hint="eastAsia"/>
                <w:b/>
                <w:color w:val="000000" w:themeColor="text1"/>
                <w:sz w:val="20"/>
                <w:szCs w:val="20"/>
              </w:rPr>
              <w:t>. EMS组织对重要环境因素实施控制的结果</w:t>
            </w:r>
          </w:p>
          <w:p>
            <w:pPr>
              <w:keepNext w:val="0"/>
              <w:keepLines w:val="0"/>
              <w:pageBreakBefore w:val="0"/>
              <w:kinsoku/>
              <w:wordWrap/>
              <w:overflowPunct/>
              <w:topLinePunct w:val="0"/>
              <w:autoSpaceDE/>
              <w:autoSpaceDN/>
              <w:bidi w:val="0"/>
              <w:adjustRightInd/>
              <w:snapToGrid/>
              <w:spacing w:line="360" w:lineRule="exact"/>
              <w:textAlignment w:val="auto"/>
              <w:rPr>
                <w:rFonts w:ascii="Times New Roman" w:hAnsi="Times New Roman" w:eastAsia="宋体" w:cs="Times New Roman"/>
                <w:b/>
                <w:color w:val="000000" w:themeColor="text1"/>
                <w:kern w:val="2"/>
                <w:sz w:val="20"/>
                <w:szCs w:val="20"/>
                <w:lang w:val="en-US" w:eastAsia="zh-CN" w:bidi="ar-SA"/>
              </w:rPr>
            </w:pPr>
            <w:r>
              <w:rPr>
                <w:rFonts w:hint="eastAsia"/>
                <w:sz w:val="21"/>
                <w:szCs w:val="21"/>
                <w:lang w:val="en-GB"/>
              </w:rPr>
              <w:t>编制</w:t>
            </w:r>
            <w:r>
              <w:rPr>
                <w:rFonts w:hint="eastAsia"/>
                <w:sz w:val="21"/>
                <w:szCs w:val="21"/>
              </w:rPr>
              <w:t>环境运行控制程序，固体废弃物管理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rPr>
              <w:t>办公室安全管理制度等，针对各部门所负责的工作，分别对环境运行过程进行控制</w:t>
            </w:r>
            <w:r>
              <w:rPr>
                <w:rFonts w:hint="eastAsia"/>
                <w:sz w:val="21"/>
                <w:szCs w:val="21"/>
                <w:lang w:val="en-GB"/>
              </w:rPr>
              <w:t>，</w:t>
            </w:r>
            <w:r>
              <w:rPr>
                <w:rFonts w:hint="eastAsia"/>
                <w:sz w:val="21"/>
                <w:szCs w:val="21"/>
              </w:rPr>
              <w:t>涉及有</w:t>
            </w:r>
            <w:r>
              <w:rPr>
                <w:rFonts w:hint="eastAsia"/>
                <w:sz w:val="21"/>
                <w:szCs w:val="21"/>
                <w:lang w:val="en-US" w:eastAsia="zh-CN"/>
              </w:rPr>
              <w:t>噪声排放、</w:t>
            </w:r>
            <w:r>
              <w:rPr>
                <w:rFonts w:hint="eastAsia"/>
                <w:sz w:val="21"/>
                <w:szCs w:val="21"/>
              </w:rPr>
              <w:t>固废处置、资源控制、火灾、相关方施加影响等。</w:t>
            </w:r>
            <w:r>
              <w:rPr>
                <w:rFonts w:hint="eastAsia"/>
                <w:sz w:val="21"/>
                <w:szCs w:val="21"/>
                <w:lang w:val="en-US" w:eastAsia="zh-CN"/>
              </w:rPr>
              <w:t>提供有固废处置记录、相关方告知书及发放记录、劳保用品发放记录。</w:t>
            </w:r>
            <w:r>
              <w:rPr>
                <w:rFonts w:hint="eastAsia"/>
                <w:sz w:val="21"/>
                <w:szCs w:val="21"/>
              </w:rPr>
              <w:t>现场查看办公区域干净整洁，</w:t>
            </w:r>
            <w:r>
              <w:rPr>
                <w:rFonts w:hint="eastAsia"/>
                <w:sz w:val="21"/>
                <w:szCs w:val="21"/>
                <w:lang w:val="en-US" w:eastAsia="zh-CN"/>
              </w:rPr>
              <w:t>无安全隐患</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68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Cs w:val="21"/>
              </w:rPr>
            </w:pPr>
          </w:p>
        </w:tc>
        <w:tc>
          <w:tcPr>
            <w:tcW w:w="9237"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lang w:val="en-US" w:eastAsia="zh-CN"/>
              </w:rPr>
              <w:t>8.</w:t>
            </w:r>
            <w:r>
              <w:rPr>
                <w:rFonts w:hint="eastAsia"/>
                <w:b/>
                <w:color w:val="000000" w:themeColor="text1"/>
                <w:sz w:val="20"/>
                <w:szCs w:val="20"/>
              </w:rPr>
              <w:t>OHSMS组织对不可接受风险实施控制的结果</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ascii="Times New Roman" w:hAnsi="Times New Roman" w:eastAsia="宋体" w:cs="Times New Roman"/>
                <w:b/>
                <w:color w:val="000000" w:themeColor="text1"/>
                <w:kern w:val="2"/>
                <w:sz w:val="20"/>
                <w:szCs w:val="20"/>
                <w:lang w:val="en-US" w:eastAsia="zh-CN" w:bidi="ar-SA"/>
              </w:rPr>
            </w:pPr>
            <w:r>
              <w:rPr>
                <w:rFonts w:hint="eastAsia"/>
                <w:sz w:val="21"/>
                <w:szCs w:val="21"/>
                <w:lang w:val="en-GB"/>
              </w:rPr>
              <w:t>编制职业健康安全运行控制程序，对相关方施加影响</w:t>
            </w:r>
            <w:r>
              <w:rPr>
                <w:rFonts w:hint="eastAsia"/>
                <w:sz w:val="21"/>
                <w:szCs w:val="21"/>
                <w:lang w:val="en-US" w:eastAsia="zh-CN"/>
              </w:rPr>
              <w:t>管理规定</w:t>
            </w:r>
            <w:r>
              <w:rPr>
                <w:rFonts w:hint="eastAsia"/>
                <w:sz w:val="21"/>
                <w:szCs w:val="21"/>
                <w:lang w:val="en-GB"/>
              </w:rPr>
              <w:t>、办公室安全管理制度</w:t>
            </w:r>
            <w:r>
              <w:rPr>
                <w:rFonts w:hint="eastAsia"/>
                <w:sz w:val="21"/>
                <w:szCs w:val="21"/>
                <w:lang w:val="en-GB" w:eastAsia="zh-CN"/>
              </w:rPr>
              <w:t>、</w:t>
            </w:r>
            <w:r>
              <w:rPr>
                <w:rFonts w:hint="eastAsia"/>
                <w:sz w:val="21"/>
                <w:szCs w:val="21"/>
                <w:lang w:val="en-GB"/>
              </w:rPr>
              <w:t>车辆管理规定</w:t>
            </w:r>
            <w:r>
              <w:rPr>
                <w:rFonts w:hint="eastAsia"/>
                <w:sz w:val="21"/>
                <w:szCs w:val="21"/>
                <w:lang w:val="en-GB" w:eastAsia="zh-CN"/>
              </w:rPr>
              <w:t>、</w:t>
            </w:r>
            <w:r>
              <w:rPr>
                <w:rFonts w:hint="eastAsia"/>
                <w:sz w:val="21"/>
                <w:szCs w:val="21"/>
                <w:lang w:val="en-GB"/>
              </w:rPr>
              <w:t>电脑使用管理办法</w:t>
            </w:r>
            <w:r>
              <w:rPr>
                <w:rFonts w:hint="eastAsia"/>
                <w:sz w:val="21"/>
                <w:szCs w:val="21"/>
                <w:lang w:val="en-GB" w:eastAsia="zh-CN"/>
              </w:rPr>
              <w:t>、</w:t>
            </w:r>
            <w:r>
              <w:rPr>
                <w:rFonts w:hint="eastAsia"/>
                <w:sz w:val="21"/>
                <w:szCs w:val="21"/>
                <w:lang w:val="en-GB"/>
              </w:rPr>
              <w:t>服务人员工作规范等，针对各部门所负责的工作，对危险源进行控制</w:t>
            </w:r>
            <w:r>
              <w:rPr>
                <w:rFonts w:hint="eastAsia"/>
                <w:sz w:val="21"/>
                <w:szCs w:val="21"/>
              </w:rPr>
              <w:t>涉及有</w:t>
            </w:r>
            <w:r>
              <w:rPr>
                <w:rFonts w:hint="eastAsia"/>
                <w:sz w:val="21"/>
                <w:szCs w:val="21"/>
                <w:lang w:val="en-US" w:eastAsia="zh-CN"/>
              </w:rPr>
              <w:t>噪声伤害、机械伤害、</w:t>
            </w:r>
            <w:r>
              <w:rPr>
                <w:rFonts w:hint="eastAsia"/>
                <w:sz w:val="21"/>
                <w:szCs w:val="21"/>
                <w:lang w:val="en-GB"/>
              </w:rPr>
              <w:t>火灾、触电、</w:t>
            </w:r>
            <w:r>
              <w:rPr>
                <w:rFonts w:hint="eastAsia"/>
                <w:sz w:val="21"/>
                <w:szCs w:val="21"/>
                <w:lang w:val="en-US" w:eastAsia="zh-CN"/>
              </w:rPr>
              <w:t>车辆</w:t>
            </w:r>
            <w:r>
              <w:rPr>
                <w:rFonts w:hint="eastAsia"/>
                <w:sz w:val="21"/>
                <w:szCs w:val="21"/>
                <w:lang w:val="en-GB"/>
              </w:rPr>
              <w:t>伤害</w:t>
            </w:r>
            <w:r>
              <w:rPr>
                <w:rFonts w:hint="eastAsia"/>
                <w:sz w:val="21"/>
                <w:szCs w:val="21"/>
              </w:rPr>
              <w:t>、相关方施加影响等进行控制，具体措施有对员工进行安全教育，发放劳保用品，对相关方进行告知，现场查看办公区域干净整洁，</w:t>
            </w:r>
            <w:r>
              <w:rPr>
                <w:rFonts w:hint="eastAsia"/>
                <w:sz w:val="21"/>
                <w:szCs w:val="21"/>
                <w:lang w:val="en-US" w:eastAsia="zh-CN"/>
              </w:rPr>
              <w:t>无安全隐患</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68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360" w:lineRule="exact"/>
              <w:ind w:left="201" w:hanging="201" w:hangingChars="100"/>
              <w:textAlignment w:val="auto"/>
              <w:rPr>
                <w:b/>
                <w:color w:val="000000" w:themeColor="text1"/>
                <w:sz w:val="20"/>
                <w:szCs w:val="20"/>
              </w:rPr>
            </w:pPr>
            <w:r>
              <w:rPr>
                <w:rFonts w:hint="eastAsia"/>
                <w:b/>
                <w:color w:val="000000" w:themeColor="text1"/>
                <w:sz w:val="20"/>
                <w:szCs w:val="20"/>
                <w:lang w:val="en-US" w:eastAsia="zh-CN"/>
              </w:rPr>
              <w:t>9.</w:t>
            </w:r>
            <w:r>
              <w:rPr>
                <w:rFonts w:hint="eastAsia"/>
                <w:b/>
                <w:color w:val="000000" w:themeColor="text1"/>
                <w:sz w:val="20"/>
                <w:szCs w:val="20"/>
              </w:rPr>
              <w:t>应急准备与相应活动的演练及对预案可行性的评价</w:t>
            </w:r>
          </w:p>
          <w:p>
            <w:pPr>
              <w:keepNext w:val="0"/>
              <w:keepLines w:val="0"/>
              <w:pageBreakBefore w:val="0"/>
              <w:kinsoku/>
              <w:wordWrap/>
              <w:overflowPunct/>
              <w:topLinePunct w:val="0"/>
              <w:autoSpaceDE/>
              <w:autoSpaceDN/>
              <w:bidi w:val="0"/>
              <w:adjustRightInd/>
              <w:snapToGrid/>
              <w:spacing w:line="360" w:lineRule="exact"/>
              <w:textAlignment w:val="auto"/>
              <w:rPr>
                <w:rFonts w:ascii="Times New Roman" w:hAnsi="Times New Roman" w:eastAsia="宋体" w:cs="Times New Roman"/>
                <w:b/>
                <w:color w:val="000000" w:themeColor="text1"/>
                <w:spacing w:val="-4"/>
                <w:kern w:val="2"/>
                <w:sz w:val="20"/>
                <w:szCs w:val="20"/>
                <w:lang w:val="en-US" w:eastAsia="zh-CN" w:bidi="ar-SA"/>
              </w:rPr>
            </w:pPr>
            <w:r>
              <w:rPr>
                <w:rFonts w:hint="eastAsia"/>
                <w:sz w:val="21"/>
                <w:szCs w:val="21"/>
                <w:lang w:val="en-GB"/>
              </w:rPr>
              <w:t>编制应急准备和响应控制程序，识别的潜在意外紧急情况为火灾、触电、机械伤害等。编制了应急预案，组织了消防演练，提供了应急预案演练记录。对应急预案进行了评价，可行。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68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对特种设备的维护，检定</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color w:val="000000" w:themeColor="text1"/>
                <w:kern w:val="2"/>
                <w:sz w:val="20"/>
                <w:szCs w:val="20"/>
                <w:lang w:val="en-US" w:eastAsia="zh-CN" w:bidi="ar-SA"/>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68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lang w:val="en-US" w:eastAsia="zh-CN"/>
              </w:rPr>
              <w:t>11.</w:t>
            </w:r>
            <w:r>
              <w:rPr>
                <w:rFonts w:hint="eastAsia"/>
                <w:b/>
                <w:color w:val="000000" w:themeColor="text1"/>
                <w:sz w:val="20"/>
                <w:szCs w:val="20"/>
              </w:rPr>
              <w:t>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60" w:lineRule="exact"/>
              <w:textAlignment w:val="auto"/>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681"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237" w:type="dxa"/>
            <w:vAlign w:val="top"/>
          </w:tcPr>
          <w:p>
            <w:pPr>
              <w:keepNext w:val="0"/>
              <w:keepLines w:val="0"/>
              <w:pageBreakBefore w:val="0"/>
              <w:kinsoku/>
              <w:wordWrap/>
              <w:overflowPunct/>
              <w:topLinePunct w:val="0"/>
              <w:autoSpaceDE/>
              <w:autoSpaceDN/>
              <w:bidi w:val="0"/>
              <w:adjustRightInd/>
              <w:snapToGrid/>
              <w:spacing w:line="36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60" w:lineRule="exact"/>
              <w:textAlignment w:val="auto"/>
              <w:rPr>
                <w:rFonts w:ascii="Times New Roman" w:hAnsi="Times New Roman" w:eastAsia="宋体" w:cs="Times New Roman"/>
                <w:b/>
                <w:color w:val="000000" w:themeColor="text1"/>
                <w:kern w:val="2"/>
                <w:sz w:val="20"/>
                <w:szCs w:val="20"/>
                <w:lang w:val="en-US" w:eastAsia="zh-CN" w:bidi="ar-SA"/>
              </w:rPr>
            </w:pPr>
            <w:r>
              <w:rPr>
                <w:rFonts w:hint="eastAsia"/>
                <w:sz w:val="21"/>
                <w:szCs w:val="21"/>
              </w:rPr>
              <w:t>提供了文件化可分解的目标、指标，经查问分解到各部门，经查阅建立的管理目标符合标准要求，在方针的框架下展开，每季度考核一次，查看</w:t>
            </w:r>
            <w:r>
              <w:rPr>
                <w:rFonts w:hint="eastAsia"/>
                <w:sz w:val="21"/>
                <w:szCs w:val="21"/>
                <w:lang w:val="en-US" w:eastAsia="zh-CN"/>
              </w:rPr>
              <w:t>2020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681"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szCs w:val="21"/>
              </w:rPr>
            </w:pPr>
          </w:p>
        </w:tc>
        <w:tc>
          <w:tcPr>
            <w:tcW w:w="9237" w:type="dxa"/>
            <w:vAlign w:val="top"/>
          </w:tcPr>
          <w:p>
            <w:pPr>
              <w:keepNext w:val="0"/>
              <w:keepLines w:val="0"/>
              <w:pageBreakBefore w:val="0"/>
              <w:numPr>
                <w:ilvl w:val="0"/>
                <w:numId w:val="5"/>
              </w:numPr>
              <w:kinsoku/>
              <w:wordWrap/>
              <w:overflowPunct/>
              <w:topLinePunct w:val="0"/>
              <w:autoSpaceDE/>
              <w:autoSpaceDN/>
              <w:bidi w:val="0"/>
              <w:adjustRightInd/>
              <w:snapToGrid/>
              <w:spacing w:line="360" w:lineRule="exact"/>
              <w:ind w:left="100" w:hanging="100" w:hangingChars="50"/>
              <w:textAlignment w:val="auto"/>
              <w:rPr>
                <w:rFonts w:hint="eastAsia"/>
                <w:b/>
                <w:color w:val="auto"/>
                <w:sz w:val="20"/>
                <w:szCs w:val="20"/>
              </w:rPr>
            </w:pPr>
            <w:r>
              <w:rPr>
                <w:rFonts w:hint="eastAsia"/>
                <w:b/>
                <w:color w:val="auto"/>
                <w:sz w:val="20"/>
                <w:szCs w:val="20"/>
              </w:rPr>
              <w:t>顾客满意</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color w:val="auto"/>
                <w:kern w:val="2"/>
                <w:sz w:val="20"/>
                <w:szCs w:val="20"/>
                <w:lang w:val="en-US" w:eastAsia="zh-CN" w:bidi="ar-SA"/>
              </w:rPr>
            </w:pPr>
            <w:r>
              <w:rPr>
                <w:rFonts w:hint="eastAsia" w:ascii="Times New Roman" w:hAnsi="Times New Roman" w:cs="Times New Roman"/>
                <w:color w:val="auto"/>
                <w:sz w:val="21"/>
                <w:szCs w:val="21"/>
                <w:lang w:val="zh-CN"/>
              </w:rPr>
              <w:t>公司通过电话，走访等形式，接受顾客反馈，了解顾客顾客满意度信息，发放调查表对顾客满意度进行定量测量。提供“顾客满意程度调查表”，调查主要内容：</w:t>
            </w:r>
            <w:r>
              <w:rPr>
                <w:rFonts w:hint="eastAsia" w:ascii="Times New Roman" w:hAnsi="Times New Roman" w:cs="Times New Roman"/>
                <w:color w:val="auto"/>
                <w:sz w:val="21"/>
                <w:szCs w:val="21"/>
              </w:rPr>
              <w:t>质量、价格、外观、服务等方面的满意程度</w:t>
            </w:r>
            <w:r>
              <w:rPr>
                <w:rFonts w:hint="eastAsia" w:ascii="Times New Roman" w:hAnsi="Times New Roman" w:cs="Times New Roman"/>
                <w:color w:val="auto"/>
                <w:sz w:val="21"/>
                <w:szCs w:val="21"/>
                <w:lang w:val="zh-CN"/>
              </w:rPr>
              <w:t>等，</w:t>
            </w:r>
            <w:r>
              <w:rPr>
                <w:rFonts w:hint="eastAsia" w:ascii="Times New Roman" w:hAnsi="Times New Roman" w:cs="Times New Roman"/>
                <w:color w:val="auto"/>
                <w:sz w:val="21"/>
                <w:szCs w:val="21"/>
              </w:rPr>
              <w:t>各项得分求平均值得最终结果</w:t>
            </w:r>
            <w:r>
              <w:rPr>
                <w:rFonts w:hint="eastAsia" w:ascii="Times New Roman" w:hAnsi="Times New Roman" w:cs="Times New Roman"/>
                <w:color w:val="auto"/>
                <w:sz w:val="21"/>
                <w:szCs w:val="21"/>
                <w:lang w:val="zh-CN"/>
              </w:rPr>
              <w:t>。</w:t>
            </w:r>
            <w:r>
              <w:rPr>
                <w:rFonts w:hint="eastAsia" w:ascii="Times New Roman" w:hAnsi="Times New Roman" w:cs="Times New Roman"/>
                <w:color w:val="auto"/>
                <w:sz w:val="21"/>
                <w:szCs w:val="21"/>
              </w:rPr>
              <w:t>提供顾客满意调查分析。最终顾客满意率</w:t>
            </w:r>
            <w:r>
              <w:rPr>
                <w:rFonts w:hint="eastAsia" w:cs="Times New Roman"/>
                <w:color w:val="auto"/>
                <w:sz w:val="21"/>
                <w:szCs w:val="21"/>
                <w:lang w:val="en-US" w:eastAsia="zh-CN"/>
              </w:rPr>
              <w:t>100</w:t>
            </w: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681"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auto"/>
                <w:sz w:val="20"/>
                <w:szCs w:val="20"/>
              </w:rPr>
            </w:pPr>
            <w:r>
              <w:rPr>
                <w:rFonts w:hint="eastAsia"/>
                <w:b/>
                <w:color w:val="auto"/>
                <w:sz w:val="20"/>
                <w:szCs w:val="20"/>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60" w:lineRule="exact"/>
              <w:textAlignment w:val="auto"/>
              <w:rPr>
                <w:rFonts w:ascii="Times New Roman" w:hAnsi="Times New Roman" w:eastAsia="宋体" w:cs="Times New Roman"/>
                <w:b/>
                <w:color w:val="auto"/>
                <w:kern w:val="2"/>
                <w:sz w:val="20"/>
                <w:szCs w:val="20"/>
                <w:lang w:val="en-US" w:eastAsia="zh-CN" w:bidi="ar-SA"/>
              </w:rPr>
            </w:pPr>
            <w:r>
              <w:rPr>
                <w:rFonts w:hint="eastAsia"/>
                <w:color w:val="auto"/>
                <w:sz w:val="21"/>
                <w:szCs w:val="21"/>
              </w:rPr>
              <w:t>按照策划的安排于</w:t>
            </w:r>
            <w:r>
              <w:rPr>
                <w:color w:val="auto"/>
                <w:sz w:val="21"/>
                <w:szCs w:val="21"/>
              </w:rPr>
              <w:t>20</w:t>
            </w:r>
            <w:r>
              <w:rPr>
                <w:rFonts w:hint="eastAsia"/>
                <w:color w:val="auto"/>
                <w:sz w:val="21"/>
                <w:szCs w:val="21"/>
                <w:lang w:val="en-US" w:eastAsia="zh-CN"/>
              </w:rPr>
              <w:t>20年转版</w:t>
            </w:r>
            <w:r>
              <w:rPr>
                <w:rFonts w:hint="eastAsia"/>
                <w:color w:val="auto"/>
                <w:sz w:val="21"/>
                <w:szCs w:val="21"/>
              </w:rPr>
              <w:t>内部审核，经查阅资料及与管代沟通，内审员没有审核自己的工作，查阅内审记录，符合策划安排，提不符合，责任部门进行了分析原因、采取纠正/纠正措施并验证了有效性，内审报告中对管理体系的符合性、充分性和运行有效性进行了评价。内审符合要求</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681"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szCs w:val="21"/>
              </w:rPr>
            </w:pPr>
          </w:p>
        </w:tc>
        <w:tc>
          <w:tcPr>
            <w:tcW w:w="9237"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auto"/>
                <w:sz w:val="20"/>
                <w:szCs w:val="20"/>
              </w:rPr>
            </w:pPr>
            <w:r>
              <w:rPr>
                <w:rFonts w:hint="eastAsia"/>
                <w:b/>
                <w:color w:val="auto"/>
                <w:sz w:val="20"/>
                <w:szCs w:val="20"/>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60" w:lineRule="exact"/>
              <w:textAlignment w:val="auto"/>
              <w:rPr>
                <w:rFonts w:ascii="Times New Roman" w:hAnsi="Times New Roman" w:eastAsia="宋体" w:cs="Times New Roman"/>
                <w:b/>
                <w:color w:val="auto"/>
                <w:kern w:val="2"/>
                <w:sz w:val="20"/>
                <w:szCs w:val="20"/>
                <w:lang w:val="en-US" w:eastAsia="zh-CN" w:bidi="ar-SA"/>
              </w:rPr>
            </w:pPr>
            <w:r>
              <w:rPr>
                <w:rFonts w:hint="eastAsia"/>
                <w:color w:val="auto"/>
                <w:sz w:val="21"/>
                <w:szCs w:val="21"/>
              </w:rPr>
              <w:t>按照策划的安排于</w:t>
            </w:r>
            <w:r>
              <w:rPr>
                <w:color w:val="auto"/>
                <w:sz w:val="21"/>
                <w:szCs w:val="21"/>
              </w:rPr>
              <w:t>20</w:t>
            </w:r>
            <w:r>
              <w:rPr>
                <w:rFonts w:hint="eastAsia"/>
                <w:color w:val="auto"/>
                <w:sz w:val="21"/>
                <w:szCs w:val="21"/>
                <w:lang w:val="en-US" w:eastAsia="zh-CN"/>
              </w:rPr>
              <w:t>20</w:t>
            </w:r>
            <w:r>
              <w:rPr>
                <w:rFonts w:hint="eastAsia" w:cs="宋体"/>
                <w:color w:val="auto"/>
                <w:sz w:val="21"/>
                <w:szCs w:val="21"/>
              </w:rPr>
              <w:t>年</w:t>
            </w:r>
            <w:r>
              <w:rPr>
                <w:rFonts w:hint="eastAsia"/>
                <w:color w:val="auto"/>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68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 w:val="20"/>
              </w:rPr>
            </w:pPr>
          </w:p>
        </w:tc>
        <w:tc>
          <w:tcPr>
            <w:tcW w:w="9237" w:type="dxa"/>
            <w:vAlign w:val="top"/>
          </w:tcPr>
          <w:p>
            <w:pPr>
              <w:keepNext w:val="0"/>
              <w:keepLines w:val="0"/>
              <w:pageBreakBefore w:val="0"/>
              <w:numPr>
                <w:ilvl w:val="0"/>
                <w:numId w:val="6"/>
              </w:numPr>
              <w:kinsoku/>
              <w:wordWrap/>
              <w:overflowPunct/>
              <w:topLinePunct w:val="0"/>
              <w:autoSpaceDE/>
              <w:autoSpaceDN/>
              <w:bidi w:val="0"/>
              <w:adjustRightInd/>
              <w:snapToGrid/>
              <w:spacing w:line="360" w:lineRule="exact"/>
              <w:textAlignment w:val="auto"/>
              <w:rPr>
                <w:rFonts w:hint="eastAsia"/>
                <w:b/>
                <w:color w:val="auto"/>
                <w:sz w:val="20"/>
                <w:szCs w:val="20"/>
              </w:rPr>
            </w:pPr>
            <w:r>
              <w:rPr>
                <w:rFonts w:hint="eastAsia"/>
                <w:b/>
                <w:color w:val="auto"/>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宋体" w:cs="Times New Roman"/>
                <w:b/>
                <w:color w:val="auto"/>
                <w:kern w:val="2"/>
                <w:sz w:val="20"/>
                <w:szCs w:val="20"/>
                <w:lang w:val="en-US" w:eastAsia="zh-CN" w:bidi="ar-SA"/>
              </w:rPr>
            </w:pPr>
            <w:r>
              <w:rPr>
                <w:rFonts w:hint="eastAsia"/>
                <w:b w:val="0"/>
                <w:bCs/>
                <w:color w:val="auto"/>
                <w:sz w:val="20"/>
                <w:szCs w:val="20"/>
                <w:lang w:val="en-US" w:eastAsia="zh-CN"/>
              </w:rPr>
              <w:t>对废水、噪声进行了检测的证据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68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 w:val="20"/>
              </w:rPr>
            </w:pPr>
          </w:p>
        </w:tc>
        <w:tc>
          <w:tcPr>
            <w:tcW w:w="9237"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auto"/>
                <w:sz w:val="20"/>
                <w:szCs w:val="20"/>
              </w:rPr>
            </w:pPr>
            <w:r>
              <w:rPr>
                <w:rFonts w:hint="eastAsia"/>
                <w:b/>
                <w:color w:val="auto"/>
                <w:sz w:val="20"/>
                <w:szCs w:val="20"/>
              </w:rPr>
              <w:t xml:space="preserve">6.  </w:t>
            </w:r>
            <w:r>
              <w:rPr>
                <w:b/>
                <w:color w:val="auto"/>
                <w:sz w:val="20"/>
                <w:szCs w:val="20"/>
              </w:rPr>
              <w:t>EMS</w:t>
            </w:r>
            <w:r>
              <w:rPr>
                <w:rFonts w:hint="eastAsia"/>
                <w:b/>
                <w:color w:val="auto"/>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color w:val="auto"/>
                <w:kern w:val="2"/>
                <w:sz w:val="20"/>
                <w:szCs w:val="20"/>
                <w:lang w:val="en-US" w:eastAsia="zh-CN" w:bidi="ar-SA"/>
              </w:rPr>
            </w:pPr>
            <w:r>
              <w:rPr>
                <w:rFonts w:hint="eastAsia"/>
                <w:color w:val="auto"/>
                <w:sz w:val="21"/>
                <w:szCs w:val="21"/>
              </w:rPr>
              <w:t>提供《建设项目环境影响报告表》</w:t>
            </w:r>
            <w:r>
              <w:rPr>
                <w:rFonts w:hint="eastAsia"/>
                <w:color w:val="auto"/>
                <w:sz w:val="21"/>
                <w:szCs w:val="21"/>
                <w:lang w:eastAsia="zh-CN"/>
              </w:rPr>
              <w:t>、《</w:t>
            </w:r>
            <w:r>
              <w:rPr>
                <w:rFonts w:hint="eastAsia"/>
                <w:color w:val="auto"/>
                <w:sz w:val="21"/>
                <w:szCs w:val="21"/>
                <w:lang w:val="en-US" w:eastAsia="zh-CN"/>
              </w:rPr>
              <w:t>建设项目竣工环境保护验收监测报告表》，符合要求。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68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 w:val="20"/>
              </w:rPr>
            </w:pPr>
          </w:p>
        </w:tc>
        <w:tc>
          <w:tcPr>
            <w:tcW w:w="9237"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360" w:lineRule="exact"/>
              <w:textAlignment w:val="auto"/>
              <w:rPr>
                <w:rFonts w:ascii="Times New Roman" w:hAnsi="Times New Roman" w:eastAsia="宋体" w:cs="Times New Roman"/>
                <w:b/>
                <w:color w:val="000000" w:themeColor="text1"/>
                <w:kern w:val="2"/>
                <w:sz w:val="20"/>
                <w:szCs w:val="20"/>
                <w:lang w:val="en-US" w:eastAsia="zh-CN" w:bidi="ar-SA"/>
              </w:rPr>
            </w:pPr>
            <w:r>
              <w:rPr>
                <w:rFonts w:hint="eastAsia"/>
                <w:sz w:val="21"/>
                <w:szCs w:val="21"/>
                <w:lang w:val="en-US" w:eastAsia="zh-CN"/>
              </w:rPr>
              <w:t>未提供近一年内对</w:t>
            </w:r>
            <w:r>
              <w:rPr>
                <w:rFonts w:hint="eastAsia"/>
                <w:sz w:val="21"/>
                <w:szCs w:val="21"/>
                <w:lang w:eastAsia="zh-CN"/>
              </w:rPr>
              <w:t>员工进行</w:t>
            </w:r>
            <w:r>
              <w:rPr>
                <w:rFonts w:hint="eastAsia"/>
                <w:sz w:val="21"/>
                <w:szCs w:val="21"/>
                <w:lang w:val="en-US" w:eastAsia="zh-CN"/>
              </w:rPr>
              <w:t>了</w:t>
            </w:r>
            <w:r>
              <w:rPr>
                <w:rFonts w:hint="eastAsia"/>
                <w:sz w:val="21"/>
                <w:szCs w:val="21"/>
                <w:lang w:eastAsia="zh-CN"/>
              </w:rPr>
              <w:t>体检</w:t>
            </w:r>
            <w:r>
              <w:rPr>
                <w:rFonts w:hint="eastAsia"/>
                <w:sz w:val="21"/>
                <w:szCs w:val="21"/>
                <w:lang w:val="en-US" w:eastAsia="zh-CN"/>
              </w:rPr>
              <w:t>的证据，已开具不符合报告要求限期整改</w:t>
            </w:r>
            <w:r>
              <w:rPr>
                <w:rFonts w:hint="eastAsia"/>
                <w:b w:val="0"/>
                <w:bCs/>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68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 w:val="20"/>
              </w:rPr>
            </w:pPr>
          </w:p>
        </w:tc>
        <w:tc>
          <w:tcPr>
            <w:tcW w:w="9237"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8.OHSMS国家/地方职业健康安全部门监督检查情况及措施</w:t>
            </w:r>
          </w:p>
          <w:p>
            <w:pPr>
              <w:keepNext w:val="0"/>
              <w:keepLines w:val="0"/>
              <w:pageBreakBefore w:val="0"/>
              <w:kinsoku/>
              <w:wordWrap/>
              <w:overflowPunct/>
              <w:topLinePunct w:val="0"/>
              <w:autoSpaceDE/>
              <w:autoSpaceDN/>
              <w:bidi w:val="0"/>
              <w:adjustRightInd/>
              <w:snapToGrid/>
              <w:spacing w:line="360" w:lineRule="exact"/>
              <w:textAlignment w:val="auto"/>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68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 w:val="20"/>
              </w:rPr>
            </w:pPr>
          </w:p>
        </w:tc>
        <w:tc>
          <w:tcPr>
            <w:tcW w:w="9237" w:type="dxa"/>
            <w:vAlign w:val="top"/>
          </w:tcPr>
          <w:p>
            <w:pPr>
              <w:keepNext w:val="0"/>
              <w:keepLines w:val="0"/>
              <w:pageBreakBefore w:val="0"/>
              <w:widowControl/>
              <w:numPr>
                <w:ilvl w:val="0"/>
                <w:numId w:val="7"/>
              </w:numPr>
              <w:kinsoku/>
              <w:wordWrap/>
              <w:overflowPunct/>
              <w:topLinePunct w:val="0"/>
              <w:autoSpaceDE/>
              <w:autoSpaceDN/>
              <w:bidi w:val="0"/>
              <w:adjustRightInd/>
              <w:snapToGrid/>
              <w:spacing w:line="360" w:lineRule="exact"/>
              <w:textAlignment w:val="auto"/>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681" w:type="dxa"/>
            <w:vMerge w:val="restart"/>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rFonts w:hint="eastAsia" w:ascii="宋体" w:hAnsi="宋体"/>
                <w:b/>
                <w:szCs w:val="21"/>
                <w:lang w:val="en-US" w:eastAsia="zh-CN"/>
              </w:rPr>
            </w:pPr>
            <w:r>
              <w:rPr>
                <w:rFonts w:hint="eastAsia" w:ascii="宋体" w:hAnsi="宋体"/>
                <w:b/>
                <w:szCs w:val="21"/>
                <w:lang w:val="en-US" w:eastAsia="zh-CN"/>
              </w:rPr>
              <w:t>五</w:t>
            </w:r>
          </w:p>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rFonts w:ascii="宋体" w:hAnsi="宋体"/>
                <w:b/>
                <w:szCs w:val="21"/>
              </w:rPr>
            </w:pPr>
            <w:r>
              <w:rPr>
                <w:rFonts w:hint="eastAsia" w:ascii="宋体" w:hAnsi="宋体"/>
                <w:b/>
                <w:szCs w:val="21"/>
              </w:rPr>
              <w:t>持</w:t>
            </w:r>
          </w:p>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rFonts w:ascii="宋体" w:hAnsi="宋体"/>
                <w:b/>
                <w:szCs w:val="21"/>
              </w:rPr>
            </w:pPr>
            <w:r>
              <w:rPr>
                <w:rFonts w:hint="eastAsia" w:ascii="宋体" w:hAnsi="宋体"/>
                <w:b/>
                <w:szCs w:val="21"/>
              </w:rPr>
              <w:t>续</w:t>
            </w:r>
          </w:p>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rFonts w:ascii="宋体" w:hAnsi="宋体"/>
                <w:b/>
                <w:szCs w:val="21"/>
              </w:rPr>
            </w:pPr>
            <w:r>
              <w:rPr>
                <w:rFonts w:hint="eastAsia" w:ascii="宋体" w:hAnsi="宋体"/>
                <w:b/>
                <w:szCs w:val="21"/>
              </w:rPr>
              <w:t>改</w:t>
            </w:r>
          </w:p>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sz w:val="20"/>
              </w:rPr>
            </w:pPr>
            <w:r>
              <w:rPr>
                <w:rFonts w:hint="eastAsia" w:ascii="宋体" w:hAnsi="宋体"/>
                <w:b/>
                <w:szCs w:val="21"/>
              </w:rPr>
              <w:t>进</w:t>
            </w:r>
          </w:p>
        </w:tc>
        <w:tc>
          <w:tcPr>
            <w:tcW w:w="923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w:t>
            </w:r>
            <w:r>
              <w:rPr>
                <w:rFonts w:hint="eastAsia"/>
                <w:sz w:val="21"/>
                <w:szCs w:val="21"/>
                <w:lang w:val="en-US" w:eastAsia="zh-CN"/>
              </w:rPr>
              <w:t>已</w:t>
            </w:r>
            <w:r>
              <w:rPr>
                <w:rFonts w:hint="eastAsia"/>
                <w:sz w:val="21"/>
                <w:szCs w:val="21"/>
              </w:rPr>
              <w:t>实施</w:t>
            </w:r>
            <w:r>
              <w:rPr>
                <w:rFonts w:hint="eastAsia"/>
                <w:sz w:val="21"/>
                <w:szCs w:val="21"/>
                <w:lang w:val="en-US" w:eastAsia="zh-CN"/>
              </w:rPr>
              <w:t>完成</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68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 w:val="20"/>
              </w:rPr>
            </w:pPr>
          </w:p>
        </w:tc>
        <w:tc>
          <w:tcPr>
            <w:tcW w:w="923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68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 w:val="20"/>
              </w:rPr>
            </w:pPr>
          </w:p>
        </w:tc>
        <w:tc>
          <w:tcPr>
            <w:tcW w:w="9237" w:type="dxa"/>
          </w:tcPr>
          <w:p>
            <w:pPr>
              <w:keepNext w:val="0"/>
              <w:keepLines w:val="0"/>
              <w:pageBreakBefore w:val="0"/>
              <w:numPr>
                <w:ilvl w:val="0"/>
                <w:numId w:val="5"/>
              </w:numPr>
              <w:kinsoku/>
              <w:wordWrap/>
              <w:overflowPunct/>
              <w:topLinePunct w:val="0"/>
              <w:autoSpaceDE/>
              <w:autoSpaceDN/>
              <w:bidi w:val="0"/>
              <w:adjustRightInd/>
              <w:snapToGrid/>
              <w:spacing w:line="360" w:lineRule="exact"/>
              <w:ind w:left="105" w:leftChars="0" w:hanging="105" w:hangingChars="50"/>
              <w:textAlignment w:val="auto"/>
              <w:rPr>
                <w:rFonts w:hint="eastAsia" w:ascii="宋体" w:hAnsi="宋体"/>
                <w:b/>
                <w:sz w:val="21"/>
                <w:szCs w:val="21"/>
              </w:rPr>
            </w:pPr>
            <w:r>
              <w:rPr>
                <w:rFonts w:hint="eastAsia" w:ascii="宋体" w:hAnsi="宋体"/>
                <w:b/>
                <w:sz w:val="21"/>
                <w:szCs w:val="21"/>
              </w:rPr>
              <w:t>创新情况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b/>
                <w:sz w:val="21"/>
                <w:szCs w:val="21"/>
              </w:rPr>
            </w:pPr>
            <w:r>
              <w:rPr>
                <w:rFonts w:hint="eastAsia"/>
                <w:color w:val="auto"/>
                <w:sz w:val="21"/>
                <w:szCs w:val="21"/>
                <w:lang w:val="en-US" w:eastAsia="zh-CN"/>
              </w:rPr>
              <w:t>积极采用新环保技术，改善环境。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68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 w:val="20"/>
              </w:rPr>
            </w:pPr>
          </w:p>
        </w:tc>
        <w:tc>
          <w:tcPr>
            <w:tcW w:w="9237" w:type="dxa"/>
          </w:tcPr>
          <w:p>
            <w:pPr>
              <w:keepNext w:val="0"/>
              <w:keepLines w:val="0"/>
              <w:pageBreakBefore w:val="0"/>
              <w:numPr>
                <w:ilvl w:val="0"/>
                <w:numId w:val="5"/>
              </w:numPr>
              <w:kinsoku/>
              <w:wordWrap/>
              <w:overflowPunct/>
              <w:topLinePunct w:val="0"/>
              <w:autoSpaceDE/>
              <w:autoSpaceDN/>
              <w:bidi w:val="0"/>
              <w:adjustRightInd/>
              <w:snapToGrid/>
              <w:spacing w:line="360" w:lineRule="exact"/>
              <w:ind w:left="105" w:leftChars="0" w:hanging="105" w:hangingChars="50"/>
              <w:textAlignment w:val="auto"/>
              <w:rPr>
                <w:rFonts w:hint="eastAsia" w:ascii="宋体" w:hAnsi="宋体"/>
                <w:b/>
                <w:sz w:val="21"/>
                <w:szCs w:val="21"/>
              </w:rPr>
            </w:pPr>
            <w:r>
              <w:rPr>
                <w:rFonts w:hint="eastAsia" w:ascii="宋体" w:hAnsi="宋体"/>
                <w:b/>
                <w:sz w:val="21"/>
                <w:szCs w:val="21"/>
              </w:rPr>
              <w:t>上次不符合的整改情况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b/>
                <w:sz w:val="21"/>
                <w:szCs w:val="21"/>
              </w:rPr>
            </w:pPr>
            <w:r>
              <w:rPr>
                <w:rFonts w:hint="eastAsia"/>
                <w:color w:val="auto"/>
                <w:sz w:val="21"/>
                <w:szCs w:val="21"/>
              </w:rPr>
              <w:t>上次审核发现的不符合项</w:t>
            </w:r>
            <w:r>
              <w:rPr>
                <w:rFonts w:hint="eastAsia"/>
                <w:color w:val="auto"/>
                <w:sz w:val="21"/>
                <w:szCs w:val="21"/>
                <w:lang w:eastAsia="zh-CN"/>
              </w:rPr>
              <w:t>，</w:t>
            </w:r>
            <w:r>
              <w:rPr>
                <w:rFonts w:hint="eastAsia"/>
                <w:color w:val="auto"/>
                <w:sz w:val="21"/>
                <w:szCs w:val="21"/>
              </w:rPr>
              <w:t>相关责任部门对</w:t>
            </w:r>
            <w:r>
              <w:rPr>
                <w:rFonts w:hint="eastAsia"/>
                <w:color w:val="auto"/>
                <w:sz w:val="21"/>
                <w:szCs w:val="21"/>
                <w:lang w:eastAsia="zh-CN"/>
              </w:rPr>
              <w:t>其</w:t>
            </w:r>
            <w:r>
              <w:rPr>
                <w:rFonts w:hint="eastAsia"/>
                <w:color w:val="auto"/>
                <w:sz w:val="21"/>
                <w:szCs w:val="21"/>
              </w:rPr>
              <w:t>进行了原因分析，制定并采取了</w:t>
            </w:r>
            <w:r>
              <w:rPr>
                <w:rFonts w:hint="eastAsia"/>
                <w:color w:val="auto"/>
                <w:sz w:val="21"/>
                <w:szCs w:val="21"/>
                <w:lang w:eastAsia="zh-CN"/>
              </w:rPr>
              <w:t>纠正及</w:t>
            </w:r>
            <w:r>
              <w:rPr>
                <w:rFonts w:hint="eastAsia"/>
                <w:color w:val="auto"/>
                <w:sz w:val="21"/>
                <w:szCs w:val="21"/>
              </w:rPr>
              <w:t>纠正措施，经现场的查</w:t>
            </w:r>
            <w:r>
              <w:rPr>
                <w:rFonts w:hint="eastAsia"/>
                <w:color w:val="auto"/>
                <w:sz w:val="21"/>
                <w:szCs w:val="21"/>
                <w:lang w:eastAsia="zh-CN"/>
              </w:rPr>
              <w:t>看</w:t>
            </w:r>
            <w:r>
              <w:rPr>
                <w:rFonts w:hint="eastAsia"/>
                <w:color w:val="auto"/>
                <w:sz w:val="21"/>
                <w:szCs w:val="21"/>
              </w:rPr>
              <w:t>，</w:t>
            </w:r>
            <w:r>
              <w:rPr>
                <w:rFonts w:hint="eastAsia"/>
                <w:color w:val="auto"/>
                <w:sz w:val="21"/>
                <w:szCs w:val="21"/>
                <w:lang w:val="en-US" w:eastAsia="zh-CN"/>
              </w:rPr>
              <w:t>未发生类似问题，采取的纠正措施有效。</w:t>
            </w:r>
          </w:p>
        </w:tc>
      </w:tr>
    </w:tbl>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r>
              <w:rPr>
                <w:rFonts w:hint="eastAsia"/>
                <w:b/>
                <w:sz w:val="26"/>
                <w:szCs w:val="26"/>
                <w:lang w:val="en-US" w:eastAsia="zh-CN"/>
              </w:rPr>
              <w:t>具有</w:t>
            </w:r>
            <w:r>
              <w:rPr>
                <w:rFonts w:hint="eastAsia"/>
                <w:b/>
                <w:sz w:val="26"/>
                <w:szCs w:val="26"/>
              </w:rPr>
              <w:t>适宜性、充分性、有效性，自我完善机制等，管理体系满足适用要求和实现预期结果的能力</w:t>
            </w:r>
            <w:r>
              <w:rPr>
                <w:rFonts w:hint="eastAsia" w:ascii="宋体" w:hAnsi="宋体"/>
                <w:b/>
                <w:szCs w:val="21"/>
              </w:rPr>
              <w:t>。</w:t>
            </w:r>
          </w:p>
          <w:p>
            <w:pPr>
              <w:pStyle w:val="15"/>
              <w:keepNext w:val="0"/>
              <w:keepLines w:val="0"/>
              <w:pageBreakBefore w:val="0"/>
              <w:widowControl w:val="0"/>
              <w:kinsoku/>
              <w:wordWrap/>
              <w:overflowPunct/>
              <w:topLinePunct w:val="0"/>
              <w:bidi w:val="0"/>
              <w:snapToGrid/>
              <w:spacing w:line="360" w:lineRule="exact"/>
              <w:ind w:left="1453" w:right="0" w:rightChars="0" w:hanging="1033"/>
              <w:textAlignment w:val="auto"/>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b/>
                <w:color w:val="000000" w:themeColor="text1"/>
                <w:sz w:val="22"/>
                <w:szCs w:val="22"/>
                <w:u w:val="single"/>
                <w:lang w:eastAsia="zh-CN"/>
              </w:rPr>
              <w:t>河北蓓特丽洗涤用品开发有限公司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5"/>
              <w:keepNext w:val="0"/>
              <w:keepLines w:val="0"/>
              <w:pageBreakBefore w:val="0"/>
              <w:widowControl w:val="0"/>
              <w:kinsoku/>
              <w:wordWrap/>
              <w:overflowPunct/>
              <w:topLinePunct w:val="0"/>
              <w:bidi w:val="0"/>
              <w:snapToGrid/>
              <w:spacing w:line="360" w:lineRule="exact"/>
              <w:ind w:left="1441" w:right="0" w:rightChars="0"/>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5"/>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5"/>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5"/>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5"/>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5"/>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5"/>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5"/>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5"/>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5"/>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5"/>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5"/>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5"/>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5"/>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5"/>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keepNext w:val="0"/>
              <w:keepLines w:val="0"/>
              <w:pageBreakBefore w:val="0"/>
              <w:widowControl w:val="0"/>
              <w:kinsoku/>
              <w:wordWrap/>
              <w:overflowPunct/>
              <w:topLinePunct w:val="0"/>
              <w:bidi w:val="0"/>
              <w:snapToGrid/>
              <w:spacing w:line="360" w:lineRule="exact"/>
              <w:textAlignment w:val="auto"/>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top"/>
          </w:tcPr>
          <w:p>
            <w:pPr>
              <w:keepNext w:val="0"/>
              <w:keepLines w:val="0"/>
              <w:pageBreakBefore w:val="0"/>
              <w:widowControl w:val="0"/>
              <w:kinsoku/>
              <w:wordWrap/>
              <w:overflowPunct/>
              <w:topLinePunct w:val="0"/>
              <w:bidi w:val="0"/>
              <w:snapToGrid/>
              <w:spacing w:line="360" w:lineRule="exact"/>
              <w:textAlignment w:val="auto"/>
              <w:rPr>
                <w:rFonts w:ascii="宋体" w:hAnsi="宋体"/>
                <w:b/>
                <w:szCs w:val="21"/>
              </w:rPr>
            </w:pPr>
            <w:r>
              <w:rPr>
                <w:rFonts w:ascii="宋体" w:hAnsi="宋体"/>
                <w:b/>
                <w:szCs w:val="21"/>
              </w:rPr>
              <w:t xml:space="preserve">2. </w:t>
            </w:r>
            <w:r>
              <w:rPr>
                <w:rFonts w:hint="eastAsia" w:ascii="宋体" w:hAnsi="宋体"/>
                <w:b/>
                <w:szCs w:val="21"/>
              </w:rPr>
              <w:t>审核组推荐意见：</w:t>
            </w:r>
          </w:p>
          <w:p>
            <w:pPr>
              <w:keepNext w:val="0"/>
              <w:keepLines w:val="0"/>
              <w:pageBreakBefore w:val="0"/>
              <w:widowControl w:val="0"/>
              <w:kinsoku/>
              <w:wordWrap/>
              <w:overflowPunct/>
              <w:topLinePunct w:val="0"/>
              <w:bidi w:val="0"/>
              <w:snapToGrid/>
              <w:spacing w:line="360" w:lineRule="exact"/>
              <w:ind w:firstLine="361" w:firstLineChars="150"/>
              <w:textAlignment w:val="auto"/>
              <w:rPr>
                <w:rFonts w:hint="eastAsia" w:ascii="宋体" w:hAnsi="宋体" w:eastAsia="宋体"/>
                <w:b/>
                <w:szCs w:val="21"/>
                <w:lang w:eastAsia="zh-CN"/>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lang w:eastAsia="zh-CN"/>
              </w:rPr>
              <w:t>）</w:t>
            </w:r>
          </w:p>
          <w:p>
            <w:pPr>
              <w:keepNext w:val="0"/>
              <w:keepLines w:val="0"/>
              <w:pageBreakBefore w:val="0"/>
              <w:widowControl w:val="0"/>
              <w:kinsoku/>
              <w:wordWrap/>
              <w:overflowPunct/>
              <w:topLinePunct w:val="0"/>
              <w:bidi w:val="0"/>
              <w:snapToGrid/>
              <w:spacing w:line="360" w:lineRule="exact"/>
              <w:ind w:firstLine="361" w:firstLineChars="150"/>
              <w:textAlignment w:val="auto"/>
              <w:rPr>
                <w:rFonts w:hint="eastAsia" w:ascii="宋体" w:hAnsi="宋体" w:eastAsia="宋体"/>
                <w:b/>
                <w:szCs w:val="21"/>
                <w:lang w:eastAsia="zh-CN"/>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EMS</w:t>
            </w:r>
            <w:r>
              <w:rPr>
                <w:rFonts w:hint="eastAsia" w:ascii="宋体" w:hAnsi="宋体"/>
                <w:b/>
                <w:szCs w:val="21"/>
                <w:lang w:eastAsia="zh-CN"/>
              </w:rPr>
              <w:t>☑</w:t>
            </w:r>
            <w:r>
              <w:rPr>
                <w:rFonts w:ascii="宋体" w:hAnsi="宋体"/>
                <w:b/>
                <w:szCs w:val="21"/>
              </w:rPr>
              <w:t>OHSMS</w:t>
            </w:r>
            <w:r>
              <w:rPr>
                <w:rFonts w:hint="eastAsia" w:ascii="宋体" w:hAnsi="宋体"/>
                <w:b/>
                <w:szCs w:val="21"/>
                <w:lang w:eastAsia="zh-CN"/>
              </w:rPr>
              <w:t>）</w:t>
            </w:r>
          </w:p>
          <w:p>
            <w:pPr>
              <w:keepNext w:val="0"/>
              <w:keepLines w:val="0"/>
              <w:pageBreakBefore w:val="0"/>
              <w:widowControl w:val="0"/>
              <w:kinsoku/>
              <w:wordWrap/>
              <w:overflowPunct/>
              <w:topLinePunct w:val="0"/>
              <w:bidi w:val="0"/>
              <w:snapToGrid/>
              <w:spacing w:line="360" w:lineRule="exact"/>
              <w:ind w:firstLine="361" w:firstLineChars="150"/>
              <w:textAlignment w:val="auto"/>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keepNext w:val="0"/>
              <w:keepLines w:val="0"/>
              <w:pageBreakBefore w:val="0"/>
              <w:widowControl w:val="0"/>
              <w:kinsoku/>
              <w:wordWrap/>
              <w:overflowPunct/>
              <w:topLinePunct w:val="0"/>
              <w:bidi w:val="0"/>
              <w:snapToGrid/>
              <w:spacing w:line="360" w:lineRule="exact"/>
              <w:ind w:firstLine="361" w:firstLineChars="150"/>
              <w:textAlignment w:val="auto"/>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keepNext w:val="0"/>
              <w:keepLines w:val="0"/>
              <w:pageBreakBefore w:val="0"/>
              <w:widowControl w:val="0"/>
              <w:kinsoku/>
              <w:wordWrap/>
              <w:overflowPunct/>
              <w:topLinePunct w:val="0"/>
              <w:bidi w:val="0"/>
              <w:snapToGrid/>
              <w:spacing w:line="360" w:lineRule="exact"/>
              <w:ind w:firstLine="361" w:firstLineChars="150"/>
              <w:textAlignment w:val="auto"/>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drawing>
          <wp:anchor distT="0" distB="0" distL="114300" distR="114300" simplePos="0" relativeHeight="251659264" behindDoc="0" locked="0" layoutInCell="1" allowOverlap="1">
            <wp:simplePos x="0" y="0"/>
            <wp:positionH relativeFrom="column">
              <wp:posOffset>1680845</wp:posOffset>
            </wp:positionH>
            <wp:positionV relativeFrom="paragraph">
              <wp:posOffset>132715</wp:posOffset>
            </wp:positionV>
            <wp:extent cx="837565" cy="403860"/>
            <wp:effectExtent l="0" t="0" r="635" b="1524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lum contrast="66000"/>
                    </a:blip>
                    <a:srcRect r="4375" b="6897"/>
                    <a:stretch>
                      <a:fillRect/>
                    </a:stretch>
                  </pic:blipFill>
                  <pic:spPr>
                    <a:xfrm>
                      <a:off x="0" y="0"/>
                      <a:ext cx="837565" cy="40386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600" w:firstLineChars="250"/>
        <w:rPr>
          <w:b/>
          <w:sz w:val="21"/>
        </w:rPr>
      </w:pPr>
      <w:r>
        <w:drawing>
          <wp:anchor distT="0" distB="0" distL="114300" distR="114300" simplePos="0" relativeHeight="251662336" behindDoc="0" locked="0" layoutInCell="1" allowOverlap="1">
            <wp:simplePos x="0" y="0"/>
            <wp:positionH relativeFrom="column">
              <wp:posOffset>1709420</wp:posOffset>
            </wp:positionH>
            <wp:positionV relativeFrom="paragraph">
              <wp:posOffset>142240</wp:posOffset>
            </wp:positionV>
            <wp:extent cx="867410" cy="491490"/>
            <wp:effectExtent l="0" t="0" r="8890" b="381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lum contrast="100000"/>
                    </a:blip>
                    <a:stretch>
                      <a:fillRect/>
                    </a:stretch>
                  </pic:blipFill>
                  <pic:spPr>
                    <a:xfrm>
                      <a:off x="0" y="0"/>
                      <a:ext cx="867410" cy="491490"/>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2020年12月10日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p>
    <w:p>
      <w:pPr>
        <w:spacing w:line="360" w:lineRule="exact"/>
        <w:ind w:firstLine="527" w:firstLineChars="250"/>
        <w:rPr>
          <w:b/>
          <w:bCs/>
          <w:sz w:val="21"/>
          <w:szCs w:val="21"/>
        </w:rPr>
      </w:pPr>
      <w:r>
        <w:rPr>
          <w:b/>
          <w:bCs/>
          <w:sz w:val="21"/>
          <w:szCs w:val="21"/>
        </w:rPr>
        <w:t>1.</w:t>
      </w:r>
      <w:r>
        <w:rPr>
          <w:rFonts w:hint="eastAsia"/>
          <w:b/>
          <w:bCs/>
          <w:sz w:val="21"/>
          <w:szCs w:val="21"/>
          <w:lang w:val="en-US" w:eastAsia="zh-CN"/>
        </w:rPr>
        <w:t xml:space="preserve">  </w:t>
      </w:r>
      <w:r>
        <w:rPr>
          <w:rFonts w:hint="eastAsia"/>
          <w:b/>
          <w:bCs/>
          <w:sz w:val="21"/>
          <w:szCs w:val="21"/>
        </w:rPr>
        <w:t>审核中发现的</w:t>
      </w:r>
      <w:r>
        <w:rPr>
          <w:rFonts w:hint="eastAsia"/>
          <w:b/>
          <w:sz w:val="21"/>
          <w:szCs w:val="21"/>
          <w:lang w:eastAsia="zh-CN"/>
        </w:rPr>
        <w:t>□</w:t>
      </w:r>
      <w:r>
        <w:rPr>
          <w:b/>
          <w:sz w:val="21"/>
          <w:szCs w:val="21"/>
        </w:rPr>
        <w:t xml:space="preserve">QMS </w:t>
      </w:r>
      <w:r>
        <w:rPr>
          <w:rFonts w:hint="eastAsia"/>
          <w:b/>
          <w:sz w:val="21"/>
          <w:szCs w:val="21"/>
          <w:lang w:val="en-US" w:eastAsia="zh-CN"/>
        </w:rPr>
        <w:t>0</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 xml:space="preserve">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rFonts w:hint="eastAsia"/>
          <w:b/>
          <w:sz w:val="21"/>
          <w:szCs w:val="21"/>
        </w:rPr>
      </w:pPr>
      <w:r>
        <w:rPr>
          <w:rFonts w:hint="eastAsia"/>
          <w:b/>
          <w:bCs/>
          <w:sz w:val="21"/>
          <w:szCs w:val="21"/>
        </w:rPr>
        <w:t>审核中发现的</w:t>
      </w:r>
      <w:r>
        <w:rPr>
          <w:rFonts w:hint="eastAsia"/>
          <w:b/>
          <w:sz w:val="21"/>
          <w:szCs w:val="21"/>
          <w:lang w:eastAsia="zh-CN"/>
        </w:rPr>
        <w:t>☑</w:t>
      </w:r>
      <w:r>
        <w:rPr>
          <w:b/>
          <w:sz w:val="21"/>
          <w:szCs w:val="21"/>
        </w:rPr>
        <w:t>OHSMS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spacing w:line="400" w:lineRule="exact"/>
        <w:rPr>
          <w:b/>
          <w:sz w:val="21"/>
          <w:szCs w:val="21"/>
          <w:u w:val="single"/>
        </w:rPr>
      </w:pPr>
    </w:p>
    <w:p>
      <w:pPr>
        <w:tabs>
          <w:tab w:val="left" w:pos="6880"/>
          <w:tab w:val="left" w:pos="7740"/>
          <w:tab w:val="left" w:pos="8385"/>
        </w:tabs>
        <w:snapToGrid w:val="0"/>
        <w:spacing w:before="163" w:beforeLines="50"/>
        <w:ind w:firstLine="823" w:firstLineChars="343"/>
        <w:rPr>
          <w:b/>
          <w:sz w:val="21"/>
          <w:szCs w:val="21"/>
          <w:u w:val="single"/>
        </w:rPr>
      </w:pPr>
      <w:r>
        <w:drawing>
          <wp:anchor distT="0" distB="0" distL="114300" distR="114300" simplePos="0" relativeHeight="251661312" behindDoc="0" locked="0" layoutInCell="1" allowOverlap="1">
            <wp:simplePos x="0" y="0"/>
            <wp:positionH relativeFrom="column">
              <wp:posOffset>1347470</wp:posOffset>
            </wp:positionH>
            <wp:positionV relativeFrom="paragraph">
              <wp:posOffset>17780</wp:posOffset>
            </wp:positionV>
            <wp:extent cx="837565" cy="403860"/>
            <wp:effectExtent l="0" t="0" r="635" b="1524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lum contrast="66000"/>
                    </a:blip>
                    <a:srcRect r="4375" b="6897"/>
                    <a:stretch>
                      <a:fillRect/>
                    </a:stretch>
                  </pic:blipFill>
                  <pic:spPr>
                    <a:xfrm>
                      <a:off x="0" y="0"/>
                      <a:ext cx="837565" cy="403860"/>
                    </a:xfrm>
                    <a:prstGeom prst="rect">
                      <a:avLst/>
                    </a:prstGeom>
                    <a:noFill/>
                    <a:ln>
                      <a:noFill/>
                    </a:ln>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8"/>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8"/>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1868D8"/>
    <w:multiLevelType w:val="singleLevel"/>
    <w:tmpl w:val="901868D8"/>
    <w:lvl w:ilvl="0" w:tentative="0">
      <w:start w:val="2"/>
      <w:numFmt w:val="decimal"/>
      <w:suff w:val="space"/>
      <w:lvlText w:val="%1."/>
      <w:lvlJc w:val="left"/>
    </w:lvl>
  </w:abstractNum>
  <w:abstractNum w:abstractNumId="1">
    <w:nsid w:val="A57908F7"/>
    <w:multiLevelType w:val="singleLevel"/>
    <w:tmpl w:val="A57908F7"/>
    <w:lvl w:ilvl="0" w:tentative="0">
      <w:start w:val="2"/>
      <w:numFmt w:val="decimal"/>
      <w:suff w:val="nothing"/>
      <w:lvlText w:val="%1、"/>
      <w:lvlJc w:val="left"/>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04016EC4"/>
    <w:multiLevelType w:val="singleLevel"/>
    <w:tmpl w:val="04016EC4"/>
    <w:lvl w:ilvl="0" w:tentative="0">
      <w:start w:val="2"/>
      <w:numFmt w:val="decimal"/>
      <w:lvlText w:val="%1."/>
      <w:lvlJc w:val="left"/>
      <w:pPr>
        <w:tabs>
          <w:tab w:val="left" w:pos="312"/>
        </w:tabs>
      </w:pPr>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5F73FC62"/>
    <w:multiLevelType w:val="singleLevel"/>
    <w:tmpl w:val="5F73FC62"/>
    <w:lvl w:ilvl="0" w:tentative="0">
      <w:start w:val="9"/>
      <w:numFmt w:val="decimal"/>
      <w:suff w:val="space"/>
      <w:lvlText w:val="%1."/>
      <w:lvlJc w:val="left"/>
    </w:lvl>
  </w:abstractNum>
  <w:abstractNum w:abstractNumId="6">
    <w:nsid w:val="777BC977"/>
    <w:multiLevelType w:val="singleLevel"/>
    <w:tmpl w:val="777BC977"/>
    <w:lvl w:ilvl="0" w:tentative="0">
      <w:start w:val="3"/>
      <w:numFmt w:val="decimal"/>
      <w:lvlText w:val="%1."/>
      <w:lvlJc w:val="left"/>
      <w:pPr>
        <w:tabs>
          <w:tab w:val="left" w:pos="312"/>
        </w:tabs>
      </w:pPr>
    </w:lvl>
  </w:abstractNum>
  <w:abstractNum w:abstractNumId="7">
    <w:nsid w:val="7BC294AD"/>
    <w:multiLevelType w:val="singleLevel"/>
    <w:tmpl w:val="7BC294AD"/>
    <w:lvl w:ilvl="0" w:tentative="0">
      <w:start w:val="5"/>
      <w:numFmt w:val="decimal"/>
      <w:suff w:val="space"/>
      <w:lvlText w:val="%1."/>
      <w:lvlJc w:val="left"/>
    </w:lvl>
  </w:abstractNum>
  <w:num w:numId="1">
    <w:abstractNumId w:val="1"/>
  </w:num>
  <w:num w:numId="2">
    <w:abstractNumId w:val="6"/>
  </w:num>
  <w:num w:numId="3">
    <w:abstractNumId w:val="4"/>
  </w:num>
  <w:num w:numId="4">
    <w:abstractNumId w:val="0"/>
  </w:num>
  <w:num w:numId="5">
    <w:abstractNumId w:val="3"/>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9F26A4"/>
    <w:rsid w:val="0FB76196"/>
    <w:rsid w:val="11E42CA3"/>
    <w:rsid w:val="16D43297"/>
    <w:rsid w:val="2AE80B54"/>
    <w:rsid w:val="306C1E8F"/>
    <w:rsid w:val="34193DA0"/>
    <w:rsid w:val="34ED62B9"/>
    <w:rsid w:val="362E4865"/>
    <w:rsid w:val="36851B0E"/>
    <w:rsid w:val="3890734A"/>
    <w:rsid w:val="3A056502"/>
    <w:rsid w:val="3F72143A"/>
    <w:rsid w:val="403010DC"/>
    <w:rsid w:val="41A90004"/>
    <w:rsid w:val="47706829"/>
    <w:rsid w:val="4A954C01"/>
    <w:rsid w:val="4D8A1C00"/>
    <w:rsid w:val="4E226B2A"/>
    <w:rsid w:val="5AD44908"/>
    <w:rsid w:val="5BAB7F0B"/>
    <w:rsid w:val="5DA52DB4"/>
    <w:rsid w:val="629E2C4D"/>
    <w:rsid w:val="63B05067"/>
    <w:rsid w:val="641D1CB6"/>
    <w:rsid w:val="68FA5F35"/>
    <w:rsid w:val="72A22859"/>
    <w:rsid w:val="733F7F8C"/>
    <w:rsid w:val="744B5EE4"/>
    <w:rsid w:val="796D24D7"/>
    <w:rsid w:val="7FA03E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semiHidden/>
    <w:qFormat/>
    <w:locked/>
    <w:uiPriority w:val="99"/>
    <w:rPr>
      <w:rFonts w:ascii="Times New Roman" w:hAnsi="Times New Roman" w:eastAsia="宋体" w:cs="Times New Roman"/>
      <w:sz w:val="18"/>
      <w:szCs w:val="18"/>
    </w:rPr>
  </w:style>
  <w:style w:type="character" w:customStyle="1" w:styleId="11">
    <w:name w:val="页眉 Char"/>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7</TotalTime>
  <ScaleCrop>false</ScaleCrop>
  <LinksUpToDate>false</LinksUpToDate>
  <CharactersWithSpaces>4386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Joyce</cp:lastModifiedBy>
  <cp:lastPrinted>2019-04-18T08:15:00Z</cp:lastPrinted>
  <dcterms:modified xsi:type="dcterms:W3CDTF">2020-12-29T13:54:55Z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