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Add"/>
      <w:r>
        <w:rPr>
          <w:rFonts w:ascii="宋体" w:hAnsi="宋体" w:cs="Arial"/>
          <w:sz w:val="24"/>
        </w:rPr>
        <w:t>0695-2020-O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昊业电力器材有限公司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Haoye Electric Equipment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河北省任丘市麻家坞镇刘家泊村</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062550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(英文)：Liu Jia Bo Cun, Majiawu Town, Renqiu City, 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河北省任丘市麻家坞镇刘家泊村</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062550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(英文)：Liu Jia Bo Cun, Majiawu Town, Renqiu City, 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91130982MA07KHAD93</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18831786333</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何浩丹</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纪荷叶</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GB/T45001-2020 / ISO45001：2018</w:t>
      </w:r>
      <w:bookmarkEnd w:id="13"/>
      <w:r>
        <w:rPr>
          <w:rFonts w:hint="eastAsia" w:ascii="宋体" w:hAnsi="宋体"/>
          <w:b w:val="0"/>
          <w:bCs/>
          <w:color w:val="000000" w:themeColor="text1"/>
          <w:sz w:val="22"/>
          <w:szCs w:val="22"/>
          <w:u w:val="single"/>
          <w:lang w:eastAsia="zh-CN"/>
        </w:rPr>
        <w:t>，</w:t>
      </w: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OHSMS</w:t>
      </w:r>
      <w:r>
        <w:rPr>
          <w:rFonts w:hint="eastAsia"/>
          <w:b w:val="0"/>
          <w:bCs/>
          <w:color w:val="000000" w:themeColor="text1"/>
          <w:sz w:val="22"/>
          <w:szCs w:val="22"/>
          <w:lang w:eastAsia="zh-CN"/>
        </w:rPr>
        <w:t>：</w:t>
      </w:r>
      <w:r>
        <w:rPr>
          <w:rFonts w:hint="eastAsia"/>
          <w:b w:val="0"/>
          <w:bCs/>
          <w:color w:val="000000" w:themeColor="text1"/>
          <w:sz w:val="22"/>
          <w:szCs w:val="22"/>
        </w:rPr>
        <w:t>线路铁附件、标识牌、电力金具、钢绞线的生产及相关的职业健康安全管理活动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英文：</w:t>
      </w:r>
      <w:r>
        <w:rPr>
          <w:rFonts w:hint="eastAsia"/>
          <w:b w:val="0"/>
          <w:bCs/>
          <w:color w:val="000000" w:themeColor="text1"/>
          <w:sz w:val="22"/>
          <w:szCs w:val="22"/>
          <w:lang w:val="en-US" w:eastAsia="zh-CN"/>
        </w:rPr>
        <w:t xml:space="preserve">The </w:t>
      </w:r>
      <w:r>
        <w:rPr>
          <w:rFonts w:hint="eastAsia"/>
          <w:b w:val="0"/>
          <w:bCs/>
          <w:color w:val="000000" w:themeColor="text1"/>
          <w:sz w:val="22"/>
          <w:szCs w:val="22"/>
        </w:rPr>
        <w:t>Occupational health and safety management activities</w:t>
      </w:r>
      <w:r>
        <w:rPr>
          <w:rFonts w:hint="eastAsia"/>
          <w:b w:val="0"/>
          <w:bCs/>
          <w:color w:val="000000" w:themeColor="text1"/>
          <w:sz w:val="22"/>
          <w:szCs w:val="22"/>
          <w:lang w:val="en-US" w:eastAsia="zh-CN"/>
        </w:rPr>
        <w:t xml:space="preserve"> about </w:t>
      </w:r>
      <w:r>
        <w:rPr>
          <w:rFonts w:hint="eastAsia"/>
          <w:b w:val="0"/>
          <w:bCs/>
          <w:color w:val="000000" w:themeColor="text1"/>
          <w:sz w:val="22"/>
          <w:szCs w:val="22"/>
        </w:rPr>
        <w:t>Production of line iron accessories, signboards, power fittings and steel strands</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bookmarkStart w:id="16" w:name="_GoBack"/>
      <w:bookmarkEnd w:id="16"/>
      <w:r>
        <w:rPr>
          <w:rFonts w:hint="eastAsia" w:ascii="宋体" w:hAnsi="宋体" w:eastAsia="宋体"/>
          <w:b/>
          <w:color w:val="000000" w:themeColor="text1"/>
          <w:sz w:val="18"/>
          <w:szCs w:val="18"/>
          <w:lang w:eastAsia="zh-CN"/>
        </w:rPr>
        <w:drawing>
          <wp:inline distT="0" distB="0" distL="114300" distR="114300">
            <wp:extent cx="6182995" cy="8743950"/>
            <wp:effectExtent l="0" t="0" r="1905" b="6350"/>
            <wp:docPr id="4" name="图片 4" descr="doc01181620201221132624_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oc01181620201221132624_009"/>
                    <pic:cNvPicPr>
                      <a:picLocks noChangeAspect="1"/>
                    </pic:cNvPicPr>
                  </pic:nvPicPr>
                  <pic:blipFill>
                    <a:blip r:embed="rId5"/>
                    <a:stretch>
                      <a:fillRect/>
                    </a:stretch>
                  </pic:blipFill>
                  <pic:spPr>
                    <a:xfrm>
                      <a:off x="0" y="0"/>
                      <a:ext cx="6182995" cy="8743950"/>
                    </a:xfrm>
                    <a:prstGeom prst="rect">
                      <a:avLst/>
                    </a:prstGeom>
                  </pic:spPr>
                </pic:pic>
              </a:graphicData>
            </a:graphic>
          </wp:inline>
        </w:drawing>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D1BA7"/>
    <w:multiLevelType w:val="singleLevel"/>
    <w:tmpl w:val="534D1B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C87558"/>
    <w:rsid w:val="104F00A5"/>
    <w:rsid w:val="2DF541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2</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2020-12-21T05:26:11Z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