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bCs/>
          <w:sz w:val="24"/>
          <w:szCs w:val="24"/>
        </w:rPr>
      </w:pPr>
      <w:bookmarkStart w:id="0" w:name="合同编号"/>
      <w:r>
        <w:rPr>
          <w:rFonts w:hint="eastAsia"/>
          <w:b/>
          <w:bCs/>
          <w:sz w:val="24"/>
          <w:szCs w:val="24"/>
          <w:lang w:val="en-US" w:eastAsia="zh-CN"/>
        </w:rPr>
        <w:t>编号：</w:t>
      </w:r>
      <w:r>
        <w:rPr>
          <w:b/>
          <w:bCs/>
          <w:sz w:val="24"/>
          <w:szCs w:val="24"/>
        </w:rPr>
        <w:t>0095-2019-EO</w:t>
      </w:r>
      <w:bookmarkEnd w:id="0"/>
      <w:r>
        <w:rPr>
          <w:rFonts w:hint="eastAsia"/>
          <w:b/>
          <w:bCs/>
          <w:sz w:val="24"/>
          <w:szCs w:val="24"/>
          <w:lang w:val="en-US" w:eastAsia="zh-CN"/>
        </w:rPr>
        <w:t>-2020</w:t>
      </w: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cs="Times New Roman"/>
          <w:b/>
          <w:color w:val="000000"/>
          <w:sz w:val="32"/>
          <w:szCs w:val="32"/>
        </w:rPr>
        <w:t>重庆思恩科信息技术有限公司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rFonts w:hint="default" w:eastAsia="宋体"/>
                <w:b/>
                <w:sz w:val="21"/>
                <w:szCs w:val="21"/>
                <w:lang w:val="en-US" w:eastAsia="zh-CN"/>
              </w:rPr>
            </w:pPr>
            <w:r>
              <w:rPr>
                <w:b/>
                <w:sz w:val="21"/>
                <w:szCs w:val="21"/>
              </w:rPr>
              <w:t>杨珍全</w:t>
            </w:r>
            <w:r>
              <w:rPr>
                <w:rFonts w:hint="eastAsia"/>
                <w:b/>
                <w:sz w:val="21"/>
                <w:szCs w:val="21"/>
                <w:lang w:eastAsia="zh-CN"/>
              </w:rPr>
              <w:t>（</w:t>
            </w:r>
            <w:r>
              <w:rPr>
                <w:rFonts w:hint="eastAsia"/>
                <w:b/>
                <w:sz w:val="21"/>
                <w:szCs w:val="21"/>
                <w:lang w:val="en-US" w:eastAsia="zh-CN"/>
              </w:rPr>
              <w:t>远程）</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2018-N1EMS-1230067</w:t>
            </w:r>
          </w:p>
          <w:p>
            <w:pPr>
              <w:jc w:val="center"/>
              <w:rPr>
                <w:b/>
                <w:sz w:val="21"/>
                <w:szCs w:val="21"/>
              </w:rPr>
            </w:pPr>
            <w:r>
              <w:rPr>
                <w:b/>
                <w:sz w:val="21"/>
                <w:szCs w:val="21"/>
              </w:rPr>
              <w:t>2018-N1OHSMS-1230067</w:t>
            </w:r>
          </w:p>
        </w:tc>
        <w:tc>
          <w:tcPr>
            <w:tcW w:w="1728" w:type="dxa"/>
            <w:gridSpan w:val="2"/>
            <w:vAlign w:val="center"/>
          </w:tcPr>
          <w:p>
            <w:pPr>
              <w:jc w:val="center"/>
              <w:rPr>
                <w:b/>
                <w:sz w:val="21"/>
                <w:szCs w:val="21"/>
              </w:rPr>
            </w:pPr>
            <w:r>
              <w:rPr>
                <w:b/>
                <w:sz w:val="21"/>
                <w:szCs w:val="21"/>
              </w:rPr>
              <w:t>E:33.02.01,33.02.02</w:t>
            </w:r>
          </w:p>
          <w:p>
            <w:pPr>
              <w:jc w:val="center"/>
              <w:rPr>
                <w:b/>
                <w:sz w:val="21"/>
                <w:szCs w:val="21"/>
              </w:rPr>
            </w:pPr>
            <w:r>
              <w:rPr>
                <w:b/>
                <w:sz w:val="21"/>
                <w:szCs w:val="21"/>
              </w:rPr>
              <w:t>O:33.02.01,33.02.02</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vAlign w:val="center"/>
          </w:tcPr>
          <w:p>
            <w:pPr>
              <w:jc w:val="center"/>
              <w:rPr>
                <w:rFonts w:hint="default" w:eastAsia="宋体"/>
                <w:b/>
                <w:sz w:val="21"/>
                <w:szCs w:val="21"/>
                <w:lang w:val="en-US" w:eastAsia="zh-CN"/>
              </w:rPr>
            </w:pPr>
            <w:r>
              <w:rPr>
                <w:b/>
                <w:sz w:val="21"/>
                <w:szCs w:val="21"/>
              </w:rPr>
              <w:t>文平</w:t>
            </w:r>
            <w:r>
              <w:rPr>
                <w:rFonts w:hint="eastAsia"/>
                <w:b/>
                <w:sz w:val="21"/>
                <w:szCs w:val="21"/>
                <w:lang w:eastAsia="zh-CN"/>
              </w:rPr>
              <w:t>（</w:t>
            </w:r>
            <w:r>
              <w:rPr>
                <w:rFonts w:hint="eastAsia"/>
                <w:b/>
                <w:sz w:val="21"/>
                <w:szCs w:val="21"/>
                <w:lang w:val="en-US" w:eastAsia="zh-CN"/>
              </w:rPr>
              <w:t>远程）</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2018-N1EMS-2093566</w:t>
            </w:r>
          </w:p>
          <w:p>
            <w:pPr>
              <w:jc w:val="center"/>
              <w:rPr>
                <w:b/>
                <w:sz w:val="21"/>
                <w:szCs w:val="21"/>
              </w:rPr>
            </w:pPr>
            <w:r>
              <w:rPr>
                <w:b/>
                <w:sz w:val="21"/>
                <w:szCs w:val="21"/>
              </w:rPr>
              <w:t>2019-N1OHSMS-2093566</w:t>
            </w:r>
          </w:p>
        </w:tc>
        <w:tc>
          <w:tcPr>
            <w:tcW w:w="1728" w:type="dxa"/>
            <w:gridSpan w:val="2"/>
            <w:vAlign w:val="center"/>
          </w:tcPr>
          <w:p>
            <w:pPr>
              <w:jc w:val="center"/>
              <w:rPr>
                <w:b/>
                <w:sz w:val="21"/>
                <w:szCs w:val="21"/>
              </w:rPr>
            </w:pPr>
            <w:r>
              <w:rPr>
                <w:b/>
                <w:sz w:val="21"/>
                <w:szCs w:val="21"/>
              </w:rPr>
              <w:t>E:33.02.01,33.02.02</w:t>
            </w:r>
          </w:p>
          <w:p>
            <w:pPr>
              <w:jc w:val="center"/>
              <w:rPr>
                <w:b/>
                <w:sz w:val="21"/>
                <w:szCs w:val="21"/>
              </w:rPr>
            </w:pPr>
            <w:r>
              <w:rPr>
                <w:b/>
                <w:sz w:val="21"/>
                <w:szCs w:val="21"/>
              </w:rPr>
              <w:t>O:33.02.01,33.02.02</w:t>
            </w:r>
          </w:p>
        </w:tc>
        <w:tc>
          <w:tcPr>
            <w:tcW w:w="1729" w:type="dxa"/>
            <w:gridSpan w:val="2"/>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vAlign w:val="center"/>
          </w:tcPr>
          <w:p>
            <w:pPr>
              <w:jc w:val="center"/>
              <w:rPr>
                <w:rFonts w:hint="default" w:ascii="Times New Roman" w:hAnsi="Times New Roman" w:eastAsia="宋体" w:cs="Times New Roman"/>
                <w:b/>
                <w:color w:val="FF0000"/>
                <w:kern w:val="2"/>
                <w:sz w:val="21"/>
                <w:szCs w:val="21"/>
                <w:lang w:val="en-US" w:eastAsia="zh-CN" w:bidi="ar-SA"/>
              </w:rPr>
            </w:pPr>
            <w:r>
              <w:rPr>
                <w:b/>
                <w:color w:val="FF0000"/>
                <w:sz w:val="21"/>
                <w:szCs w:val="21"/>
              </w:rPr>
              <w:t>杨珍全</w:t>
            </w:r>
            <w:r>
              <w:rPr>
                <w:rFonts w:hint="eastAsia"/>
                <w:b/>
                <w:color w:val="FF0000"/>
                <w:sz w:val="21"/>
                <w:szCs w:val="21"/>
                <w:lang w:eastAsia="zh-CN"/>
              </w:rPr>
              <w:t>（</w:t>
            </w:r>
            <w:r>
              <w:rPr>
                <w:rFonts w:hint="eastAsia"/>
                <w:b/>
                <w:color w:val="FF0000"/>
                <w:sz w:val="21"/>
                <w:szCs w:val="21"/>
                <w:lang w:val="en-US" w:eastAsia="zh-CN"/>
              </w:rPr>
              <w:t>现场）</w:t>
            </w:r>
          </w:p>
        </w:tc>
        <w:tc>
          <w:tcPr>
            <w:tcW w:w="824" w:type="dxa"/>
            <w:gridSpan w:val="2"/>
            <w:vAlign w:val="center"/>
          </w:tcPr>
          <w:p>
            <w:pPr>
              <w:jc w:val="center"/>
              <w:rPr>
                <w:rFonts w:ascii="Times New Roman" w:hAnsi="Times New Roman" w:eastAsia="宋体" w:cs="Times New Roman"/>
                <w:b/>
                <w:color w:val="FF0000"/>
                <w:kern w:val="2"/>
                <w:sz w:val="21"/>
                <w:szCs w:val="21"/>
                <w:lang w:val="en-US" w:eastAsia="zh-CN" w:bidi="ar-SA"/>
              </w:rPr>
            </w:pPr>
            <w:r>
              <w:rPr>
                <w:b/>
                <w:color w:val="FF0000"/>
                <w:sz w:val="21"/>
                <w:szCs w:val="21"/>
              </w:rPr>
              <w:t>男</w:t>
            </w:r>
          </w:p>
        </w:tc>
        <w:tc>
          <w:tcPr>
            <w:tcW w:w="1559" w:type="dxa"/>
            <w:vAlign w:val="center"/>
          </w:tcPr>
          <w:p>
            <w:pPr>
              <w:jc w:val="center"/>
              <w:rPr>
                <w:rFonts w:ascii="Times New Roman" w:hAnsi="Times New Roman" w:eastAsia="宋体" w:cs="Times New Roman"/>
                <w:b/>
                <w:color w:val="FF0000"/>
                <w:kern w:val="2"/>
                <w:sz w:val="21"/>
                <w:szCs w:val="21"/>
                <w:lang w:val="en-US" w:eastAsia="zh-CN" w:bidi="ar-SA"/>
              </w:rPr>
            </w:pPr>
            <w:r>
              <w:rPr>
                <w:b/>
                <w:color w:val="FF0000"/>
                <w:sz w:val="21"/>
                <w:szCs w:val="21"/>
              </w:rPr>
              <w:t>组长</w:t>
            </w:r>
          </w:p>
        </w:tc>
        <w:tc>
          <w:tcPr>
            <w:tcW w:w="1277" w:type="dxa"/>
            <w:vAlign w:val="center"/>
          </w:tcPr>
          <w:p>
            <w:pPr>
              <w:jc w:val="center"/>
              <w:rPr>
                <w:b/>
                <w:color w:val="FF0000"/>
                <w:sz w:val="21"/>
                <w:szCs w:val="21"/>
              </w:rPr>
            </w:pPr>
            <w:r>
              <w:rPr>
                <w:b/>
                <w:color w:val="FF0000"/>
                <w:sz w:val="21"/>
                <w:szCs w:val="21"/>
              </w:rPr>
              <w:t>E:审核员</w:t>
            </w:r>
          </w:p>
          <w:p>
            <w:pPr>
              <w:jc w:val="center"/>
              <w:rPr>
                <w:rFonts w:ascii="Times New Roman" w:hAnsi="Times New Roman" w:eastAsia="宋体" w:cs="Times New Roman"/>
                <w:b/>
                <w:color w:val="FF0000"/>
                <w:kern w:val="2"/>
                <w:sz w:val="21"/>
                <w:szCs w:val="21"/>
                <w:lang w:val="en-US" w:eastAsia="zh-CN" w:bidi="ar-SA"/>
              </w:rPr>
            </w:pPr>
            <w:r>
              <w:rPr>
                <w:b/>
                <w:color w:val="FF0000"/>
                <w:sz w:val="21"/>
                <w:szCs w:val="21"/>
              </w:rPr>
              <w:t>O:审核员</w:t>
            </w:r>
          </w:p>
        </w:tc>
        <w:tc>
          <w:tcPr>
            <w:tcW w:w="1699" w:type="dxa"/>
            <w:vAlign w:val="center"/>
          </w:tcPr>
          <w:p>
            <w:pPr>
              <w:jc w:val="center"/>
              <w:rPr>
                <w:b/>
                <w:color w:val="FF0000"/>
                <w:sz w:val="21"/>
                <w:szCs w:val="21"/>
              </w:rPr>
            </w:pPr>
            <w:r>
              <w:rPr>
                <w:b/>
                <w:color w:val="FF0000"/>
                <w:sz w:val="21"/>
                <w:szCs w:val="21"/>
              </w:rPr>
              <w:t>2018-N1EMS-1230067</w:t>
            </w:r>
          </w:p>
          <w:p>
            <w:pPr>
              <w:jc w:val="center"/>
              <w:rPr>
                <w:rFonts w:ascii="Times New Roman" w:hAnsi="Times New Roman" w:eastAsia="宋体" w:cs="Times New Roman"/>
                <w:b/>
                <w:color w:val="FF0000"/>
                <w:kern w:val="2"/>
                <w:sz w:val="21"/>
                <w:szCs w:val="21"/>
                <w:lang w:val="en-US" w:eastAsia="zh-CN" w:bidi="ar-SA"/>
              </w:rPr>
            </w:pPr>
            <w:r>
              <w:rPr>
                <w:b/>
                <w:color w:val="FF0000"/>
                <w:sz w:val="21"/>
                <w:szCs w:val="21"/>
              </w:rPr>
              <w:t>2018-N1OHSMS-1230067</w:t>
            </w:r>
          </w:p>
        </w:tc>
        <w:tc>
          <w:tcPr>
            <w:tcW w:w="1728" w:type="dxa"/>
            <w:gridSpan w:val="2"/>
            <w:vAlign w:val="center"/>
          </w:tcPr>
          <w:p>
            <w:pPr>
              <w:jc w:val="center"/>
              <w:rPr>
                <w:b/>
                <w:color w:val="FF0000"/>
                <w:sz w:val="21"/>
                <w:szCs w:val="21"/>
              </w:rPr>
            </w:pPr>
            <w:r>
              <w:rPr>
                <w:b/>
                <w:color w:val="FF0000"/>
                <w:sz w:val="21"/>
                <w:szCs w:val="21"/>
              </w:rPr>
              <w:t>E:33.02.01,33.02.02</w:t>
            </w:r>
          </w:p>
          <w:p>
            <w:pPr>
              <w:jc w:val="center"/>
              <w:rPr>
                <w:rFonts w:ascii="Times New Roman" w:hAnsi="Times New Roman" w:eastAsia="宋体" w:cs="Times New Roman"/>
                <w:b/>
                <w:color w:val="FF0000"/>
                <w:kern w:val="2"/>
                <w:sz w:val="21"/>
                <w:szCs w:val="21"/>
                <w:lang w:val="en-US" w:eastAsia="zh-CN" w:bidi="ar-SA"/>
              </w:rPr>
            </w:pPr>
            <w:r>
              <w:rPr>
                <w:b/>
                <w:color w:val="FF0000"/>
                <w:sz w:val="21"/>
                <w:szCs w:val="21"/>
              </w:rPr>
              <w:t>O:33.02.01,33.02.02</w:t>
            </w:r>
          </w:p>
        </w:tc>
        <w:tc>
          <w:tcPr>
            <w:tcW w:w="1729" w:type="dxa"/>
            <w:gridSpan w:val="2"/>
            <w:vAlign w:val="center"/>
          </w:tcPr>
          <w:p>
            <w:pPr>
              <w:jc w:val="center"/>
              <w:rPr>
                <w:rFonts w:ascii="Times New Roman" w:hAnsi="Times New Roman" w:eastAsia="宋体" w:cs="Times New Roman"/>
                <w:b/>
                <w:color w:val="FF0000"/>
                <w:kern w:val="2"/>
                <w:sz w:val="21"/>
                <w:szCs w:val="21"/>
                <w:lang w:val="en-US" w:eastAsia="zh-CN" w:bidi="ar-SA"/>
              </w:rPr>
            </w:pPr>
            <w:r>
              <w:rPr>
                <w:b/>
                <w:color w:val="FF0000"/>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w:t>
      </w:r>
      <w:r>
        <w:rPr>
          <w:rFonts w:hint="eastAsia"/>
          <w:b/>
          <w:sz w:val="21"/>
          <w:szCs w:val="21"/>
          <w:lang w:val="en-US" w:eastAsia="zh-CN"/>
        </w:rPr>
        <w:t>监督1</w:t>
      </w:r>
      <w:r>
        <w:rPr>
          <w:rFonts w:hint="eastAsia"/>
          <w:b/>
          <w:sz w:val="21"/>
          <w:szCs w:val="21"/>
        </w:rPr>
        <w:t>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r>
        <w:rPr>
          <w:rFonts w:hint="eastAsia"/>
          <w:b/>
          <w:sz w:val="21"/>
          <w:szCs w:val="21"/>
          <w:lang w:eastAsia="zh-CN"/>
        </w:rPr>
        <w:t>□</w:t>
      </w:r>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GB/T45001—2020/ISO 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hint="eastAsia" w:ascii="宋体" w:hAnsi="宋体" w:cs="Times New Roman"/>
                <w:b/>
                <w:sz w:val="21"/>
                <w:szCs w:val="22"/>
              </w:rPr>
              <w:t>重庆思恩科信息技术有限公司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重庆市渝北区龙山路72号新城丽都3幢2单元2-5-3</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400000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重庆市江北区北滨二路星耀天地3栋12-3</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重庆市江北区北滨二路星耀天地3栋12-3</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400000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王丹</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023-67779098</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李军德</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vAlign w:val="top"/>
          </w:tcPr>
          <w:p>
            <w:pPr>
              <w:rPr>
                <w:rFonts w:ascii="宋体" w:hAnsi="宋体"/>
                <w:b/>
                <w:sz w:val="21"/>
                <w:szCs w:val="21"/>
              </w:rPr>
            </w:pPr>
            <w:r>
              <w:rPr>
                <w:rFonts w:hint="eastAsia" w:ascii="宋体" w:hAnsi="宋体"/>
                <w:b/>
                <w:sz w:val="21"/>
                <w:szCs w:val="21"/>
                <w:lang w:val="en-US" w:eastAsia="zh-CN"/>
              </w:rPr>
              <w:t>李竟维</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vAlign w:val="top"/>
          </w:tcPr>
          <w:p>
            <w:pPr>
              <w:rPr>
                <w:rFonts w:ascii="宋体"/>
                <w:b/>
                <w:sz w:val="21"/>
              </w:rPr>
            </w:pPr>
            <w:r>
              <w:rPr>
                <w:rFonts w:ascii="宋体"/>
                <w:b/>
                <w:sz w:val="21"/>
              </w:rPr>
              <w:t>王丹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2020年12月09日 上午至2020年12月09日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bookmarkStart w:id="29" w:name="_GoBack"/>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p>
          <w:p>
            <w:pPr>
              <w:spacing w:line="360" w:lineRule="exact"/>
              <w:rPr>
                <w:rFonts w:hint="eastAsia" w:ascii="宋体" w:hAnsi="宋体" w:eastAsia="宋体"/>
                <w:b/>
                <w:sz w:val="21"/>
                <w:szCs w:val="21"/>
                <w:lang w:val="en-US" w:eastAsia="zh-CN"/>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r>
              <w:rPr>
                <w:rFonts w:hint="eastAsia" w:ascii="宋体" w:hAnsi="宋体"/>
                <w:sz w:val="21"/>
                <w:szCs w:val="21"/>
              </w:rPr>
              <w:t>计算机软件设计开发及服务，计算机信息系统集成及服务所涉及的相关环境管理活动</w:t>
            </w:r>
            <w:r>
              <w:rPr>
                <w:rFonts w:hint="eastAsia" w:ascii="宋体" w:hAnsi="宋体"/>
                <w:sz w:val="21"/>
                <w:szCs w:val="21"/>
                <w:lang w:val="en-US" w:eastAsia="zh-CN"/>
              </w:rPr>
              <w:t>.</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r>
              <w:rPr>
                <w:rFonts w:hint="eastAsia" w:ascii="宋体" w:hAnsi="宋体"/>
                <w:sz w:val="21"/>
                <w:szCs w:val="21"/>
              </w:rPr>
              <w:t>计算机软件设计开发及服务，计算机信息系统集成及服务所涉及的相关职业健康安全管理活动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E：33.02.01;33.02.02</w:t>
            </w:r>
          </w:p>
          <w:p>
            <w:pPr>
              <w:spacing w:line="260" w:lineRule="exact"/>
              <w:rPr>
                <w:rFonts w:ascii="宋体" w:hAnsi="宋体"/>
                <w:b/>
                <w:sz w:val="21"/>
                <w:szCs w:val="21"/>
              </w:rPr>
            </w:pPr>
            <w:r>
              <w:rPr>
                <w:rFonts w:ascii="宋体" w:hAnsi="宋体"/>
                <w:b/>
                <w:sz w:val="21"/>
                <w:szCs w:val="21"/>
              </w:rPr>
              <w:t>O：33.02.01;33.02.02</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hAnsi="宋体"/>
                <w:b/>
                <w:sz w:val="21"/>
                <w:szCs w:val="21"/>
              </w:rPr>
              <w:t>2022.5.8</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b/>
                <w:sz w:val="21"/>
                <w:lang w:val="en-US" w:eastAsia="zh-CN"/>
              </w:rPr>
              <w:t>2019.5.4至5</w:t>
            </w:r>
          </w:p>
        </w:tc>
      </w:tr>
    </w:tbl>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uto"/>
        <w:ind w:left="-238" w:leftChars="-337" w:hanging="571" w:hangingChars="271"/>
        <w:rPr>
          <w:b/>
          <w:color w:val="FF0000"/>
          <w:spacing w:val="-10"/>
          <w:szCs w:val="21"/>
        </w:rPr>
      </w:pPr>
      <w:r>
        <w:rPr>
          <w:rFonts w:ascii="宋体" w:hAnsi="宋体"/>
          <w:b/>
          <w:sz w:val="21"/>
          <w:szCs w:val="21"/>
        </w:rPr>
        <w:t xml:space="preserve">4. </w:t>
      </w:r>
      <w:r>
        <w:rPr>
          <w:rFonts w:hint="eastAsia" w:ascii="宋体" w:hAnsi="宋体"/>
          <w:b/>
          <w:sz w:val="21"/>
          <w:szCs w:val="21"/>
        </w:rPr>
        <w:t>本次审核覆盖时间：从上次审核结束日的2019年5月5日至2020年4月8日</w:t>
      </w:r>
      <w:r>
        <w:rPr>
          <w:rFonts w:hint="eastAsia" w:ascii="宋体" w:hAnsi="宋体"/>
          <w:b/>
          <w:sz w:val="21"/>
          <w:szCs w:val="21"/>
          <w:lang w:eastAsia="zh-CN"/>
        </w:rPr>
        <w:t>。</w:t>
      </w:r>
      <w:r>
        <w:rPr>
          <w:rFonts w:hint="eastAsia"/>
          <w:b/>
          <w:color w:val="FF0000"/>
          <w:spacing w:val="-10"/>
          <w:szCs w:val="21"/>
          <w:lang w:eastAsia="zh-CN"/>
        </w:rPr>
        <w:t>（现场补充审核复盖时间</w:t>
      </w:r>
      <w:r>
        <w:rPr>
          <w:rFonts w:hint="eastAsia"/>
          <w:b/>
          <w:color w:val="FF0000"/>
          <w:spacing w:val="-10"/>
          <w:szCs w:val="21"/>
          <w:lang w:val="en-US" w:eastAsia="zh-CN"/>
        </w:rPr>
        <w:t>2020年4月8日至2020年12月9日）</w:t>
      </w:r>
      <w:r>
        <w:rPr>
          <w:rFonts w:hint="eastAsia"/>
          <w:b/>
          <w:color w:val="FF0000"/>
          <w:spacing w:val="-10"/>
          <w:szCs w:val="21"/>
        </w:rPr>
        <w:t>。</w:t>
      </w:r>
    </w:p>
    <w:p>
      <w:pPr>
        <w:spacing w:line="360" w:lineRule="atLeast"/>
        <w:rPr>
          <w:rFonts w:hint="eastAsia" w:ascii="宋体" w:hAnsi="宋体" w:eastAsia="宋体"/>
          <w:b/>
          <w:sz w:val="21"/>
          <w:szCs w:val="21"/>
          <w:lang w:val="en-US" w:eastAsia="zh-CN"/>
        </w:rPr>
      </w:pP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Lines="100"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400" w:lineRule="exact"/>
              <w:ind w:firstLine="420" w:firstLineChars="200"/>
              <w:jc w:val="left"/>
              <w:rPr>
                <w:rFonts w:ascii="宋体" w:hAnsi="宋体"/>
                <w:sz w:val="21"/>
                <w:szCs w:val="21"/>
              </w:rPr>
            </w:pPr>
            <w:r>
              <w:rPr>
                <w:rFonts w:hint="eastAsia" w:ascii="宋体" w:hAnsi="宋体"/>
                <w:sz w:val="21"/>
                <w:szCs w:val="21"/>
              </w:rPr>
              <w:t>重庆思恩科信息技术有限公司成立于2004年。是一家专业致力于软件和信息系统集成的公司。</w:t>
            </w:r>
          </w:p>
          <w:p>
            <w:pPr>
              <w:spacing w:line="240" w:lineRule="exact"/>
              <w:rPr>
                <w:rFonts w:ascii="宋体" w:hAnsi="宋体"/>
                <w:b/>
                <w:sz w:val="21"/>
                <w:szCs w:val="21"/>
              </w:rPr>
            </w:pPr>
            <w:r>
              <w:rPr>
                <w:rFonts w:hint="eastAsia" w:ascii="宋体" w:hAnsi="宋体"/>
                <w:sz w:val="21"/>
                <w:szCs w:val="21"/>
              </w:rPr>
              <w:t>。现有员工数54人，经营状况良好。组织对内外部因素、相关方需求和期望进行了充分的识别，策划和实施有效。确定了体系的边界，基本适用。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360" w:lineRule="auto"/>
              <w:ind w:firstLine="211" w:firstLineChars="100"/>
              <w:rPr>
                <w:rFonts w:ascii="宋体" w:hAnsi="宋体"/>
                <w:b/>
                <w:sz w:val="21"/>
                <w:szCs w:val="21"/>
              </w:rPr>
            </w:pPr>
            <w:r>
              <w:rPr>
                <w:rFonts w:ascii="宋体" w:hAnsi="宋体"/>
                <w:b/>
                <w:sz w:val="21"/>
                <w:szCs w:val="21"/>
              </w:rPr>
              <w:t>3.</w:t>
            </w:r>
            <w:r>
              <w:rPr>
                <w:rFonts w:hint="eastAsia" w:ascii="宋体" w:hAnsi="宋体"/>
                <w:b/>
                <w:sz w:val="21"/>
                <w:szCs w:val="21"/>
              </w:rPr>
              <w:t>□质量</w:t>
            </w:r>
            <w:r>
              <w:rPr>
                <w:rFonts w:ascii="宋体" w:hAnsi="宋体"/>
                <w:b/>
                <w:sz w:val="21"/>
                <w:szCs w:val="21"/>
              </w:rPr>
              <w:t>/</w:t>
            </w:r>
            <w:r>
              <w:rPr>
                <w:rFonts w:hint="eastAsia" w:ascii="宋体" w:hAnsi="宋体" w:cs="宋体"/>
                <w:color w:val="000000"/>
                <w:sz w:val="21"/>
                <w:szCs w:val="21"/>
              </w:rPr>
              <w:t>■环境/■职业健康安全方针（组织方针的适宜性/持续适宜性、方针的传达及职工的理解等）组织的管理方针为：</w:t>
            </w:r>
            <w:r>
              <w:rPr>
                <w:rFonts w:hint="eastAsia" w:ascii="宋体" w:hAnsi="宋体" w:cs="宋体"/>
                <w:sz w:val="21"/>
                <w:szCs w:val="21"/>
              </w:rPr>
              <w:t>“</w:t>
            </w:r>
            <w:r>
              <w:rPr>
                <w:rFonts w:hint="eastAsia" w:ascii="宋体" w:hAnsi="宋体" w:cs="宋体"/>
                <w:color w:val="000000"/>
                <w:sz w:val="21"/>
                <w:szCs w:val="21"/>
              </w:rPr>
              <w:t>严格管理、科学设计、确保产品质量；信守合同、持续改进、增强顾客满意；遵守法律、防止污染、立足安全发展</w:t>
            </w:r>
            <w:r>
              <w:rPr>
                <w:rFonts w:hint="eastAsia" w:ascii="宋体" w:hAnsi="宋体" w:cs="宋体"/>
                <w:sz w:val="21"/>
                <w:szCs w:val="21"/>
              </w:rPr>
              <w:t>”</w:t>
            </w:r>
            <w:bookmarkStart w:id="28" w:name="OLE_LINK3"/>
            <w:r>
              <w:rPr>
                <w:rFonts w:hint="eastAsia" w:ascii="宋体" w:hAnsi="宋体" w:cs="宋体"/>
                <w:sz w:val="21"/>
                <w:szCs w:val="21"/>
              </w:rPr>
              <w:t>。</w:t>
            </w:r>
            <w:bookmarkEnd w:id="28"/>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rPr>
                <w:rFonts w:ascii="宋体" w:hAnsi="宋体"/>
                <w:b/>
                <w:sz w:val="21"/>
                <w:szCs w:val="21"/>
              </w:rPr>
            </w:pPr>
            <w:r>
              <w:rPr>
                <w:rFonts w:hint="eastAsia" w:ascii="宋体" w:hAnsi="宋体"/>
                <w:b/>
                <w:sz w:val="21"/>
                <w:szCs w:val="21"/>
              </w:rPr>
              <w:t>风险识别与控制策划</w:t>
            </w:r>
          </w:p>
          <w:p>
            <w:pPr>
              <w:spacing w:line="280" w:lineRule="exact"/>
              <w:rPr>
                <w:rFonts w:ascii="宋体" w:hAnsi="宋体"/>
                <w:b/>
                <w:sz w:val="21"/>
                <w:szCs w:val="21"/>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2051" o:spid="_x0000_s2051"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   删减理由：</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ind w:firstLine="210" w:firstLineChars="100"/>
              <w:rPr>
                <w:rFonts w:ascii="宋体" w:hAnsi="宋体"/>
                <w:b/>
                <w:sz w:val="21"/>
                <w:szCs w:val="21"/>
              </w:rPr>
            </w:pPr>
            <w:r>
              <w:rPr>
                <w:rFonts w:hint="eastAsia" w:ascii="宋体" w:hAnsi="宋体" w:cs="宋体"/>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管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ind w:firstLine="210" w:firstLineChars="100"/>
              <w:rPr>
                <w:rFonts w:ascii="宋体" w:hAnsi="宋体"/>
                <w:b/>
                <w:sz w:val="21"/>
                <w:szCs w:val="21"/>
              </w:rPr>
            </w:pPr>
            <w:r>
              <w:rPr>
                <w:rFonts w:hint="eastAsia" w:ascii="宋体" w:hAnsi="宋体" w:cs="宋体"/>
                <w:color w:val="000000" w:themeColor="text1"/>
                <w:sz w:val="21"/>
                <w:szCs w:val="21"/>
              </w:rPr>
              <w:t>组织建立了危险源识别、评价控制程序，识别评价了危险源、风险相关的过程，评价出了重要危险源，与之相关的过程有研发、测试、销售等，针对重要危险源制定了管理方案。控制措施实施有效。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3"/>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rFonts w:ascii="宋体" w:hAnsi="宋体" w:cs="宋体"/>
                <w:sz w:val="21"/>
                <w:szCs w:val="21"/>
              </w:rPr>
            </w:pPr>
            <w:r>
              <w:rPr>
                <w:rFonts w:hint="eastAsia" w:ascii="宋体" w:hAnsi="宋体" w:cs="宋体"/>
                <w:sz w:val="21"/>
                <w:szCs w:val="21"/>
              </w:rPr>
              <w:t>环境目标</w:t>
            </w:r>
          </w:p>
          <w:p>
            <w:pPr>
              <w:numPr>
                <w:ilvl w:val="0"/>
                <w:numId w:val="3"/>
              </w:numPr>
              <w:rPr>
                <w:rFonts w:ascii="宋体" w:hAnsi="宋体" w:cs="宋体"/>
                <w:sz w:val="21"/>
                <w:szCs w:val="21"/>
              </w:rPr>
            </w:pPr>
            <w:r>
              <w:rPr>
                <w:rFonts w:hint="eastAsia" w:ascii="宋体" w:hAnsi="宋体" w:cs="宋体"/>
                <w:sz w:val="21"/>
                <w:szCs w:val="21"/>
              </w:rPr>
              <w:t>无火灾爆炸事故发生</w:t>
            </w:r>
          </w:p>
          <w:p>
            <w:pPr>
              <w:numPr>
                <w:ilvl w:val="0"/>
                <w:numId w:val="3"/>
              </w:numPr>
              <w:rPr>
                <w:rFonts w:ascii="宋体" w:hAnsi="宋体" w:cs="宋体"/>
                <w:sz w:val="21"/>
                <w:szCs w:val="21"/>
              </w:rPr>
            </w:pPr>
            <w:r>
              <w:rPr>
                <w:rFonts w:hint="eastAsia" w:ascii="宋体" w:hAnsi="宋体" w:cs="宋体"/>
                <w:sz w:val="21"/>
                <w:szCs w:val="21"/>
              </w:rPr>
              <w:t>降低资源能源消耗</w:t>
            </w:r>
          </w:p>
          <w:p>
            <w:pPr>
              <w:numPr>
                <w:ilvl w:val="0"/>
                <w:numId w:val="3"/>
              </w:numPr>
              <w:rPr>
                <w:rFonts w:ascii="宋体" w:hAnsi="宋体" w:cs="宋体"/>
                <w:sz w:val="21"/>
                <w:szCs w:val="21"/>
              </w:rPr>
            </w:pPr>
            <w:r>
              <w:rPr>
                <w:rFonts w:hint="eastAsia" w:ascii="宋体" w:hAnsi="宋体" w:cs="宋体"/>
                <w:sz w:val="21"/>
                <w:szCs w:val="21"/>
              </w:rPr>
              <w:t>固体废弃物分类收集处置</w:t>
            </w:r>
          </w:p>
          <w:p>
            <w:pPr>
              <w:rPr>
                <w:rFonts w:ascii="宋体" w:hAnsi="宋体" w:cs="宋体"/>
                <w:sz w:val="21"/>
                <w:szCs w:val="21"/>
              </w:rPr>
            </w:pPr>
            <w:r>
              <w:rPr>
                <w:rFonts w:hint="eastAsia" w:ascii="宋体" w:hAnsi="宋体" w:cs="宋体"/>
                <w:sz w:val="21"/>
                <w:szCs w:val="21"/>
              </w:rPr>
              <w:t>职业健康安全目标</w:t>
            </w:r>
          </w:p>
          <w:p>
            <w:pPr>
              <w:numPr>
                <w:ilvl w:val="1"/>
                <w:numId w:val="4"/>
              </w:numPr>
              <w:tabs>
                <w:tab w:val="left" w:pos="2880"/>
              </w:tabs>
              <w:rPr>
                <w:rFonts w:ascii="宋体" w:hAnsi="宋体" w:cs="宋体"/>
                <w:sz w:val="21"/>
                <w:szCs w:val="21"/>
              </w:rPr>
            </w:pPr>
            <w:r>
              <w:rPr>
                <w:rFonts w:hint="eastAsia" w:ascii="宋体" w:hAnsi="宋体" w:cs="宋体"/>
                <w:sz w:val="21"/>
                <w:szCs w:val="21"/>
              </w:rPr>
              <w:t>无火灾、触电事故的发生</w:t>
            </w:r>
          </w:p>
          <w:p>
            <w:pPr>
              <w:numPr>
                <w:ilvl w:val="1"/>
                <w:numId w:val="4"/>
              </w:numPr>
              <w:tabs>
                <w:tab w:val="left" w:pos="2880"/>
              </w:tabs>
              <w:rPr>
                <w:rFonts w:ascii="宋体" w:hAnsi="宋体" w:cs="宋体"/>
                <w:sz w:val="21"/>
                <w:szCs w:val="21"/>
              </w:rPr>
            </w:pPr>
            <w:r>
              <w:rPr>
                <w:rFonts w:hint="eastAsia" w:ascii="宋体" w:hAnsi="宋体" w:cs="宋体"/>
                <w:sz w:val="21"/>
                <w:szCs w:val="21"/>
              </w:rPr>
              <w:t>无传染病发生</w:t>
            </w:r>
          </w:p>
          <w:p>
            <w:pPr>
              <w:numPr>
                <w:ilvl w:val="1"/>
                <w:numId w:val="4"/>
              </w:numPr>
              <w:tabs>
                <w:tab w:val="left" w:pos="2880"/>
              </w:tabs>
              <w:rPr>
                <w:rFonts w:ascii="宋体" w:hAnsi="宋体" w:cs="宋体"/>
                <w:sz w:val="21"/>
                <w:szCs w:val="21"/>
              </w:rPr>
            </w:pPr>
            <w:r>
              <w:rPr>
                <w:rFonts w:hint="eastAsia" w:ascii="宋体" w:hAnsi="宋体" w:cs="宋体"/>
                <w:sz w:val="21"/>
                <w:szCs w:val="21"/>
              </w:rPr>
              <w:t>无重大人员伤亡事故发生</w:t>
            </w:r>
          </w:p>
          <w:p>
            <w:pPr>
              <w:numPr>
                <w:ilvl w:val="1"/>
                <w:numId w:val="4"/>
              </w:numPr>
              <w:tabs>
                <w:tab w:val="left" w:pos="2880"/>
              </w:tabs>
              <w:rPr>
                <w:rFonts w:ascii="宋体" w:hAnsi="宋体" w:cs="宋体"/>
                <w:sz w:val="21"/>
                <w:szCs w:val="21"/>
              </w:rPr>
            </w:pPr>
            <w:r>
              <w:rPr>
                <w:rFonts w:hint="eastAsia" w:ascii="宋体" w:hAnsi="宋体" w:cs="宋体"/>
                <w:sz w:val="21"/>
                <w:szCs w:val="21"/>
              </w:rPr>
              <w:t>无职业病发生</w:t>
            </w:r>
          </w:p>
          <w:p>
            <w:pPr>
              <w:numPr>
                <w:ilvl w:val="1"/>
                <w:numId w:val="4"/>
              </w:numPr>
              <w:tabs>
                <w:tab w:val="left" w:pos="2880"/>
              </w:tabs>
              <w:rPr>
                <w:rFonts w:ascii="宋体" w:hAnsi="宋体" w:cs="宋体"/>
                <w:sz w:val="21"/>
                <w:szCs w:val="21"/>
              </w:rPr>
            </w:pPr>
            <w:r>
              <w:rPr>
                <w:rFonts w:hint="eastAsia" w:ascii="宋体" w:hAnsi="宋体" w:cs="宋体"/>
                <w:sz w:val="21"/>
                <w:szCs w:val="21"/>
              </w:rPr>
              <w:t>轻伤事故的发生每年小于3次</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2019年10月10日进行了换版，由A版本更换为B版本并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2552"/>
              </w:tabs>
              <w:spacing w:line="0" w:lineRule="atLeast"/>
              <w:ind w:firstLine="420" w:firstLineChars="200"/>
              <w:rPr>
                <w:rFonts w:ascii="宋体" w:hAnsi="宋体" w:cs="宋体"/>
                <w:sz w:val="21"/>
                <w:szCs w:val="21"/>
              </w:rPr>
            </w:pPr>
            <w:r>
              <w:rPr>
                <w:rFonts w:hint="eastAsia" w:ascii="宋体" w:hAnsi="宋体" w:cs="宋体"/>
                <w:sz w:val="21"/>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 w:val="21"/>
                <w:szCs w:val="21"/>
              </w:rPr>
            </w:pPr>
            <w:r>
              <w:rPr>
                <w:rFonts w:hint="eastAsia" w:ascii="宋体" w:hAnsi="宋体" w:cs="宋体"/>
                <w:sz w:val="21"/>
                <w:szCs w:val="21"/>
              </w:rPr>
              <w:t xml:space="preserve">    组织识别和维护运行中所需的知识，并适时更新，组织的知识可以保证其提供合格产品和服务的要求，并应对不断变化的需求和发展趋势进行评价。</w:t>
            </w:r>
          </w:p>
          <w:p>
            <w:pPr>
              <w:spacing w:line="30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400" w:lineRule="exact"/>
              <w:rPr>
                <w:rFonts w:ascii="宋体" w:hAnsi="宋体"/>
                <w:b/>
                <w:sz w:val="21"/>
                <w:szCs w:val="21"/>
              </w:rPr>
            </w:pPr>
            <w:r>
              <w:rPr>
                <w:rFonts w:hint="eastAsia" w:ascii="宋体" w:hAnsi="宋体" w:cs="宋体"/>
                <w:sz w:val="21"/>
                <w:szCs w:val="21"/>
              </w:rPr>
              <w:t>办公面积300平方左右。主要生产设备包括：电脑、打印机、传真机、手动工具等，可以满足计算机软件设计开发及服务，计算机信息系统集成及服务需要。行政部对设备按月方式进行点检维护保养，并实施</w:t>
            </w:r>
            <w:r>
              <w:rPr>
                <w:rFonts w:hint="eastAsia" w:ascii="宋体" w:hAnsi="宋体" w:cs="宋体"/>
                <w:color w:val="000000"/>
                <w:sz w:val="21"/>
                <w:szCs w:val="21"/>
              </w:rPr>
              <w:t>。特种设备：</w:t>
            </w:r>
            <w:r>
              <w:rPr>
                <w:rFonts w:hint="eastAsia" w:ascii="宋体" w:hAnsi="宋体"/>
                <w:sz w:val="21"/>
                <w:szCs w:val="21"/>
              </w:rPr>
              <w:t>无</w:t>
            </w:r>
            <w:r>
              <w:rPr>
                <w:rFonts w:hint="eastAsia" w:ascii="宋体" w:hAnsi="宋体" w:cs="宋体"/>
                <w:color w:val="000000"/>
                <w:sz w:val="21"/>
                <w:szCs w:val="21"/>
              </w:rPr>
              <w:t>。公司未建立信息管理系统用于生产和服务。</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ascii="宋体" w:hAnsi="宋体"/>
                <w:sz w:val="21"/>
                <w:szCs w:val="21"/>
              </w:rPr>
              <w:t>办公区内设备布置合理，照明设施齐全，均配备了灭火器、消防栓等设施。目前公司主要从事软件和信息系统集成对环境要求不高，目前工作环境符合生产需要。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240" w:lineRule="exact"/>
              <w:rPr>
                <w:rFonts w:ascii="宋体" w:hAnsi="宋体"/>
                <w:b/>
                <w:sz w:val="21"/>
                <w:szCs w:val="21"/>
              </w:rPr>
            </w:pPr>
            <w:r>
              <w:rPr>
                <w:rFonts w:hint="eastAsia" w:ascii="宋体" w:hAnsi="宋体"/>
                <w:sz w:val="21"/>
                <w:szCs w:val="21"/>
              </w:rPr>
              <w:t>公司产品以软件和信息系统集成为主，客户一般采取核验方式进行确认，未配置相应的监视和测量设备。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宋体" w:hAnsi="宋体"/>
                <w:sz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宋体" w:hAnsi="宋体"/>
                <w:b/>
                <w:color w:val="000000"/>
                <w:sz w:val="20"/>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szCs w:val="21"/>
              </w:rPr>
            </w:pPr>
            <w:r>
              <w:rPr>
                <w:rFonts w:hint="eastAsia" w:ascii="宋体" w:hAnsi="宋体"/>
                <w:b/>
                <w:sz w:val="21"/>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r>
              <w:rPr>
                <w:rFonts w:hint="eastAsia" w:ascii="宋体" w:hAnsi="宋体" w:cs="宋体"/>
                <w:color w:val="000000"/>
                <w:sz w:val="21"/>
                <w:szCs w:val="21"/>
              </w:rPr>
              <w:t>对会议通知和规定等登记处理。</w:t>
            </w:r>
          </w:p>
          <w:p>
            <w:pPr>
              <w:spacing w:line="240" w:lineRule="exact"/>
              <w:rPr>
                <w:rFonts w:ascii="宋体" w:hAnsi="宋体"/>
                <w:b/>
                <w:sz w:val="21"/>
                <w:szCs w:val="21"/>
              </w:rPr>
            </w:pPr>
          </w:p>
          <w:p>
            <w:pPr>
              <w:spacing w:line="240" w:lineRule="exact"/>
              <w:rPr>
                <w:rFonts w:ascii="宋体" w:hAnsi="宋体" w:cs="宋体"/>
                <w:color w:val="000000"/>
                <w:sz w:val="21"/>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 w:val="21"/>
                <w:szCs w:val="21"/>
              </w:rPr>
              <w:t>主要通过网络、交流及公开信、合同等方式进行，并达成一致性意见实施有效控制。</w:t>
            </w:r>
          </w:p>
          <w:p>
            <w:pPr>
              <w:spacing w:line="240" w:lineRule="exact"/>
              <w:rPr>
                <w:rFonts w:ascii="楷体_GB2312" w:eastAsia="楷体_GB2312"/>
                <w:b/>
                <w:szCs w:val="21"/>
              </w:rPr>
            </w:pPr>
          </w:p>
          <w:p>
            <w:pPr>
              <w:spacing w:line="240" w:lineRule="exact"/>
              <w:rPr>
                <w:rFonts w:ascii="宋体" w:hAnsi="宋体" w:cs="宋体"/>
                <w:color w:val="000000"/>
                <w:sz w:val="21"/>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6"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r>
              <w:rPr>
                <w:rFonts w:hint="eastAsia" w:ascii="宋体" w:hAnsi="宋体"/>
                <w:b/>
                <w:sz w:val="21"/>
                <w:szCs w:val="21"/>
              </w:rPr>
              <w:t>/</w:t>
            </w: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ascii="宋体" w:hAnsi="宋体" w:cs="宋体"/>
                <w:color w:val="000000"/>
                <w:sz w:val="21"/>
                <w:szCs w:val="21"/>
              </w:rPr>
              <w:t>远程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ind w:firstLine="420" w:firstLineChars="200"/>
              <w:rPr>
                <w:rFonts w:ascii="宋体" w:hAnsi="宋体"/>
                <w:b/>
                <w:sz w:val="21"/>
                <w:szCs w:val="21"/>
              </w:rPr>
            </w:pPr>
            <w:r>
              <w:rPr>
                <w:rFonts w:hint="eastAsia" w:asciiTheme="minorEastAsia" w:hAnsiTheme="minorEastAsia" w:eastAsiaTheme="minorEastAsia"/>
                <w:bCs/>
                <w:iCs/>
                <w:sz w:val="21"/>
                <w:szCs w:val="21"/>
              </w:rPr>
              <w:t>组织重要环境因素为</w:t>
            </w:r>
            <w:r>
              <w:rPr>
                <w:rFonts w:hint="eastAsia"/>
                <w:sz w:val="21"/>
                <w:szCs w:val="21"/>
              </w:rPr>
              <w:t>固废排放、潜在火灾、粉尘排放</w:t>
            </w:r>
            <w:r>
              <w:rPr>
                <w:rFonts w:hint="eastAsia" w:asciiTheme="minorEastAsia" w:hAnsiTheme="minorEastAsia" w:eastAsiaTheme="minorEastAsia"/>
                <w:bCs/>
                <w:iCs/>
                <w:sz w:val="21"/>
                <w:szCs w:val="21"/>
              </w:rPr>
              <w:t>，需要应对的风险和机遇相关的过程为研发、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5"/>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tabs>
                <w:tab w:val="left" w:pos="2552"/>
              </w:tabs>
              <w:spacing w:line="360" w:lineRule="exact"/>
              <w:ind w:firstLine="315" w:firstLineChars="150"/>
              <w:rPr>
                <w:rFonts w:asciiTheme="minorEastAsia" w:hAnsiTheme="minorEastAsia" w:eastAsiaTheme="minorEastAsia"/>
                <w:bCs/>
                <w:iCs/>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w:t>
            </w:r>
            <w:r>
              <w:rPr>
                <w:rFonts w:hint="eastAsia" w:ascii="宋体" w:hAnsi="宋体" w:cs="宋体"/>
                <w:sz w:val="21"/>
                <w:szCs w:val="21"/>
              </w:rPr>
              <w:t>1）</w:t>
            </w:r>
            <w:r>
              <w:rPr>
                <w:rFonts w:hint="eastAsia"/>
                <w:sz w:val="21"/>
                <w:szCs w:val="21"/>
              </w:rPr>
              <w:t>火灾；2）触电、3）意外伤害</w:t>
            </w:r>
            <w:r>
              <w:rPr>
                <w:rFonts w:hint="eastAsia" w:asciiTheme="minorEastAsia" w:hAnsiTheme="minorEastAsia" w:eastAsiaTheme="minorEastAsia"/>
                <w:bCs/>
                <w:iCs/>
                <w:sz w:val="21"/>
                <w:szCs w:val="21"/>
              </w:rPr>
              <w:t>），与之相关的过程有服务、信息处理过程，针对不可接受风险制定了管理方案。控制措施实施有效。</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10-2020年3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2.</w:t>
            </w:r>
            <w:r>
              <w:rPr>
                <w:rFonts w:hint="eastAsia" w:ascii="宋体" w:hAnsi="宋体"/>
                <w:b/>
                <w:sz w:val="21"/>
                <w:szCs w:val="21"/>
              </w:rPr>
              <w:t>顾客满意</w:t>
            </w:r>
          </w:p>
          <w:p>
            <w:pPr>
              <w:spacing w:line="240" w:lineRule="exact"/>
              <w:ind w:left="105" w:hanging="105" w:hangingChars="5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firstLine="210" w:firstLineChars="100"/>
              <w:rPr>
                <w:rFonts w:ascii="宋体" w:hAnsi="宋体"/>
                <w:b/>
                <w:sz w:val="21"/>
                <w:szCs w:val="21"/>
              </w:rPr>
            </w:pPr>
            <w:r>
              <w:rPr>
                <w:rFonts w:hint="eastAsia" w:ascii="宋体" w:hAnsi="宋体" w:cs="宋体"/>
                <w:sz w:val="21"/>
                <w:szCs w:val="21"/>
              </w:rPr>
              <w:t>建立有《内部审核控制程序》，规定了内审频次一年一次，内审时间：2020年1月16日，拟定了审核实施表，明确了内审范围，内审人员经培训合格上岗，能力满足要求，未出现审核本部门情况，内审不符合项1项，</w:t>
            </w:r>
            <w:r>
              <w:rPr>
                <w:rFonts w:hint="eastAsia" w:ascii="宋体" w:hAnsi="宋体" w:cs="宋体"/>
                <w:color w:val="000000"/>
                <w:sz w:val="21"/>
                <w:szCs w:val="21"/>
              </w:rPr>
              <w:t>涉及行政部E</w:t>
            </w:r>
            <w:r>
              <w:rPr>
                <w:rFonts w:hint="eastAsia" w:ascii="宋体" w:hAnsi="宋体" w:cs="宋体"/>
                <w:sz w:val="21"/>
                <w:szCs w:val="21"/>
              </w:rPr>
              <w:t>8.1条款办公区域未按要求进行垃圾分类管理，针对该不符合项，已及时采取纠正措施后，经内审员验证关闭。内审的有效性需要改善。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ascii="宋体" w:hAnsi="宋体" w:cs="宋体"/>
                <w:sz w:val="21"/>
                <w:szCs w:val="21"/>
              </w:rPr>
              <w:t>管理评审频次为一年一次、本次管理评审于2020年3月6日由总经理主持完成、提供主要输入材料有各部门总结，输入信息基本充分和满足要求。输出见“管理评审报告”,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rPr>
                <w:rFonts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rPr>
                <w:rFonts w:ascii="宋体" w:hAnsi="宋体"/>
                <w:b/>
                <w:sz w:val="21"/>
                <w:szCs w:val="21"/>
              </w:rPr>
            </w:pPr>
            <w:r>
              <w:rPr>
                <w:rFonts w:hint="eastAsia" w:ascii="宋体" w:hAnsi="宋体"/>
                <w:b/>
                <w:sz w:val="21"/>
                <w:szCs w:val="21"/>
              </w:rPr>
              <w:t xml:space="preserve">  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ind w:firstLine="211" w:firstLineChars="100"/>
              <w:rPr>
                <w:rFonts w:ascii="宋体" w:hAnsi="宋体"/>
                <w:b/>
                <w:sz w:val="21"/>
                <w:szCs w:val="21"/>
              </w:rPr>
            </w:pPr>
            <w:r>
              <w:rPr>
                <w:rFonts w:hint="eastAsia" w:ascii="宋体" w:hAnsi="宋体"/>
                <w:b/>
                <w:sz w:val="21"/>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240" w:lineRule="exact"/>
              <w:rPr>
                <w:rFonts w:ascii="宋体" w:hAnsi="宋体"/>
                <w:b/>
                <w:sz w:val="21"/>
                <w:szCs w:val="21"/>
              </w:rPr>
            </w:pPr>
          </w:p>
          <w:p>
            <w:pPr>
              <w:spacing w:line="240" w:lineRule="exact"/>
              <w:ind w:firstLine="211" w:firstLineChars="100"/>
              <w:rPr>
                <w:rFonts w:ascii="宋体" w:hAnsi="宋体"/>
                <w:b/>
                <w:sz w:val="21"/>
                <w:szCs w:val="21"/>
              </w:rPr>
            </w:pPr>
            <w:r>
              <w:rPr>
                <w:rFonts w:hint="eastAsia" w:ascii="宋体" w:hAnsi="宋体"/>
                <w:b/>
                <w:sz w:val="21"/>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ascii="宋体" w:hAnsi="宋体" w:cs="宋体"/>
                <w:sz w:val="21"/>
                <w:szCs w:val="21"/>
              </w:rPr>
            </w:pPr>
            <w:r>
              <w:rPr>
                <w:rFonts w:hint="eastAsia" w:ascii="宋体" w:hAnsi="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 w:val="21"/>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ind w:left="-120" w:leftChars="-50" w:firstLine="422" w:firstLineChars="200"/>
              <w:rPr>
                <w:rFonts w:ascii="宋体" w:hAnsi="宋体"/>
                <w:b/>
                <w:sz w:val="21"/>
                <w:szCs w:val="21"/>
              </w:rPr>
            </w:pPr>
            <w:r>
              <w:rPr>
                <w:rFonts w:hint="eastAsia" w:ascii="宋体" w:hAnsi="宋体"/>
                <w:b/>
                <w:sz w:val="21"/>
                <w:szCs w:val="21"/>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ascii="宋体" w:hAnsi="宋体"/>
                <w:b/>
                <w:sz w:val="21"/>
                <w:szCs w:val="21"/>
              </w:rPr>
            </w:pPr>
            <w:r>
              <w:rPr>
                <w:rFonts w:hint="eastAsia" w:ascii="宋体" w:hAnsi="宋体"/>
                <w:b/>
                <w:sz w:val="21"/>
                <w:szCs w:val="21"/>
              </w:rPr>
              <w:t>创新情况</w:t>
            </w:r>
          </w:p>
          <w:p>
            <w:pPr>
              <w:spacing w:line="240" w:lineRule="exact"/>
              <w:ind w:left="-120" w:leftChars="-50" w:firstLine="531" w:firstLineChars="252"/>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ascii="宋体" w:hAnsi="宋体"/>
                <w:b/>
                <w:sz w:val="21"/>
                <w:szCs w:val="21"/>
              </w:rPr>
            </w:pPr>
            <w:r>
              <w:rPr>
                <w:rFonts w:hint="eastAsia" w:ascii="宋体" w:hAnsi="宋体"/>
                <w:b/>
                <w:sz w:val="21"/>
                <w:szCs w:val="21"/>
              </w:rPr>
              <w:t>上次不符合的整改情况</w:t>
            </w:r>
          </w:p>
          <w:p>
            <w:pPr>
              <w:spacing w:line="240" w:lineRule="exact"/>
              <w:ind w:left="-120" w:leftChars="-50" w:firstLine="420" w:firstLineChars="200"/>
              <w:rPr>
                <w:rFonts w:ascii="宋体" w:hAnsi="宋体"/>
                <w:b/>
                <w:sz w:val="21"/>
                <w:szCs w:val="21"/>
              </w:rPr>
            </w:pPr>
            <w:r>
              <w:rPr>
                <w:rFonts w:hint="eastAsia" w:ascii="宋体" w:hAnsi="宋体" w:cs="宋体"/>
                <w:sz w:val="21"/>
                <w:szCs w:val="21"/>
              </w:rPr>
              <w:t>上次不符合为E/S8.2条款，经本次审核验证均整改且无类似不符合情况出现。</w:t>
            </w:r>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b/>
          <w:spacing w:val="-10"/>
          <w:szCs w:val="21"/>
        </w:rPr>
      </w:pPr>
    </w:p>
    <w:p>
      <w:pPr>
        <w:snapToGrid w:val="0"/>
        <w:spacing w:line="360" w:lineRule="auto"/>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szCs w:val="21"/>
        </w:rPr>
      </w:pPr>
      <w:r>
        <w:rPr>
          <w:rFonts w:hint="eastAsia" w:ascii="宋体" w:hAnsi="宋体"/>
          <w:b/>
          <w:szCs w:val="21"/>
        </w:rPr>
        <w:t>本</w:t>
      </w:r>
      <w:r>
        <w:rPr>
          <w:rFonts w:hint="eastAsia"/>
          <w:b/>
          <w:sz w:val="26"/>
          <w:szCs w:val="26"/>
        </w:rPr>
        <w:t>次审核共开具不符合项报告1项；其中</w:t>
      </w:r>
      <w:r>
        <w:rPr>
          <w:b/>
          <w:sz w:val="26"/>
          <w:szCs w:val="26"/>
        </w:rPr>
        <w:pict>
          <v:line id="直接连接符 1" o:spid="_x0000_s2053" o:spt="20" style="position:absolute;left:0pt;margin-left:210pt;margin-top:16.2pt;height:0pt;width:0.05pt;z-index:8192;mso-width-relative:page;mso-height-relative:page;" coordsize="21600,21600" o:allowincell="f">
            <v:path arrowok="t"/>
            <v:fill focussize="0,0"/>
            <v:stroke/>
            <v:imagedata o:title=""/>
            <o:lock v:ext="edit"/>
          </v:line>
        </w:pict>
      </w:r>
      <w:r>
        <w:rPr>
          <w:rFonts w:hint="eastAsia"/>
          <w:b/>
          <w:sz w:val="26"/>
          <w:szCs w:val="26"/>
        </w:rPr>
        <w:t>严重不符合 0项，一般不符合 1项，观察项0项。不符合项分布在行政部部门E8.1条款，见不符合</w:t>
      </w:r>
      <w:r>
        <w:rPr>
          <w:rFonts w:hint="eastAsia" w:ascii="宋体" w:hAnsi="宋体"/>
          <w:b/>
          <w:szCs w:val="21"/>
        </w:rPr>
        <w:t>项分布表。（Q/J/E/S分开填写）</w:t>
      </w:r>
    </w:p>
    <w:p>
      <w:pPr>
        <w:tabs>
          <w:tab w:val="left" w:pos="645"/>
        </w:tabs>
        <w:spacing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2"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ascii="宋体" w:hAnsi="宋体"/>
                <w:szCs w:val="21"/>
              </w:rPr>
              <w:t>重庆思恩科信息技术有限公司</w:t>
            </w:r>
            <w:r>
              <w:rPr>
                <w:rFonts w:hint="eastAsia" w:ascii="微软雅黑" w:hAnsi="微软雅黑" w:eastAsia="微软雅黑"/>
                <w:bCs/>
                <w:szCs w:val="24"/>
              </w:rPr>
              <w:t>）的环境、职业健康安全管理体系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spacing w:line="280" w:lineRule="exact"/>
              <w:ind w:left="331" w:leftChars="88" w:hanging="120" w:hangingChars="50"/>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ind w:left="-121" w:leftChars="-405" w:hanging="851" w:hangingChars="326"/>
        <w:rPr>
          <w:rFonts w:hint="eastAsia" w:eastAsia="宋体"/>
          <w:b/>
          <w:color w:val="000000" w:themeColor="text1"/>
          <w:sz w:val="26"/>
          <w:szCs w:val="26"/>
          <w:lang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ascii="仿宋" w:hAnsi="仿宋" w:eastAsia="仿宋" w:cstheme="minorBidi"/>
          <w:color w:val="000000" w:themeColor="text1"/>
          <w:kern w:val="24"/>
          <w:sz w:val="28"/>
          <w:szCs w:val="28"/>
        </w:rPr>
        <w:t>本次审核为远程审核，后续安排现场审核核验。</w:t>
      </w:r>
      <w:r>
        <w:rPr>
          <w:rFonts w:hint="eastAsia" w:ascii="Times New Roman" w:hAnsi="Times New Roman" w:eastAsia="宋体" w:cs="Times New Roman"/>
          <w:b/>
          <w:color w:val="FF0000"/>
          <w:sz w:val="24"/>
          <w:szCs w:val="24"/>
        </w:rPr>
        <w:t>现场验证远程审核的有效性。提供的相关证实经现场验证真实有效。</w:t>
      </w:r>
    </w:p>
    <w:p>
      <w:pPr>
        <w:snapToGrid w:val="0"/>
        <w:spacing w:line="360" w:lineRule="auto"/>
        <w:ind w:left="-211" w:leftChars="-88" w:firstLine="537" w:firstLineChars="223"/>
        <w:rPr>
          <w:rFonts w:ascii="宋体"/>
          <w:b/>
          <w:szCs w:val="21"/>
        </w:rPr>
      </w:pPr>
    </w:p>
    <w:p>
      <w:pPr>
        <w:spacing w:beforeLines="50" w:afterLines="50"/>
        <w:ind w:left="-122" w:leftChars="-51" w:firstLine="120" w:firstLineChars="46"/>
        <w:rPr>
          <w:b/>
          <w:color w:val="FF0000"/>
          <w:sz w:val="26"/>
          <w:szCs w:val="26"/>
        </w:rPr>
      </w:pPr>
    </w:p>
    <w:p>
      <w:pPr>
        <w:tabs>
          <w:tab w:val="left" w:pos="645"/>
        </w:tabs>
        <w:spacing w:afterLines="50" w:line="360" w:lineRule="exact"/>
        <w:rPr>
          <w:b/>
          <w:sz w:val="16"/>
          <w:szCs w:val="16"/>
        </w:rPr>
      </w:pPr>
      <w:r>
        <w:rPr>
          <w:rFonts w:hint="eastAsia"/>
          <w:b/>
          <w:sz w:val="22"/>
          <w:szCs w:val="22"/>
        </w:rPr>
        <w:drawing>
          <wp:anchor distT="0" distB="0" distL="114300" distR="114300" simplePos="0" relativeHeight="251668480" behindDoc="0" locked="0" layoutInCell="1" allowOverlap="1">
            <wp:simplePos x="0" y="0"/>
            <wp:positionH relativeFrom="column">
              <wp:posOffset>1590675</wp:posOffset>
            </wp:positionH>
            <wp:positionV relativeFrom="paragraph">
              <wp:posOffset>189865</wp:posOffset>
            </wp:positionV>
            <wp:extent cx="701675" cy="438785"/>
            <wp:effectExtent l="0" t="0" r="14605" b="317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a:stretch>
                      <a:fillRect/>
                    </a:stretch>
                  </pic:blipFill>
                  <pic:spPr>
                    <a:xfrm>
                      <a:off x="0" y="0"/>
                      <a:ext cx="701675" cy="438785"/>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82816" behindDoc="0" locked="0" layoutInCell="1" allowOverlap="1">
            <wp:simplePos x="0" y="0"/>
            <wp:positionH relativeFrom="column">
              <wp:posOffset>4479925</wp:posOffset>
            </wp:positionH>
            <wp:positionV relativeFrom="paragraph">
              <wp:posOffset>232410</wp:posOffset>
            </wp:positionV>
            <wp:extent cx="728345" cy="455930"/>
            <wp:effectExtent l="0" t="0" r="3175" b="1270"/>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a:stretch>
                      <a:fillRect/>
                    </a:stretch>
                  </pic:blipFill>
                  <pic:spPr>
                    <a:xfrm>
                      <a:off x="0" y="0"/>
                      <a:ext cx="728345" cy="455930"/>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Lines="50" w:line="320" w:lineRule="exact"/>
        <w:ind w:firstLine="552" w:firstLineChars="250"/>
        <w:rPr>
          <w:b/>
          <w:sz w:val="21"/>
        </w:rPr>
      </w:pPr>
      <w:r>
        <w:rPr>
          <w:rFonts w:hint="eastAsia"/>
          <w:b/>
          <w:sz w:val="22"/>
          <w:szCs w:val="22"/>
        </w:rPr>
        <w:drawing>
          <wp:anchor distT="0" distB="0" distL="114300" distR="114300" simplePos="0" relativeHeight="251671552" behindDoc="0" locked="0" layoutInCell="1" allowOverlap="1">
            <wp:simplePos x="0" y="0"/>
            <wp:positionH relativeFrom="column">
              <wp:posOffset>1754505</wp:posOffset>
            </wp:positionH>
            <wp:positionV relativeFrom="paragraph">
              <wp:posOffset>107315</wp:posOffset>
            </wp:positionV>
            <wp:extent cx="438785" cy="455295"/>
            <wp:effectExtent l="0" t="0" r="3175" b="190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7" cstate="print"/>
                    <a:srcRect/>
                    <a:stretch>
                      <a:fillRect/>
                    </a:stretch>
                  </pic:blipFill>
                  <pic:spPr>
                    <a:xfrm>
                      <a:off x="0" y="0"/>
                      <a:ext cx="438785" cy="455295"/>
                    </a:xfrm>
                    <a:prstGeom prst="rect">
                      <a:avLst/>
                    </a:prstGeom>
                    <a:noFill/>
                    <a:ln w="9525">
                      <a:noFill/>
                      <a:miter lim="800000"/>
                      <a:headEnd/>
                      <a:tailEnd/>
                    </a:ln>
                  </pic:spPr>
                </pic:pic>
              </a:graphicData>
            </a:graphic>
          </wp:anchor>
        </w:drawing>
      </w:r>
      <w:r>
        <w:rPr>
          <w:rFonts w:hint="eastAsia"/>
          <w:b/>
          <w:sz w:val="21"/>
        </w:rPr>
        <w:t>审核组组员（签名）：</w:t>
      </w:r>
    </w:p>
    <w:p>
      <w:pPr>
        <w:snapToGrid w:val="0"/>
        <w:spacing w:line="280" w:lineRule="exact"/>
        <w:ind w:firstLine="4006" w:firstLineChars="1900"/>
        <w:rPr>
          <w:b/>
          <w:sz w:val="21"/>
        </w:rPr>
      </w:pPr>
      <w:r>
        <w:rPr>
          <w:rFonts w:hint="eastAsia"/>
          <w:b/>
          <w:sz w:val="21"/>
        </w:rPr>
        <w:t>日期：</w:t>
      </w:r>
      <w:r>
        <w:rPr>
          <w:rFonts w:hint="eastAsia"/>
          <w:b/>
          <w:color w:val="auto"/>
          <w:lang w:val="en-US" w:eastAsia="zh-CN"/>
        </w:rPr>
        <w:t>2020</w:t>
      </w:r>
      <w:r>
        <w:rPr>
          <w:rFonts w:hint="eastAsia"/>
          <w:b/>
          <w:color w:val="auto"/>
        </w:rPr>
        <w:t xml:space="preserve"> </w:t>
      </w:r>
      <w:r>
        <w:rPr>
          <w:rFonts w:hint="eastAsia" w:asciiTheme="minorEastAsia" w:hAnsiTheme="minorEastAsia" w:eastAsiaTheme="minorEastAsia"/>
          <w:b/>
          <w:color w:val="auto"/>
        </w:rPr>
        <w:t>年</w:t>
      </w:r>
      <w:r>
        <w:rPr>
          <w:rFonts w:hint="eastAsia" w:asciiTheme="minorEastAsia" w:hAnsiTheme="minorEastAsia" w:eastAsiaTheme="minorEastAsia"/>
          <w:b/>
          <w:color w:val="auto"/>
          <w:lang w:val="en-US" w:eastAsia="zh-CN"/>
        </w:rPr>
        <w:t>4</w:t>
      </w:r>
      <w:r>
        <w:rPr>
          <w:rFonts w:hint="eastAsia" w:asciiTheme="minorEastAsia" w:hAnsiTheme="minorEastAsia" w:eastAsiaTheme="minorEastAsia"/>
          <w:b/>
          <w:color w:val="auto"/>
        </w:rPr>
        <w:t>月</w:t>
      </w:r>
      <w:r>
        <w:rPr>
          <w:rFonts w:hint="eastAsia" w:asciiTheme="minorEastAsia" w:hAnsiTheme="minorEastAsia" w:eastAsiaTheme="minorEastAsia"/>
          <w:b/>
          <w:color w:val="auto"/>
          <w:lang w:val="en-US" w:eastAsia="zh-CN"/>
        </w:rPr>
        <w:t>8</w:t>
      </w:r>
      <w:r>
        <w:rPr>
          <w:rFonts w:hint="eastAsia" w:asciiTheme="minorEastAsia" w:hAnsiTheme="minorEastAsia" w:eastAsiaTheme="minorEastAsia"/>
          <w:b/>
          <w:color w:val="auto"/>
        </w:rPr>
        <w:t>日</w:t>
      </w:r>
      <w:r>
        <w:rPr>
          <w:rFonts w:hint="eastAsia" w:asciiTheme="minorEastAsia" w:hAnsiTheme="minorEastAsia" w:eastAsiaTheme="minorEastAsia"/>
          <w:b/>
          <w:color w:val="000000" w:themeColor="text1"/>
          <w:lang w:val="en-US" w:eastAsia="zh-CN"/>
        </w:rPr>
        <w:t>/</w:t>
      </w:r>
      <w:r>
        <w:rPr>
          <w:rFonts w:hint="eastAsia"/>
          <w:b/>
          <w:color w:val="FF0000"/>
          <w:lang w:val="en-US" w:eastAsia="zh-CN"/>
        </w:rPr>
        <w:t>2020</w:t>
      </w:r>
      <w:r>
        <w:rPr>
          <w:rFonts w:hint="eastAsia"/>
          <w:b/>
          <w:color w:val="FF0000"/>
        </w:rPr>
        <w:t xml:space="preserve"> </w:t>
      </w:r>
      <w:r>
        <w:rPr>
          <w:rFonts w:hint="eastAsia" w:asciiTheme="minorEastAsia" w:hAnsiTheme="minorEastAsia" w:eastAsiaTheme="minorEastAsia"/>
          <w:b/>
          <w:color w:val="FF0000"/>
        </w:rPr>
        <w:t>年</w:t>
      </w:r>
      <w:r>
        <w:rPr>
          <w:rFonts w:hint="eastAsia" w:asciiTheme="minorEastAsia" w:hAnsiTheme="minorEastAsia" w:eastAsiaTheme="minorEastAsia"/>
          <w:b/>
          <w:color w:val="FF0000"/>
          <w:lang w:val="en-US" w:eastAsia="zh-CN"/>
        </w:rPr>
        <w:t>12</w:t>
      </w:r>
      <w:r>
        <w:rPr>
          <w:rFonts w:hint="eastAsia" w:asciiTheme="minorEastAsia" w:hAnsiTheme="minorEastAsia" w:eastAsiaTheme="minorEastAsia"/>
          <w:b/>
          <w:color w:val="FF0000"/>
        </w:rPr>
        <w:t>月</w:t>
      </w:r>
      <w:r>
        <w:rPr>
          <w:rFonts w:hint="eastAsia" w:asciiTheme="minorEastAsia" w:hAnsiTheme="minorEastAsia" w:eastAsiaTheme="minorEastAsia"/>
          <w:b/>
          <w:color w:val="FF0000"/>
          <w:lang w:val="en-US" w:eastAsia="zh-CN"/>
        </w:rPr>
        <w:t>9</w:t>
      </w:r>
      <w:r>
        <w:rPr>
          <w:rFonts w:hint="eastAsia" w:asciiTheme="minorEastAsia" w:hAnsiTheme="minorEastAsia" w:eastAsiaTheme="minorEastAsia"/>
          <w:b/>
          <w:color w:val="FF0000"/>
        </w:rPr>
        <w:t>日</w:t>
      </w:r>
    </w:p>
    <w:p>
      <w:pPr>
        <w:snapToGrid w:val="0"/>
        <w:spacing w:line="200" w:lineRule="exact"/>
        <w:ind w:firstLine="482" w:firstLineChars="300"/>
        <w:rPr>
          <w:b/>
          <w:sz w:val="16"/>
          <w:szCs w:val="16"/>
        </w:rPr>
      </w:pPr>
    </w:p>
    <w:p>
      <w:pPr>
        <w:tabs>
          <w:tab w:val="left" w:pos="645"/>
        </w:tabs>
        <w:spacing w:afterLines="50" w:line="360" w:lineRule="exact"/>
        <w:rPr>
          <w:b/>
          <w:sz w:val="26"/>
          <w:szCs w:val="2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ascii="宋体" w:hAnsi="宋体"/>
          <w:b/>
          <w:szCs w:val="21"/>
        </w:rPr>
        <w:t>■</w:t>
      </w:r>
      <w:r>
        <w:rPr>
          <w:b/>
          <w:sz w:val="21"/>
          <w:szCs w:val="21"/>
        </w:rPr>
        <w:t>EMS (</w:t>
      </w:r>
      <w:r>
        <w:rPr>
          <w:rFonts w:hint="eastAsia"/>
          <w:b/>
          <w:sz w:val="21"/>
          <w:szCs w:val="21"/>
        </w:rPr>
        <w:t>1</w:t>
      </w:r>
      <w:r>
        <w:rPr>
          <w:b/>
          <w:sz w:val="21"/>
          <w:szCs w:val="21"/>
        </w:rPr>
        <w:t>)</w:t>
      </w:r>
      <w:r>
        <w:rPr>
          <w:rFonts w:hint="eastAsia"/>
          <w:b/>
          <w:sz w:val="21"/>
          <w:szCs w:val="21"/>
        </w:rPr>
        <w:t>个一般不符合，</w:t>
      </w:r>
      <w:r>
        <w:rPr>
          <w:b/>
          <w:sz w:val="21"/>
          <w:szCs w:val="21"/>
        </w:rPr>
        <w:t>(</w:t>
      </w:r>
      <w:r>
        <w:rPr>
          <w:rFonts w:hint="eastAsia"/>
          <w:b/>
          <w:sz w:val="21"/>
          <w:szCs w:val="21"/>
        </w:rPr>
        <w:t>0</w:t>
      </w:r>
      <w:r>
        <w:rPr>
          <w:b/>
          <w:sz w:val="21"/>
          <w:szCs w:val="21"/>
        </w:rPr>
        <w:t xml:space="preserve"> )</w:t>
      </w:r>
      <w:r>
        <w:rPr>
          <w:rFonts w:hint="eastAsia"/>
          <w:b/>
          <w:sz w:val="21"/>
          <w:szCs w:val="21"/>
        </w:rPr>
        <w:t>个严重不符合，</w:t>
      </w:r>
      <w:r>
        <w:rPr>
          <w:rFonts w:hint="eastAsia" w:ascii="宋体" w:hAnsi="宋体"/>
          <w:b/>
          <w:szCs w:val="21"/>
        </w:rPr>
        <w:t>■</w:t>
      </w:r>
      <w:r>
        <w:rPr>
          <w:rFonts w:hint="eastAsia"/>
          <w:b/>
          <w:sz w:val="21"/>
          <w:szCs w:val="21"/>
        </w:rPr>
        <w:t>验证合格□仍有问题</w:t>
      </w:r>
    </w:p>
    <w:p>
      <w:pPr>
        <w:spacing w:line="360" w:lineRule="exact"/>
        <w:ind w:firstLine="843" w:firstLineChars="400"/>
        <w:rPr>
          <w:b/>
          <w:sz w:val="21"/>
          <w:szCs w:val="21"/>
          <w:highlight w:val="green"/>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3950"/>
          <w:tab w:val="left" w:pos="7740"/>
        </w:tabs>
        <w:snapToGrid w:val="0"/>
        <w:spacing w:beforeLines="50"/>
        <w:ind w:firstLine="758" w:firstLineChars="343"/>
        <w:rPr>
          <w:b/>
          <w:sz w:val="21"/>
          <w:szCs w:val="21"/>
          <w:u w:val="single"/>
        </w:rPr>
      </w:pPr>
      <w:r>
        <w:rPr>
          <w:rFonts w:hint="eastAsia"/>
          <w:b/>
          <w:sz w:val="22"/>
          <w:szCs w:val="22"/>
        </w:rPr>
        <w:drawing>
          <wp:anchor distT="0" distB="0" distL="114300" distR="114300" simplePos="0" relativeHeight="251663360" behindDoc="0" locked="0" layoutInCell="1" allowOverlap="1">
            <wp:simplePos x="0" y="0"/>
            <wp:positionH relativeFrom="column">
              <wp:posOffset>1212850</wp:posOffset>
            </wp:positionH>
            <wp:positionV relativeFrom="paragraph">
              <wp:posOffset>38735</wp:posOffset>
            </wp:positionV>
            <wp:extent cx="753110" cy="471805"/>
            <wp:effectExtent l="0" t="0" r="8890" b="63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6" cstate="print"/>
                    <a:srcRect/>
                    <a:stretch>
                      <a:fillRect/>
                    </a:stretch>
                  </pic:blipFill>
                  <pic:spPr>
                    <a:xfrm>
                      <a:off x="0" y="0"/>
                      <a:ext cx="753110" cy="471805"/>
                    </a:xfrm>
                    <a:prstGeom prst="rect">
                      <a:avLst/>
                    </a:prstGeom>
                    <a:noFill/>
                    <a:ln w="9525">
                      <a:noFill/>
                      <a:miter lim="800000"/>
                      <a:headEnd/>
                      <a:tailEnd/>
                    </a:ln>
                  </pic:spPr>
                </pic:pic>
              </a:graphicData>
            </a:graphic>
          </wp:anchor>
        </w:drawing>
      </w:r>
      <w:r>
        <w:rPr>
          <w:rFonts w:hint="eastAsia"/>
          <w:b/>
          <w:sz w:val="21"/>
          <w:szCs w:val="21"/>
        </w:rPr>
        <w:t>组长签字：</w:t>
      </w:r>
      <w:r>
        <w:rPr>
          <w:rFonts w:hint="eastAsia"/>
          <w:b/>
          <w:sz w:val="21"/>
          <w:szCs w:val="21"/>
        </w:rPr>
        <w:tab/>
      </w:r>
      <w:r>
        <w:rPr>
          <w:rFonts w:hint="eastAsia"/>
          <w:b/>
          <w:sz w:val="21"/>
          <w:szCs w:val="21"/>
        </w:rPr>
        <w:t>日期：2020.4.13</w:t>
      </w:r>
    </w:p>
    <w:p>
      <w:pPr>
        <w:ind w:left="783" w:hanging="783" w:hangingChars="300"/>
        <w:rPr>
          <w:rFonts w:hint="eastAsia"/>
          <w:b/>
          <w:sz w:val="26"/>
          <w:szCs w:val="26"/>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8"/>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 xml:space="preserve">认证评定负责人：            日期：  </w:t>
      </w:r>
      <w:r>
        <w:rPr>
          <w:rFonts w:hint="eastAsia"/>
          <w:b/>
          <w:szCs w:val="24"/>
          <w:lang w:val="en-US" w:eastAsia="zh-CN"/>
        </w:rPr>
        <w:t xml:space="preserve"> </w:t>
      </w:r>
      <w:r>
        <w:rPr>
          <w:rFonts w:hint="eastAsia"/>
          <w:b/>
          <w:szCs w:val="24"/>
        </w:rPr>
        <w:t xml:space="preserve"> 年  月   日</w:t>
      </w:r>
    </w:p>
    <w:p>
      <w:pPr>
        <w:numPr>
          <w:ilvl w:val="0"/>
          <w:numId w:val="8"/>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 xml:space="preserve">批准人（总经理）：           日期：   </w:t>
      </w:r>
      <w:r>
        <w:rPr>
          <w:rFonts w:hint="eastAsia"/>
          <w:b/>
          <w:szCs w:val="24"/>
          <w:lang w:val="en-US" w:eastAsia="zh-CN"/>
        </w:rPr>
        <w:t xml:space="preserve"> </w:t>
      </w:r>
      <w:r>
        <w:rPr>
          <w:rFonts w:hint="eastAsia"/>
          <w:b/>
          <w:szCs w:val="24"/>
        </w:rPr>
        <w:t>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7C5C19"/>
    <w:multiLevelType w:val="singleLevel"/>
    <w:tmpl w:val="B57C5C19"/>
    <w:lvl w:ilvl="0" w:tentative="0">
      <w:start w:val="3"/>
      <w:numFmt w:val="decimal"/>
      <w:lvlText w:val="%1."/>
      <w:lvlJc w:val="left"/>
      <w:pPr>
        <w:tabs>
          <w:tab w:val="left" w:pos="312"/>
        </w:tabs>
      </w:pPr>
    </w:lvl>
  </w:abstractNum>
  <w:abstractNum w:abstractNumId="1">
    <w:nsid w:val="E89D2F20"/>
    <w:multiLevelType w:val="singleLevel"/>
    <w:tmpl w:val="E89D2F20"/>
    <w:lvl w:ilvl="0" w:tentative="0">
      <w:start w:val="2"/>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231C104D"/>
    <w:multiLevelType w:val="multilevel"/>
    <w:tmpl w:val="231C104D"/>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095"/>
        </w:tabs>
        <w:ind w:left="1095" w:hanging="36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2680083D"/>
    <w:multiLevelType w:val="singleLevel"/>
    <w:tmpl w:val="2680083D"/>
    <w:lvl w:ilvl="0" w:tentative="0">
      <w:start w:val="8"/>
      <w:numFmt w:val="decimal"/>
      <w:suff w:val="space"/>
      <w:lvlText w:val="%1."/>
      <w:lvlJc w:val="left"/>
    </w:lvl>
  </w:abstractNum>
  <w:abstractNum w:abstractNumId="5">
    <w:nsid w:val="4E957357"/>
    <w:multiLevelType w:val="multilevel"/>
    <w:tmpl w:val="4E957357"/>
    <w:lvl w:ilvl="0" w:tentative="0">
      <w:start w:val="1"/>
      <w:numFmt w:val="decimal"/>
      <w:lvlText w:val="%1)"/>
      <w:lvlJc w:val="left"/>
      <w:pPr>
        <w:tabs>
          <w:tab w:val="left" w:pos="1200"/>
        </w:tabs>
        <w:ind w:left="1200" w:hanging="36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6">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6AE0E81F"/>
    <w:multiLevelType w:val="singleLevel"/>
    <w:tmpl w:val="6AE0E81F"/>
    <w:lvl w:ilvl="0" w:tentative="0">
      <w:start w:val="2"/>
      <w:numFmt w:val="decimal"/>
      <w:suff w:val="nothing"/>
      <w:lvlText w:val="%1、"/>
      <w:lvlJc w:val="left"/>
    </w:lvl>
  </w:abstractNum>
  <w:num w:numId="1">
    <w:abstractNumId w:val="7"/>
  </w:num>
  <w:num w:numId="2">
    <w:abstractNumId w:val="6"/>
  </w:num>
  <w:num w:numId="3">
    <w:abstractNumId w:val="5"/>
  </w:num>
  <w:num w:numId="4">
    <w:abstractNumId w:val="3"/>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B04F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33</TotalTime>
  <ScaleCrop>false</ScaleCrop>
  <LinksUpToDate>false</LinksUpToDate>
  <CharactersWithSpaces>4386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DELL</cp:lastModifiedBy>
  <cp:lastPrinted>2019-04-18T08:15:00Z</cp:lastPrinted>
  <dcterms:modified xsi:type="dcterms:W3CDTF">2020-12-09T04:25:57Z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