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left"/>
        <w:rPr>
          <w:rFonts w:ascii="楷体" w:hAnsi="楷体" w:eastAsia="楷体"/>
          <w:b/>
          <w:bCs/>
          <w:color w:val="000000" w:themeColor="text1"/>
          <w:sz w:val="24"/>
          <w:szCs w:val="24"/>
        </w:rPr>
      </w:pPr>
      <w:bookmarkStart w:id="0" w:name="合同编号"/>
      <w:r>
        <w:rPr>
          <w:rFonts w:hint="eastAsia"/>
          <w:b/>
          <w:bCs/>
          <w:sz w:val="24"/>
          <w:szCs w:val="24"/>
          <w:lang w:val="en-US" w:eastAsia="zh-CN"/>
        </w:rPr>
        <w:t>编号：</w:t>
      </w:r>
      <w:r>
        <w:rPr>
          <w:b/>
          <w:bCs/>
          <w:sz w:val="24"/>
          <w:szCs w:val="24"/>
        </w:rPr>
        <w:t>0043-2020-QEO</w:t>
      </w:r>
      <w:bookmarkEnd w:id="0"/>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重庆兴晟海物流有限公司</w:t>
      </w:r>
      <w:bookmarkEnd w:id="1"/>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2" w:name="Q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3" w:name="E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4" w:name="S勾选"/>
      <w:r>
        <w:rPr>
          <w:rFonts w:hint="eastAsia" w:ascii="楷体" w:hAnsi="楷体" w:eastAsia="楷体"/>
          <w:b/>
          <w:color w:val="000000" w:themeColor="text1"/>
          <w:sz w:val="32"/>
          <w:szCs w:val="32"/>
        </w:rPr>
        <w:t>■</w:t>
      </w:r>
      <w:bookmarkEnd w:id="4"/>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rFonts w:hint="default" w:eastAsia="宋体"/>
                <w:b/>
                <w:color w:val="000000" w:themeColor="text1"/>
                <w:sz w:val="20"/>
                <w:szCs w:val="20"/>
                <w:lang w:val="en-US" w:eastAsia="zh-CN"/>
              </w:rPr>
            </w:pPr>
            <w:r>
              <w:rPr>
                <w:b/>
                <w:color w:val="000000" w:themeColor="text1"/>
                <w:sz w:val="20"/>
                <w:szCs w:val="20"/>
              </w:rPr>
              <w:t>杨珍全</w:t>
            </w:r>
            <w:r>
              <w:rPr>
                <w:rFonts w:hint="eastAsia"/>
                <w:b/>
                <w:color w:val="000000" w:themeColor="text1"/>
                <w:sz w:val="20"/>
                <w:szCs w:val="20"/>
                <w:lang w:eastAsia="zh-CN"/>
              </w:rPr>
              <w:t>（</w:t>
            </w:r>
            <w:r>
              <w:rPr>
                <w:rFonts w:hint="eastAsia"/>
                <w:b/>
                <w:color w:val="000000" w:themeColor="text1"/>
                <w:sz w:val="20"/>
                <w:szCs w:val="20"/>
                <w:lang w:val="en-US" w:eastAsia="zh-CN"/>
              </w:rPr>
              <w:t>远程）</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Q:31.04.01</w:t>
            </w:r>
          </w:p>
          <w:p>
            <w:pPr>
              <w:spacing w:line="240" w:lineRule="exact"/>
              <w:jc w:val="center"/>
              <w:rPr>
                <w:b/>
                <w:color w:val="000000" w:themeColor="text1"/>
                <w:sz w:val="20"/>
                <w:szCs w:val="20"/>
              </w:rPr>
            </w:pPr>
            <w:r>
              <w:rPr>
                <w:b/>
                <w:color w:val="000000" w:themeColor="text1"/>
                <w:sz w:val="20"/>
                <w:szCs w:val="20"/>
              </w:rPr>
              <w:t>E:31.04.01</w:t>
            </w:r>
          </w:p>
          <w:p>
            <w:pPr>
              <w:spacing w:line="240" w:lineRule="exact"/>
              <w:jc w:val="center"/>
              <w:rPr>
                <w:b/>
                <w:color w:val="000000" w:themeColor="text1"/>
                <w:sz w:val="20"/>
                <w:szCs w:val="20"/>
              </w:rPr>
            </w:pPr>
            <w:r>
              <w:rPr>
                <w:b/>
                <w:color w:val="000000" w:themeColor="text1"/>
                <w:sz w:val="20"/>
                <w:szCs w:val="20"/>
              </w:rPr>
              <w:t>O:31.04.01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文平</w:t>
            </w:r>
            <w:r>
              <w:rPr>
                <w:rFonts w:hint="eastAsia"/>
                <w:b/>
                <w:color w:val="000000" w:themeColor="text1"/>
                <w:sz w:val="20"/>
                <w:szCs w:val="20"/>
                <w:lang w:eastAsia="zh-CN"/>
              </w:rPr>
              <w:t>（</w:t>
            </w:r>
            <w:r>
              <w:rPr>
                <w:rFonts w:hint="eastAsia"/>
                <w:b/>
                <w:color w:val="000000" w:themeColor="text1"/>
                <w:sz w:val="20"/>
                <w:szCs w:val="20"/>
                <w:lang w:val="en-US" w:eastAsia="zh-CN"/>
              </w:rPr>
              <w:t>远程）</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Q:31.04.01</w:t>
            </w:r>
          </w:p>
          <w:p>
            <w:pPr>
              <w:spacing w:line="240" w:lineRule="exact"/>
              <w:jc w:val="center"/>
              <w:rPr>
                <w:b/>
                <w:color w:val="000000" w:themeColor="text1"/>
                <w:sz w:val="20"/>
                <w:szCs w:val="20"/>
              </w:rPr>
            </w:pPr>
            <w:r>
              <w:rPr>
                <w:b/>
                <w:color w:val="000000" w:themeColor="text1"/>
                <w:sz w:val="20"/>
                <w:szCs w:val="20"/>
              </w:rPr>
              <w:t>E:31.04.01</w:t>
            </w:r>
          </w:p>
          <w:p>
            <w:pPr>
              <w:spacing w:line="240" w:lineRule="exact"/>
              <w:jc w:val="center"/>
              <w:rPr>
                <w:b/>
                <w:color w:val="000000" w:themeColor="text1"/>
                <w:sz w:val="20"/>
                <w:szCs w:val="20"/>
              </w:rPr>
            </w:pPr>
            <w:r>
              <w:rPr>
                <w:b/>
                <w:color w:val="000000" w:themeColor="text1"/>
                <w:sz w:val="20"/>
                <w:szCs w:val="20"/>
              </w:rPr>
              <w:t>O:31.04.01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rFonts w:hint="default" w:ascii="Times New Roman" w:hAnsi="Times New Roman" w:eastAsia="宋体" w:cs="Times New Roman"/>
                <w:b/>
                <w:color w:val="FF0000"/>
                <w:kern w:val="2"/>
                <w:sz w:val="20"/>
                <w:szCs w:val="20"/>
                <w:lang w:val="en-US" w:eastAsia="zh-CN" w:bidi="ar-SA"/>
              </w:rPr>
            </w:pPr>
            <w:r>
              <w:rPr>
                <w:b/>
                <w:color w:val="FF0000"/>
                <w:sz w:val="20"/>
                <w:szCs w:val="20"/>
              </w:rPr>
              <w:t>杨珍全</w:t>
            </w:r>
            <w:r>
              <w:rPr>
                <w:rFonts w:hint="eastAsia"/>
                <w:b/>
                <w:color w:val="FF0000"/>
                <w:sz w:val="20"/>
                <w:szCs w:val="20"/>
                <w:lang w:eastAsia="zh-CN"/>
              </w:rPr>
              <w:t>（</w:t>
            </w:r>
            <w:r>
              <w:rPr>
                <w:rFonts w:hint="eastAsia"/>
                <w:b/>
                <w:color w:val="FF0000"/>
                <w:sz w:val="20"/>
                <w:szCs w:val="20"/>
                <w:lang w:val="en-US" w:eastAsia="zh-CN"/>
              </w:rPr>
              <w:t>现场）</w:t>
            </w:r>
          </w:p>
        </w:tc>
        <w:tc>
          <w:tcPr>
            <w:tcW w:w="992" w:type="dxa"/>
            <w:vAlign w:val="center"/>
          </w:tcPr>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组长</w:t>
            </w:r>
          </w:p>
        </w:tc>
        <w:tc>
          <w:tcPr>
            <w:tcW w:w="1216" w:type="dxa"/>
            <w:vAlign w:val="center"/>
          </w:tcPr>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男</w:t>
            </w:r>
          </w:p>
        </w:tc>
        <w:tc>
          <w:tcPr>
            <w:tcW w:w="3478" w:type="dxa"/>
            <w:gridSpan w:val="3"/>
            <w:vAlign w:val="center"/>
          </w:tcPr>
          <w:p>
            <w:pPr>
              <w:spacing w:line="240" w:lineRule="exact"/>
              <w:jc w:val="center"/>
              <w:rPr>
                <w:b/>
                <w:color w:val="FF0000"/>
                <w:sz w:val="20"/>
                <w:szCs w:val="20"/>
              </w:rPr>
            </w:pPr>
            <w:r>
              <w:rPr>
                <w:b/>
                <w:color w:val="FF0000"/>
                <w:sz w:val="20"/>
                <w:szCs w:val="20"/>
              </w:rPr>
              <w:t>Q:审核员</w:t>
            </w:r>
          </w:p>
          <w:p>
            <w:pPr>
              <w:spacing w:line="240" w:lineRule="exact"/>
              <w:jc w:val="center"/>
              <w:rPr>
                <w:b/>
                <w:color w:val="FF0000"/>
                <w:sz w:val="20"/>
                <w:szCs w:val="20"/>
              </w:rPr>
            </w:pPr>
            <w:r>
              <w:rPr>
                <w:b/>
                <w:color w:val="FF0000"/>
                <w:sz w:val="20"/>
                <w:szCs w:val="20"/>
              </w:rPr>
              <w:t>E:审核员</w:t>
            </w:r>
          </w:p>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O:审核员</w:t>
            </w:r>
          </w:p>
        </w:tc>
        <w:tc>
          <w:tcPr>
            <w:tcW w:w="2333" w:type="dxa"/>
            <w:gridSpan w:val="2"/>
            <w:vAlign w:val="center"/>
          </w:tcPr>
          <w:p>
            <w:pPr>
              <w:spacing w:line="240" w:lineRule="exact"/>
              <w:jc w:val="center"/>
              <w:rPr>
                <w:b/>
                <w:color w:val="FF0000"/>
                <w:sz w:val="20"/>
                <w:szCs w:val="20"/>
              </w:rPr>
            </w:pPr>
            <w:r>
              <w:rPr>
                <w:b/>
                <w:color w:val="FF0000"/>
                <w:sz w:val="20"/>
                <w:szCs w:val="20"/>
              </w:rPr>
              <w:t>Q:31.04.01</w:t>
            </w:r>
          </w:p>
          <w:p>
            <w:pPr>
              <w:spacing w:line="240" w:lineRule="exact"/>
              <w:jc w:val="center"/>
              <w:rPr>
                <w:b/>
                <w:color w:val="FF0000"/>
                <w:sz w:val="20"/>
                <w:szCs w:val="20"/>
              </w:rPr>
            </w:pPr>
            <w:r>
              <w:rPr>
                <w:b/>
                <w:color w:val="FF0000"/>
                <w:sz w:val="20"/>
                <w:szCs w:val="20"/>
              </w:rPr>
              <w:t>E:31.04.01</w:t>
            </w:r>
          </w:p>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O:31.04.01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宋明珠</w:t>
            </w:r>
            <w:r>
              <w:rPr>
                <w:rFonts w:hint="eastAsia"/>
                <w:b/>
                <w:color w:val="FF0000"/>
                <w:sz w:val="20"/>
                <w:szCs w:val="20"/>
                <w:lang w:eastAsia="zh-CN"/>
              </w:rPr>
              <w:t>（</w:t>
            </w:r>
            <w:r>
              <w:rPr>
                <w:rFonts w:hint="eastAsia"/>
                <w:b/>
                <w:color w:val="FF0000"/>
                <w:sz w:val="20"/>
                <w:szCs w:val="20"/>
                <w:lang w:val="en-US" w:eastAsia="zh-CN"/>
              </w:rPr>
              <w:t>现场）</w:t>
            </w:r>
          </w:p>
        </w:tc>
        <w:tc>
          <w:tcPr>
            <w:tcW w:w="992" w:type="dxa"/>
            <w:vAlign w:val="center"/>
          </w:tcPr>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组员</w:t>
            </w:r>
          </w:p>
        </w:tc>
        <w:tc>
          <w:tcPr>
            <w:tcW w:w="1216" w:type="dxa"/>
            <w:vAlign w:val="center"/>
          </w:tcPr>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男</w:t>
            </w:r>
          </w:p>
        </w:tc>
        <w:tc>
          <w:tcPr>
            <w:tcW w:w="3478" w:type="dxa"/>
            <w:gridSpan w:val="3"/>
            <w:vAlign w:val="center"/>
          </w:tcPr>
          <w:p>
            <w:pPr>
              <w:spacing w:line="240" w:lineRule="exact"/>
              <w:jc w:val="center"/>
              <w:rPr>
                <w:b/>
                <w:color w:val="FF0000"/>
                <w:sz w:val="20"/>
                <w:szCs w:val="20"/>
              </w:rPr>
            </w:pPr>
            <w:r>
              <w:rPr>
                <w:b/>
                <w:color w:val="FF0000"/>
                <w:sz w:val="20"/>
                <w:szCs w:val="20"/>
              </w:rPr>
              <w:t>Q:审核员</w:t>
            </w:r>
          </w:p>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E:审核员</w:t>
            </w:r>
          </w:p>
        </w:tc>
        <w:tc>
          <w:tcPr>
            <w:tcW w:w="2333" w:type="dxa"/>
            <w:gridSpan w:val="2"/>
            <w:vAlign w:val="center"/>
          </w:tcPr>
          <w:p>
            <w:pPr>
              <w:spacing w:line="240" w:lineRule="exact"/>
              <w:jc w:val="center"/>
              <w:rPr>
                <w:rFonts w:ascii="Times New Roman" w:hAnsi="Times New Roman" w:eastAsia="宋体" w:cs="Times New Roman"/>
                <w:b/>
                <w:color w:val="FF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陈伟</w:t>
            </w:r>
            <w:r>
              <w:rPr>
                <w:rFonts w:hint="eastAsia"/>
                <w:b/>
                <w:color w:val="FF0000"/>
                <w:sz w:val="20"/>
                <w:szCs w:val="20"/>
                <w:lang w:eastAsia="zh-CN"/>
              </w:rPr>
              <w:t>（</w:t>
            </w:r>
            <w:r>
              <w:rPr>
                <w:rFonts w:hint="eastAsia"/>
                <w:b/>
                <w:color w:val="FF0000"/>
                <w:sz w:val="20"/>
                <w:szCs w:val="20"/>
                <w:lang w:val="en-US" w:eastAsia="zh-CN"/>
              </w:rPr>
              <w:t>现场）</w:t>
            </w:r>
          </w:p>
        </w:tc>
        <w:tc>
          <w:tcPr>
            <w:tcW w:w="992" w:type="dxa"/>
            <w:vAlign w:val="center"/>
          </w:tcPr>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组员</w:t>
            </w:r>
          </w:p>
        </w:tc>
        <w:tc>
          <w:tcPr>
            <w:tcW w:w="1216" w:type="dxa"/>
            <w:vAlign w:val="center"/>
          </w:tcPr>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男</w:t>
            </w:r>
          </w:p>
        </w:tc>
        <w:tc>
          <w:tcPr>
            <w:tcW w:w="3478" w:type="dxa"/>
            <w:gridSpan w:val="3"/>
            <w:vAlign w:val="center"/>
          </w:tcPr>
          <w:p>
            <w:pPr>
              <w:spacing w:line="240" w:lineRule="exact"/>
              <w:jc w:val="center"/>
              <w:rPr>
                <w:b/>
                <w:color w:val="FF0000"/>
                <w:sz w:val="20"/>
                <w:szCs w:val="20"/>
              </w:rPr>
            </w:pPr>
            <w:r>
              <w:rPr>
                <w:b/>
                <w:color w:val="FF0000"/>
                <w:sz w:val="20"/>
                <w:szCs w:val="20"/>
              </w:rPr>
              <w:t>Q:审核员</w:t>
            </w:r>
          </w:p>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E:实习审核员</w:t>
            </w:r>
          </w:p>
        </w:tc>
        <w:tc>
          <w:tcPr>
            <w:tcW w:w="2333" w:type="dxa"/>
            <w:gridSpan w:val="2"/>
            <w:vAlign w:val="center"/>
          </w:tcPr>
          <w:p>
            <w:pPr>
              <w:spacing w:line="240" w:lineRule="exact"/>
              <w:jc w:val="center"/>
              <w:rPr>
                <w:rFonts w:ascii="Times New Roman" w:hAnsi="Times New Roman" w:eastAsia="宋体" w:cs="Times New Roman"/>
                <w:b/>
                <w:color w:val="FF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5" w:name="审核依据"/>
      <w:r>
        <w:rPr>
          <w:rFonts w:hint="eastAsia" w:ascii="宋体" w:hAnsi="宋体"/>
          <w:b/>
          <w:color w:val="000000" w:themeColor="text1"/>
          <w:spacing w:val="-10"/>
          <w:sz w:val="20"/>
          <w:szCs w:val="20"/>
        </w:rPr>
        <w:t>Q：GB/T19001-2016/ISO9001:2015,E：GB/T 24001-2016/ISO14001:2015,O：ISO 45001：2018</w:t>
      </w:r>
      <w:bookmarkEnd w:id="5"/>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重庆兴晟海物流有限公司</w:t>
            </w:r>
            <w:bookmarkEnd w:id="6"/>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15</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重庆市璧山区璧泉街道观音村</w:t>
            </w:r>
            <w:bookmarkEnd w:id="8"/>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400000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重庆市璧山区璧泉街道观音村铝山路20号</w:t>
            </w:r>
            <w:bookmarkEnd w:id="10"/>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400000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杨显宁</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17685822953</w:t>
            </w:r>
            <w:bookmarkEnd w:id="13"/>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王连友</w:t>
            </w:r>
            <w:bookmarkEnd w:id="15"/>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6" w:name="最高管理者"/>
            <w:bookmarkEnd w:id="16"/>
            <w:r>
              <w:rPr>
                <w:rFonts w:ascii="宋体" w:hAnsi="宋体"/>
                <w:b/>
                <w:color w:val="000000" w:themeColor="text1"/>
                <w:sz w:val="20"/>
                <w:szCs w:val="20"/>
              </w:rPr>
              <w:t>杨显宁</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王勇</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Q：许可范围内的普通货运</w:t>
            </w:r>
          </w:p>
          <w:p>
            <w:pPr>
              <w:spacing w:line="320" w:lineRule="exact"/>
              <w:rPr>
                <w:rFonts w:ascii="宋体" w:hAnsi="宋体"/>
                <w:b/>
                <w:color w:val="000000" w:themeColor="text1"/>
                <w:sz w:val="20"/>
                <w:szCs w:val="20"/>
              </w:rPr>
            </w:pPr>
            <w:r>
              <w:rPr>
                <w:rFonts w:ascii="宋体" w:hAnsi="宋体"/>
                <w:b/>
                <w:color w:val="000000" w:themeColor="text1"/>
                <w:sz w:val="20"/>
                <w:szCs w:val="20"/>
              </w:rPr>
              <w:t>E：许可范围内的普通货运及其场所所涉及的相关环境管理活动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O：许可范围内的普通货运及其场所所涉及的相关职业健康安全管理活动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Q：31.04.01</w:t>
            </w:r>
          </w:p>
          <w:p>
            <w:pPr>
              <w:spacing w:line="320" w:lineRule="exact"/>
              <w:rPr>
                <w:rFonts w:ascii="宋体" w:hAnsi="宋体"/>
                <w:b/>
                <w:color w:val="000000" w:themeColor="text1"/>
                <w:sz w:val="20"/>
                <w:szCs w:val="20"/>
              </w:rPr>
            </w:pPr>
            <w:r>
              <w:rPr>
                <w:rFonts w:ascii="宋体" w:hAnsi="宋体"/>
                <w:b/>
                <w:color w:val="000000" w:themeColor="text1"/>
                <w:sz w:val="20"/>
                <w:szCs w:val="20"/>
              </w:rPr>
              <w:t>E：31.04.01</w:t>
            </w:r>
          </w:p>
          <w:p>
            <w:pPr>
              <w:spacing w:line="320" w:lineRule="exact"/>
              <w:rPr>
                <w:rFonts w:ascii="宋体" w:hAnsi="宋体"/>
                <w:b/>
                <w:color w:val="000000" w:themeColor="text1"/>
                <w:sz w:val="20"/>
                <w:szCs w:val="20"/>
              </w:rPr>
            </w:pPr>
            <w:r>
              <w:rPr>
                <w:rFonts w:ascii="宋体" w:hAnsi="宋体"/>
                <w:b/>
                <w:color w:val="000000" w:themeColor="text1"/>
                <w:sz w:val="20"/>
                <w:szCs w:val="20"/>
              </w:rPr>
              <w:t>O：31.04.01</w:t>
            </w:r>
            <w:bookmarkEnd w:id="19"/>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2019-02-10 0:00:00</w:t>
            </w:r>
            <w:bookmarkEnd w:id="20"/>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vAlign w:val="top"/>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综合部</w:t>
            </w:r>
          </w:p>
        </w:tc>
        <w:tc>
          <w:tcPr>
            <w:tcW w:w="6804" w:type="dxa"/>
            <w:vAlign w:val="top"/>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方针、目标管理；文件、记录控制程；管理评审；内审管理；人员、部门职能职责和权限；风险识别评价管理；环境因素识别评价管理。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hint="eastAsia" w:ascii="宋体" w:hAnsi="宋体"/>
                <w:b/>
                <w:color w:val="000000" w:themeColor="text1"/>
                <w:sz w:val="20"/>
                <w:szCs w:val="20"/>
                <w:lang w:val="en-US" w:eastAsia="zh-CN"/>
              </w:rPr>
              <w:t>市场部</w:t>
            </w:r>
          </w:p>
        </w:tc>
        <w:tc>
          <w:tcPr>
            <w:tcW w:w="6804" w:type="dxa"/>
            <w:vAlign w:val="top"/>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不合格品控制；合同管理；外部供方管理；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hint="eastAsia" w:ascii="宋体" w:hAnsi="宋体"/>
                <w:b/>
                <w:color w:val="000000" w:themeColor="text1"/>
                <w:sz w:val="20"/>
                <w:szCs w:val="20"/>
                <w:lang w:val="en-US" w:eastAsia="zh-CN"/>
              </w:rPr>
              <w:t>运输部</w:t>
            </w:r>
          </w:p>
        </w:tc>
        <w:tc>
          <w:tcPr>
            <w:tcW w:w="6804" w:type="dxa"/>
            <w:vAlign w:val="top"/>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监视和测量设备管理；不合格品控制；纠正和预防措施控制；策划管理；过程监控管理；产品验收管理；设备设施管理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b/>
                <w:color w:val="000000" w:themeColor="text1"/>
                <w:sz w:val="20"/>
                <w:szCs w:val="20"/>
                <w:lang w:val="en-US" w:eastAsia="zh-CN"/>
              </w:rPr>
            </w:pPr>
            <w:r>
              <w:rPr>
                <w:rFonts w:hint="eastAsia" w:ascii="宋体" w:hAnsi="宋体"/>
                <w:b/>
                <w:color w:val="000000" w:themeColor="text1"/>
                <w:sz w:val="20"/>
                <w:szCs w:val="20"/>
              </w:rPr>
              <w:t>财务部</w:t>
            </w:r>
          </w:p>
        </w:tc>
        <w:tc>
          <w:tcPr>
            <w:tcW w:w="6804" w:type="dxa"/>
            <w:vAlign w:val="top"/>
          </w:tcPr>
          <w:p>
            <w:pPr>
              <w:jc w:val="left"/>
              <w:rPr>
                <w:rFonts w:hint="eastAsia" w:ascii="宋体" w:hAnsi="宋体"/>
                <w:b/>
                <w:color w:val="000000" w:themeColor="text1"/>
                <w:sz w:val="20"/>
                <w:szCs w:val="20"/>
                <w:lang w:val="en-US" w:eastAsia="zh-CN"/>
              </w:rPr>
            </w:pPr>
            <w:r>
              <w:rPr>
                <w:rFonts w:hint="eastAsia" w:ascii="宋体" w:hAnsi="宋体"/>
                <w:b/>
                <w:color w:val="000000" w:themeColor="text1"/>
                <w:sz w:val="20"/>
                <w:szCs w:val="20"/>
              </w:rPr>
              <w:t>方针、目标管理；人员、部门职能职责和权限；风险识别评价管理；环境因素识别评价管理。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rFonts w:hint="eastAsia" w:eastAsia="宋体"/>
                <w:b/>
                <w:color w:val="000000" w:themeColor="text1"/>
                <w:sz w:val="20"/>
                <w:szCs w:val="20"/>
                <w:lang w:val="en-US" w:eastAsia="zh-CN"/>
              </w:rPr>
            </w:pPr>
          </w:p>
        </w:tc>
        <w:tc>
          <w:tcPr>
            <w:tcW w:w="1843" w:type="dxa"/>
          </w:tcPr>
          <w:p>
            <w:pPr>
              <w:rPr>
                <w:b/>
                <w:color w:val="000000" w:themeColor="text1"/>
                <w:sz w:val="20"/>
                <w:szCs w:val="20"/>
              </w:rPr>
            </w:pPr>
          </w:p>
        </w:tc>
        <w:tc>
          <w:tcPr>
            <w:tcW w:w="3543" w:type="dxa"/>
          </w:tcPr>
          <w:p>
            <w:pPr>
              <w:rPr>
                <w:rFonts w:hint="eastAsia" w:eastAsia="宋体"/>
                <w:b/>
                <w:color w:val="000000" w:themeColor="text1"/>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szCs w:val="21"/>
              </w:rPr>
              <w:t>许可范围内的普通货运</w:t>
            </w:r>
          </w:p>
        </w:tc>
        <w:tc>
          <w:tcPr>
            <w:tcW w:w="2519"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服务</w:t>
            </w:r>
          </w:p>
        </w:tc>
        <w:tc>
          <w:tcPr>
            <w:tcW w:w="1843" w:type="dxa"/>
          </w:tcPr>
          <w:p>
            <w:pPr>
              <w:rPr>
                <w:b/>
                <w:color w:val="000000" w:themeColor="text1"/>
                <w:sz w:val="20"/>
                <w:szCs w:val="20"/>
              </w:rPr>
            </w:pPr>
          </w:p>
        </w:tc>
        <w:tc>
          <w:tcPr>
            <w:tcW w:w="3543" w:type="dxa"/>
          </w:tcPr>
          <w:p>
            <w:pPr>
              <w:rPr>
                <w:b/>
                <w:color w:val="000000" w:themeColor="text1"/>
                <w:sz w:val="20"/>
                <w:szCs w:val="20"/>
              </w:rPr>
            </w:pPr>
            <w:r>
              <w:rPr>
                <w:rFonts w:hint="eastAsia" w:ascii="宋体" w:hAnsi="宋体" w:cs="宋体"/>
                <w:color w:val="000000"/>
                <w:sz w:val="21"/>
                <w:szCs w:val="21"/>
                <w:shd w:val="clear" w:color="auto" w:fill="FFFFFF"/>
              </w:rPr>
              <w:t>《中华人民共和国道路交通安全法》、《中华人民共和国道路交通安全法实施条例》、《中华人民共和国道路运输条例》、《汽车租赁服务规范》</w:t>
            </w:r>
            <w:r>
              <w:rPr>
                <w:rFonts w:hint="eastAsia" w:ascii="宋体" w:hAnsi="宋体" w:cs="宋体"/>
                <w:sz w:val="21"/>
                <w:szCs w:val="21"/>
                <w:shd w:val="clear" w:color="auto" w:fill="FFFFFF"/>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39" w:leftChars="-337" w:hanging="569" w:hangingChars="271"/>
        <w:rPr>
          <w:b/>
          <w:color w:val="FF0000"/>
          <w:spacing w:val="-10"/>
          <w:szCs w:val="21"/>
        </w:rPr>
      </w:pPr>
      <w:r>
        <w:rPr>
          <w:rFonts w:hint="eastAsia" w:ascii="宋体" w:hAnsi="宋体"/>
        </w:rPr>
        <w:t>■</w:t>
      </w:r>
      <w:r>
        <w:rPr>
          <w:rFonts w:hint="eastAsia"/>
          <w:b/>
          <w:color w:val="000000" w:themeColor="text1"/>
          <w:spacing w:val="-10"/>
          <w:szCs w:val="21"/>
        </w:rPr>
        <w:t xml:space="preserve"> 体系运行时间</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lang w:val="en-US" w:eastAsia="zh-CN"/>
        </w:rPr>
        <w:t>10</w:t>
      </w:r>
      <w:r>
        <w:rPr>
          <w:rFonts w:hint="eastAsia"/>
          <w:b/>
          <w:color w:val="000000" w:themeColor="text1"/>
          <w:spacing w:val="-10"/>
          <w:szCs w:val="21"/>
        </w:rPr>
        <w:t>月</w:t>
      </w:r>
      <w:bookmarkStart w:id="21" w:name="OLE_LINK1"/>
      <w:r>
        <w:rPr>
          <w:rFonts w:hint="eastAsia"/>
          <w:b/>
          <w:color w:val="000000" w:themeColor="text1"/>
          <w:spacing w:val="-10"/>
          <w:szCs w:val="21"/>
          <w:u w:val="single"/>
        </w:rPr>
        <w:t>1</w:t>
      </w:r>
      <w:r>
        <w:rPr>
          <w:rFonts w:hint="eastAsia"/>
          <w:b/>
          <w:color w:val="000000" w:themeColor="text1"/>
          <w:spacing w:val="-10"/>
          <w:szCs w:val="21"/>
          <w:u w:val="single"/>
          <w:lang w:val="en-US" w:eastAsia="zh-CN"/>
        </w:rPr>
        <w:t>5</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u w:val="single"/>
        </w:rPr>
        <w:t xml:space="preserve">  20</w:t>
      </w:r>
      <w:r>
        <w:rPr>
          <w:rFonts w:hint="eastAsia"/>
          <w:b/>
          <w:color w:val="000000" w:themeColor="text1"/>
          <w:spacing w:val="-10"/>
          <w:szCs w:val="21"/>
          <w:u w:val="single"/>
          <w:lang w:val="en-US" w:eastAsia="zh-CN"/>
        </w:rPr>
        <w:t>20</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lang w:val="en-US" w:eastAsia="zh-CN"/>
        </w:rPr>
        <w:t>3</w:t>
      </w:r>
      <w:r>
        <w:rPr>
          <w:rFonts w:hint="eastAsia"/>
          <w:b/>
          <w:color w:val="000000" w:themeColor="text1"/>
          <w:spacing w:val="-10"/>
          <w:szCs w:val="21"/>
        </w:rPr>
        <w:t>月</w:t>
      </w:r>
      <w:r>
        <w:rPr>
          <w:rFonts w:hint="eastAsia"/>
          <w:b/>
          <w:color w:val="000000" w:themeColor="text1"/>
          <w:spacing w:val="-10"/>
          <w:szCs w:val="21"/>
          <w:u w:val="single"/>
          <w:lang w:val="en-US" w:eastAsia="zh-CN"/>
        </w:rPr>
        <w:t>21</w:t>
      </w:r>
      <w:r>
        <w:rPr>
          <w:rFonts w:hint="eastAsia"/>
          <w:b/>
          <w:color w:val="000000" w:themeColor="text1"/>
          <w:spacing w:val="-10"/>
          <w:szCs w:val="21"/>
        </w:rPr>
        <w:t>日。</w:t>
      </w:r>
      <w:r>
        <w:rPr>
          <w:rFonts w:hint="eastAsia"/>
          <w:b/>
          <w:color w:val="FF0000"/>
          <w:spacing w:val="-10"/>
          <w:szCs w:val="21"/>
          <w:lang w:eastAsia="zh-CN"/>
        </w:rPr>
        <w:t>（现场补充审核复盖时间</w:t>
      </w:r>
      <w:r>
        <w:rPr>
          <w:rFonts w:hint="eastAsia"/>
          <w:b/>
          <w:color w:val="FF0000"/>
          <w:spacing w:val="-10"/>
          <w:szCs w:val="21"/>
          <w:lang w:val="en-US" w:eastAsia="zh-CN"/>
        </w:rPr>
        <w:t>2020年3月21日至2020年12月5日）</w:t>
      </w:r>
      <w:r>
        <w:rPr>
          <w:rFonts w:hint="eastAsia"/>
          <w:b/>
          <w:color w:val="FF0000"/>
          <w:spacing w:val="-10"/>
          <w:szCs w:val="21"/>
        </w:rPr>
        <w:t>。</w:t>
      </w:r>
    </w:p>
    <w:p>
      <w:pPr>
        <w:spacing w:line="360" w:lineRule="auto"/>
        <w:ind w:left="-191" w:leftChars="-337" w:hanging="517" w:hangingChars="271"/>
        <w:rPr>
          <w:b/>
          <w:color w:val="000000" w:themeColor="text1"/>
          <w:spacing w:val="-10"/>
          <w:szCs w:val="21"/>
        </w:rPr>
      </w:pP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  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39" w:leftChars="-337" w:hanging="569" w:hangingChars="271"/>
        <w:rPr>
          <w:b/>
          <w:color w:val="000000" w:themeColor="text1"/>
          <w:spacing w:val="-10"/>
          <w:szCs w:val="21"/>
        </w:rPr>
      </w:pPr>
      <w:r>
        <w:rPr>
          <w:rFonts w:hint="eastAsia" w:ascii="宋体" w:hAnsi="宋体"/>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rPr>
                <w:rFonts w:hint="eastAsia" w:ascii="宋体" w:hAnsi="宋体"/>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pPr>
              <w:rPr>
                <w:rFonts w:hint="eastAsia" w:asciiTheme="minorEastAsia" w:hAnsiTheme="minorEastAsia" w:eastAsiaTheme="minorEastAsia" w:cstheme="minorEastAsia"/>
                <w:b w:val="0"/>
                <w:bCs w:val="0"/>
                <w:sz w:val="21"/>
                <w:szCs w:val="21"/>
              </w:rPr>
            </w:pPr>
            <w:r>
              <w:rPr>
                <w:rFonts w:hint="eastAsia" w:ascii="宋体" w:hAnsi="宋体"/>
                <w:szCs w:val="21"/>
              </w:rPr>
              <w:t>质量方针：</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pacing w:val="-20"/>
                <w:sz w:val="21"/>
                <w:szCs w:val="21"/>
              </w:rPr>
              <w:t>专业为先，质量为本</w:t>
            </w:r>
            <w:r>
              <w:rPr>
                <w:rFonts w:hint="eastAsia" w:asciiTheme="minorEastAsia" w:hAnsiTheme="minorEastAsia" w:eastAsiaTheme="minorEastAsia" w:cstheme="minorEastAsia"/>
                <w:b w:val="0"/>
                <w:bCs w:val="0"/>
                <w:spacing w:val="-20"/>
                <w:sz w:val="21"/>
                <w:szCs w:val="21"/>
                <w:lang w:eastAsia="zh-CN"/>
              </w:rPr>
              <w:t>，</w:t>
            </w:r>
            <w:r>
              <w:rPr>
                <w:rFonts w:hint="eastAsia" w:asciiTheme="minorEastAsia" w:hAnsiTheme="minorEastAsia" w:eastAsiaTheme="minorEastAsia" w:cstheme="minorEastAsia"/>
                <w:b w:val="0"/>
                <w:bCs w:val="0"/>
                <w:spacing w:val="-20"/>
                <w:sz w:val="21"/>
                <w:szCs w:val="21"/>
              </w:rPr>
              <w:t>守法诚信，服务至上</w:t>
            </w:r>
            <w:r>
              <w:rPr>
                <w:rFonts w:hint="eastAsia" w:asciiTheme="minorEastAsia" w:hAnsiTheme="minorEastAsia" w:eastAsiaTheme="minorEastAsia" w:cstheme="minorEastAsia"/>
                <w:b w:val="0"/>
                <w:bCs w:val="0"/>
                <w:sz w:val="21"/>
                <w:szCs w:val="21"/>
              </w:rPr>
              <w:t>”。</w:t>
            </w:r>
          </w:p>
          <w:p>
            <w:pPr>
              <w:rPr>
                <w:rFonts w:ascii="宋体" w:hAnsi="宋体" w:cs="宋体"/>
                <w:b/>
                <w:szCs w:val="21"/>
              </w:rPr>
            </w:pPr>
            <w:r>
              <w:rPr>
                <w:rFonts w:hint="eastAsia" w:ascii="宋体" w:hAnsi="宋体"/>
                <w:szCs w:val="21"/>
              </w:rPr>
              <w:t>环境</w:t>
            </w:r>
            <w:r>
              <w:rPr>
                <w:rFonts w:hint="eastAsia" w:ascii="宋体" w:hAnsi="宋体"/>
                <w:szCs w:val="21"/>
                <w:lang w:eastAsia="zh-CN"/>
              </w:rPr>
              <w:t>、职业健康</w:t>
            </w:r>
            <w:r>
              <w:rPr>
                <w:rFonts w:hint="eastAsia" w:ascii="宋体" w:hAnsi="宋体"/>
                <w:szCs w:val="21"/>
                <w:lang w:val="en-US" w:eastAsia="zh-CN"/>
              </w:rPr>
              <w:t>安全</w:t>
            </w:r>
            <w:r>
              <w:rPr>
                <w:rFonts w:hint="eastAsia" w:ascii="宋体" w:hAnsi="宋体"/>
                <w:szCs w:val="21"/>
              </w:rPr>
              <w:t>方针：“</w:t>
            </w:r>
            <w:r>
              <w:rPr>
                <w:rFonts w:hint="eastAsia" w:ascii="宋体" w:hAnsi="宋体" w:cs="宋体"/>
              </w:rPr>
              <w:t>预防为主，</w:t>
            </w:r>
            <w:r>
              <w:rPr>
                <w:rFonts w:hint="eastAsia" w:ascii="宋体" w:hAnsi="宋体" w:cs="宋体"/>
                <w:lang w:eastAsia="zh-CN"/>
              </w:rPr>
              <w:t>强化监督</w:t>
            </w:r>
            <w:r>
              <w:rPr>
                <w:rFonts w:hint="eastAsia" w:ascii="宋体" w:hAnsi="宋体" w:cs="宋体"/>
              </w:rPr>
              <w:t>，以</w:t>
            </w:r>
            <w:r>
              <w:rPr>
                <w:rFonts w:hint="eastAsia" w:ascii="宋体" w:hAnsi="宋体" w:cs="宋体"/>
                <w:lang w:eastAsia="zh-CN"/>
              </w:rPr>
              <w:t>人为本</w:t>
            </w:r>
            <w:r>
              <w:rPr>
                <w:rFonts w:hint="eastAsia" w:ascii="宋体" w:hAnsi="宋体" w:cs="宋体"/>
              </w:rPr>
              <w:t>，</w:t>
            </w:r>
            <w:r>
              <w:rPr>
                <w:rFonts w:hint="eastAsia" w:ascii="宋体" w:hAnsi="宋体" w:cs="宋体"/>
                <w:lang w:eastAsia="zh-CN"/>
              </w:rPr>
              <w:t>降耗减排，科学管理</w:t>
            </w:r>
            <w:r>
              <w:rPr>
                <w:rFonts w:hint="eastAsia" w:ascii="宋体" w:hAnsi="宋体" w:cs="宋体"/>
                <w:szCs w:val="21"/>
              </w:rPr>
              <w:t>”。</w:t>
            </w:r>
          </w:p>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质量管理体系过程有：合同评审、过程监控管理；产品验收管理；监视和测量设备管理；。</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lang w:eastAsia="zh-CN"/>
              </w:rPr>
              <w:t>运输服务</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p>
          <w:p>
            <w:pPr>
              <w:adjustRightInd w:val="0"/>
              <w:spacing w:line="300" w:lineRule="auto"/>
              <w:textAlignment w:val="baseline"/>
              <w:rPr>
                <w:rFonts w:hint="eastAsia" w:ascii="宋体" w:hAnsi="宋体" w:eastAsia="宋体"/>
                <w:sz w:val="21"/>
                <w:szCs w:val="21"/>
                <w:lang w:eastAsia="zh-CN"/>
              </w:rPr>
            </w:pPr>
            <w:r>
              <w:rPr>
                <w:b/>
                <w:color w:val="000000" w:themeColor="text1"/>
                <w:sz w:val="20"/>
                <w:szCs w:val="20"/>
              </w:rPr>
              <w:pict>
                <v:shape id="_x0000_s2050" o:spid="_x0000_s2050" o:spt="32" type="#_x0000_t32" style="position:absolute;left:0pt;margin-left:157.9pt;margin-top:12.75pt;height:0pt;width:261.75pt;z-index:251671552;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1" o:spid="_x0000_s2051" o:spt="32" type="#_x0000_t32" style="position:absolute;left:0pt;margin-left:55.15pt;margin-top:12.75pt;height:0pt;width:42pt;z-index:25167052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w:t>
            </w:r>
            <w:r>
              <w:rPr>
                <w:rFonts w:hint="eastAsia" w:ascii="宋体" w:hAnsi="宋体"/>
                <w:b/>
                <w:color w:val="000000" w:themeColor="text1"/>
                <w:sz w:val="20"/>
                <w:szCs w:val="20"/>
                <w:lang w:val="en-US" w:eastAsia="zh-CN"/>
              </w:rPr>
              <w:t>8.3</w:t>
            </w:r>
            <w:r>
              <w:rPr>
                <w:rFonts w:hint="eastAsia" w:ascii="宋体" w:hAnsi="宋体"/>
                <w:b/>
                <w:color w:val="000000" w:themeColor="text1"/>
                <w:sz w:val="20"/>
                <w:szCs w:val="20"/>
              </w:rPr>
              <w:t xml:space="preserve"> </w:t>
            </w:r>
            <w:r>
              <w:rPr>
                <w:rFonts w:hint="eastAsia" w:ascii="宋体" w:hAnsi="宋体"/>
                <w:b/>
                <w:color w:val="000000" w:themeColor="text1"/>
                <w:sz w:val="20"/>
                <w:szCs w:val="20"/>
                <w:highlight w:val="none"/>
              </w:rPr>
              <w:t xml:space="preserve">  ，不适用理由：</w:t>
            </w:r>
            <w:r>
              <w:rPr>
                <w:rFonts w:hint="eastAsia" w:ascii="宋体" w:hAnsi="宋体"/>
                <w:sz w:val="21"/>
                <w:szCs w:val="21"/>
                <w:highlight w:val="none"/>
              </w:rPr>
              <w:t>公司</w:t>
            </w:r>
            <w:r>
              <w:rPr>
                <w:rFonts w:hint="eastAsia" w:ascii="宋体" w:cs="宋体"/>
                <w:sz w:val="21"/>
                <w:szCs w:val="21"/>
                <w:highlight w:val="none"/>
              </w:rPr>
              <w:t>许可范围内的普通货物运输服务按相应国标和行业标准以</w:t>
            </w:r>
            <w:r>
              <w:rPr>
                <w:rFonts w:hint="eastAsia" w:ascii="宋体" w:cs="宋体"/>
                <w:sz w:val="21"/>
                <w:szCs w:val="21"/>
                <w:highlight w:val="none"/>
                <w:u w:val="single"/>
              </w:rPr>
              <w:t>及客户协议执行，暂</w:t>
            </w:r>
            <w:r>
              <w:rPr>
                <w:rFonts w:hint="eastAsia" w:ascii="宋体" w:hAnsi="宋体"/>
                <w:sz w:val="21"/>
                <w:szCs w:val="21"/>
                <w:highlight w:val="none"/>
                <w:u w:val="single"/>
              </w:rPr>
              <w:t>不涉及设计与开发</w:t>
            </w:r>
            <w:r>
              <w:rPr>
                <w:rFonts w:hint="eastAsia" w:ascii="宋体" w:hAnsi="宋体" w:cs="宋体"/>
                <w:bCs/>
                <w:sz w:val="21"/>
                <w:szCs w:val="21"/>
                <w:u w:val="single"/>
              </w:rPr>
              <w:t xml:space="preserve"> </w:t>
            </w:r>
            <w:r>
              <w:rPr>
                <w:rFonts w:hint="eastAsia" w:ascii="宋体" w:hAnsi="宋体" w:cs="宋体"/>
                <w:bCs/>
                <w:sz w:val="21"/>
                <w:szCs w:val="21"/>
                <w:lang w:eastAsia="zh-CN"/>
              </w:rPr>
              <w:t>。</w:t>
            </w:r>
            <w:r>
              <w:rPr>
                <w:rFonts w:hint="eastAsia" w:ascii="宋体" w:hAnsi="宋体" w:cs="宋体"/>
                <w:bCs/>
                <w:sz w:val="21"/>
                <w:szCs w:val="21"/>
              </w:rPr>
              <w:t xml:space="preserve">  </w:t>
            </w:r>
          </w:p>
          <w:p>
            <w:pPr>
              <w:tabs>
                <w:tab w:val="left" w:pos="540"/>
              </w:tabs>
              <w:spacing w:line="300" w:lineRule="exact"/>
              <w:ind w:left="20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15"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420" w:firstLineChars="200"/>
              <w:rPr>
                <w:rFonts w:ascii="宋体" w:hAnsi="宋体"/>
                <w:b/>
                <w:color w:val="000000" w:themeColor="text1"/>
                <w:spacing w:val="-8"/>
                <w:sz w:val="20"/>
                <w:szCs w:val="20"/>
              </w:rPr>
            </w:pPr>
            <w:r>
              <w:rPr>
                <w:rFonts w:hint="eastAsia" w:ascii="宋体" w:hAnsi="宋体"/>
                <w:color w:val="000000" w:themeColor="text1"/>
              </w:rPr>
              <w:t>组织建立了危险源识别、评价控制程序，识别评价了危险源、风险相关的过程，评价出了重要危险源，与之相关的过程有</w:t>
            </w:r>
            <w:r>
              <w:rPr>
                <w:rFonts w:hint="eastAsia" w:ascii="宋体" w:hAnsi="宋体"/>
                <w:color w:val="000000" w:themeColor="text1"/>
                <w:lang w:eastAsia="zh-CN"/>
              </w:rPr>
              <w:t>仓储、运输</w:t>
            </w:r>
            <w:r>
              <w:rPr>
                <w:rFonts w:hint="eastAsia" w:ascii="宋体" w:hAnsi="宋体"/>
                <w:color w:val="000000" w:themeColor="text1"/>
              </w:rPr>
              <w:t>，针对重要危险源制定了管理方案。控制措施实施有效。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rPr>
                <w:rFonts w:ascii="宋体" w:hAnsi="宋体" w:cs="宋体"/>
                <w:szCs w:val="21"/>
              </w:rPr>
            </w:pPr>
            <w:r>
              <w:rPr>
                <w:rFonts w:hint="eastAsia" w:ascii="宋体" w:hAnsi="宋体" w:cs="宋体"/>
                <w:szCs w:val="21"/>
              </w:rPr>
              <w:t xml:space="preserve">公司质量环境安全目标为：       </w:t>
            </w:r>
            <w:r>
              <w:rPr>
                <w:rFonts w:hint="eastAsia" w:ascii="宋体" w:hAnsi="宋体" w:cs="宋体"/>
                <w:szCs w:val="21"/>
                <w:lang w:eastAsia="zh-CN"/>
              </w:rPr>
              <w:t>考核</w:t>
            </w:r>
            <w:r>
              <w:rPr>
                <w:rFonts w:hint="eastAsia" w:ascii="宋体" w:hAnsi="宋体" w:cs="宋体"/>
                <w:szCs w:val="21"/>
              </w:rPr>
              <w:t>情况（2019年</w:t>
            </w:r>
            <w:r>
              <w:rPr>
                <w:rFonts w:ascii="宋体" w:hAnsi="宋体" w:cs="宋体"/>
                <w:szCs w:val="21"/>
              </w:rPr>
              <w:t>1</w:t>
            </w:r>
            <w:r>
              <w:rPr>
                <w:rFonts w:hint="eastAsia" w:ascii="宋体" w:hAnsi="宋体" w:cs="宋体"/>
                <w:szCs w:val="21"/>
                <w:lang w:val="en-US" w:eastAsia="zh-CN"/>
              </w:rPr>
              <w:t>0</w:t>
            </w:r>
            <w:r>
              <w:rPr>
                <w:rFonts w:hint="eastAsia" w:ascii="宋体" w:hAnsi="宋体" w:cs="宋体"/>
                <w:szCs w:val="21"/>
              </w:rPr>
              <w:t>月-20</w:t>
            </w:r>
            <w:r>
              <w:rPr>
                <w:rFonts w:ascii="宋体" w:hAnsi="宋体" w:cs="宋体"/>
                <w:szCs w:val="21"/>
              </w:rPr>
              <w:t>20</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w:t>
            </w:r>
          </w:p>
          <w:p>
            <w:pPr>
              <w:spacing w:line="360" w:lineRule="auto"/>
              <w:rPr>
                <w:rFonts w:ascii="宋体" w:hAnsi="宋体" w:cs="宋体"/>
                <w:b/>
                <w:highlight w:val="none"/>
              </w:rPr>
            </w:pPr>
            <w:r>
              <w:rPr>
                <w:rFonts w:hint="eastAsia" w:ascii="宋体" w:hAnsi="宋体" w:cs="宋体"/>
                <w:szCs w:val="21"/>
                <w:highlight w:val="none"/>
              </w:rPr>
              <w:t>1）</w:t>
            </w:r>
            <w:r>
              <w:rPr>
                <w:rFonts w:hint="eastAsia" w:ascii="宋体" w:hAnsi="宋体" w:cs="宋体"/>
                <w:szCs w:val="22"/>
                <w:highlight w:val="none"/>
              </w:rPr>
              <w:t>顾客投诉≤3次/年</w:t>
            </w:r>
            <w:r>
              <w:rPr>
                <w:rFonts w:hint="eastAsia" w:ascii="宋体" w:hAnsi="宋体" w:cs="宋体"/>
                <w:szCs w:val="22"/>
                <w:highlight w:val="none"/>
                <w:lang w:eastAsia="zh-CN"/>
              </w:rPr>
              <w:t>；</w:t>
            </w:r>
            <w:r>
              <w:rPr>
                <w:rFonts w:ascii="宋体" w:hAnsi="宋体" w:cs="宋体"/>
                <w:szCs w:val="21"/>
                <w:highlight w:val="none"/>
              </w:rPr>
              <w:t xml:space="preserve">              </w:t>
            </w:r>
            <w:r>
              <w:rPr>
                <w:rFonts w:hint="eastAsia" w:ascii="宋体" w:hAnsi="宋体" w:cs="宋体"/>
                <w:szCs w:val="21"/>
                <w:highlight w:val="none"/>
                <w:lang w:val="en-US" w:eastAsia="zh-CN"/>
              </w:rPr>
              <w:t xml:space="preserve">        0</w:t>
            </w:r>
            <w:r>
              <w:rPr>
                <w:rFonts w:ascii="宋体" w:hAnsi="宋体" w:cs="宋体"/>
                <w:b/>
                <w:highlight w:val="none"/>
              </w:rPr>
              <w:t xml:space="preserve">  </w:t>
            </w:r>
          </w:p>
          <w:p>
            <w:pPr>
              <w:spacing w:line="360" w:lineRule="auto"/>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2"/>
                <w:highlight w:val="none"/>
              </w:rPr>
              <w:t>运输服务合格率100﹪</w:t>
            </w:r>
            <w:r>
              <w:rPr>
                <w:rFonts w:hint="eastAsia" w:ascii="宋体" w:hAnsi="宋体" w:cs="宋体"/>
                <w:szCs w:val="22"/>
                <w:highlight w:val="none"/>
                <w:lang w:eastAsia="zh-CN"/>
              </w:rPr>
              <w:t>；</w:t>
            </w:r>
            <w:r>
              <w:rPr>
                <w:rFonts w:ascii="宋体" w:hAnsi="宋体" w:cs="宋体"/>
                <w:szCs w:val="21"/>
                <w:highlight w:val="none"/>
              </w:rPr>
              <w:t xml:space="preserve">            </w:t>
            </w:r>
            <w:r>
              <w:rPr>
                <w:rFonts w:hint="eastAsia" w:ascii="宋体" w:hAnsi="宋体" w:cs="宋体"/>
                <w:szCs w:val="21"/>
                <w:highlight w:val="none"/>
                <w:lang w:val="en-US" w:eastAsia="zh-CN"/>
              </w:rPr>
              <w:t xml:space="preserve">     100</w:t>
            </w:r>
            <w:r>
              <w:rPr>
                <w:rFonts w:hint="eastAsia" w:ascii="宋体" w:hAnsi="宋体" w:cs="宋体"/>
                <w:szCs w:val="21"/>
                <w:highlight w:val="none"/>
              </w:rPr>
              <w:t>%</w:t>
            </w:r>
          </w:p>
          <w:p>
            <w:pPr>
              <w:spacing w:line="360" w:lineRule="auto"/>
              <w:rPr>
                <w:rFonts w:hint="default" w:ascii="宋体" w:hAnsi="宋体" w:eastAsia="宋体" w:cs="宋体"/>
                <w:szCs w:val="21"/>
                <w:highlight w:val="none"/>
                <w:lang w:val="en-US" w:eastAsia="zh-CN"/>
              </w:rPr>
            </w:pPr>
            <w:r>
              <w:rPr>
                <w:rFonts w:hint="eastAsia" w:ascii="宋体" w:hAnsi="宋体" w:cs="宋体"/>
                <w:szCs w:val="21"/>
                <w:highlight w:val="none"/>
              </w:rPr>
              <w:t>3）</w:t>
            </w:r>
            <w:r>
              <w:rPr>
                <w:rFonts w:hint="eastAsia" w:ascii="宋体" w:hAnsi="宋体" w:cs="宋体"/>
                <w:szCs w:val="22"/>
                <w:highlight w:val="none"/>
              </w:rPr>
              <w:t>满意率调查得分95分以上</w:t>
            </w:r>
            <w:r>
              <w:rPr>
                <w:rFonts w:hint="eastAsia" w:ascii="宋体" w:hAnsi="宋体" w:cs="宋体"/>
                <w:szCs w:val="22"/>
                <w:highlight w:val="none"/>
                <w:lang w:eastAsia="zh-CN"/>
              </w:rPr>
              <w:t>；</w:t>
            </w:r>
            <w:r>
              <w:rPr>
                <w:rFonts w:ascii="宋体" w:hAnsi="宋体" w:cs="宋体"/>
                <w:szCs w:val="21"/>
                <w:highlight w:val="none"/>
              </w:rPr>
              <w:t xml:space="preserve">        </w:t>
            </w:r>
            <w:r>
              <w:rPr>
                <w:rFonts w:hint="eastAsia" w:ascii="宋体" w:hAnsi="宋体" w:cs="宋体"/>
                <w:szCs w:val="21"/>
                <w:highlight w:val="none"/>
                <w:lang w:val="en-US" w:eastAsia="zh-CN"/>
              </w:rPr>
              <w:t xml:space="preserve">     </w:t>
            </w:r>
            <w:r>
              <w:rPr>
                <w:rFonts w:ascii="宋体" w:hAnsi="宋体" w:cs="宋体"/>
                <w:szCs w:val="21"/>
                <w:highlight w:val="none"/>
              </w:rPr>
              <w:t xml:space="preserve"> </w:t>
            </w:r>
            <w:r>
              <w:rPr>
                <w:rFonts w:hint="eastAsia" w:ascii="宋体" w:hAnsi="宋体" w:cs="宋体"/>
                <w:szCs w:val="21"/>
                <w:highlight w:val="none"/>
                <w:lang w:val="en-US" w:eastAsia="zh-CN"/>
              </w:rPr>
              <w:t>99分</w:t>
            </w:r>
          </w:p>
          <w:p>
            <w:pPr>
              <w:spacing w:line="360" w:lineRule="auto"/>
              <w:rPr>
                <w:rFonts w:ascii="宋体" w:hAnsi="宋体" w:cs="宋体"/>
                <w:szCs w:val="21"/>
                <w:highlight w:val="none"/>
              </w:rPr>
            </w:pPr>
            <w:r>
              <w:rPr>
                <w:rFonts w:hint="eastAsia" w:ascii="宋体" w:hAnsi="宋体" w:cs="宋体"/>
                <w:szCs w:val="21"/>
                <w:highlight w:val="none"/>
              </w:rPr>
              <w:t>4）</w:t>
            </w:r>
            <w:r>
              <w:rPr>
                <w:rFonts w:hint="eastAsia" w:ascii="宋体" w:hAnsi="宋体" w:cs="宋体"/>
                <w:szCs w:val="21"/>
                <w:highlight w:val="none"/>
                <w:lang w:eastAsia="zh-CN"/>
              </w:rPr>
              <w:t>废弃物的回收率达到100%</w:t>
            </w:r>
            <w:r>
              <w:rPr>
                <w:rFonts w:hint="eastAsia" w:ascii="宋体" w:hAnsi="宋体" w:cs="宋体"/>
                <w:szCs w:val="22"/>
                <w:highlight w:val="none"/>
                <w:lang w:eastAsia="zh-CN"/>
              </w:rPr>
              <w:t>；</w:t>
            </w:r>
            <w:r>
              <w:rPr>
                <w:rFonts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100%</w:t>
            </w:r>
          </w:p>
          <w:p>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5）</w:t>
            </w:r>
            <w:r>
              <w:rPr>
                <w:rFonts w:hint="eastAsia" w:ascii="宋体" w:hAnsi="宋体" w:cs="宋体"/>
                <w:szCs w:val="22"/>
                <w:highlight w:val="none"/>
                <w:lang w:val="en-US" w:eastAsia="zh-CN"/>
              </w:rPr>
              <w:t>安全服务事故次数为0</w:t>
            </w:r>
            <w:r>
              <w:rPr>
                <w:rFonts w:hint="eastAsia" w:ascii="宋体" w:hAnsi="宋体" w:cs="宋体"/>
                <w:szCs w:val="22"/>
                <w:highlight w:val="none"/>
                <w:lang w:eastAsia="zh-CN"/>
              </w:rPr>
              <w:t>；</w:t>
            </w:r>
            <w:r>
              <w:rPr>
                <w:rFonts w:ascii="宋体" w:hAnsi="宋体" w:cs="宋体"/>
                <w:szCs w:val="21"/>
                <w:highlight w:val="none"/>
              </w:rPr>
              <w:t xml:space="preserve">     </w:t>
            </w:r>
            <w:r>
              <w:rPr>
                <w:rFonts w:hint="eastAsia" w:ascii="宋体" w:hAnsi="宋体" w:cs="宋体"/>
                <w:szCs w:val="21"/>
                <w:highlight w:val="none"/>
                <w:lang w:val="en-US" w:eastAsia="zh-CN"/>
              </w:rPr>
              <w:t xml:space="preserve">           </w:t>
            </w:r>
            <w:r>
              <w:rPr>
                <w:rFonts w:ascii="宋体" w:hAnsi="宋体" w:cs="宋体"/>
                <w:szCs w:val="21"/>
                <w:highlight w:val="none"/>
              </w:rPr>
              <w:t xml:space="preserve"> </w:t>
            </w:r>
            <w:r>
              <w:rPr>
                <w:rFonts w:hint="eastAsia" w:ascii="宋体" w:hAnsi="宋体" w:cs="宋体"/>
                <w:szCs w:val="21"/>
                <w:highlight w:val="none"/>
                <w:lang w:val="en-US" w:eastAsia="zh-CN"/>
              </w:rPr>
              <w:t xml:space="preserve"> 0</w:t>
            </w:r>
          </w:p>
          <w:p>
            <w:pPr>
              <w:pStyle w:val="2"/>
              <w:rPr>
                <w:rFonts w:hint="eastAsia" w:ascii="宋体" w:hAnsi="宋体" w:eastAsia="宋体" w:cs="宋体"/>
                <w:szCs w:val="22"/>
                <w:highlight w:val="none"/>
                <w:lang w:val="en-US" w:eastAsia="zh-CN"/>
              </w:rPr>
            </w:pPr>
            <w:r>
              <w:rPr>
                <w:rFonts w:hint="eastAsia" w:ascii="宋体" w:hAnsi="宋体" w:cs="宋体"/>
                <w:szCs w:val="21"/>
                <w:highlight w:val="none"/>
                <w:lang w:val="en-US" w:eastAsia="zh-CN"/>
              </w:rPr>
              <w:t>6）</w:t>
            </w:r>
            <w:r>
              <w:rPr>
                <w:rFonts w:hint="eastAsia" w:ascii="宋体" w:hAnsi="宋体" w:cs="宋体"/>
                <w:szCs w:val="22"/>
                <w:highlight w:val="none"/>
                <w:lang w:val="en-US" w:eastAsia="zh-CN"/>
              </w:rPr>
              <w:t>火灾事故发生次数为0</w:t>
            </w:r>
            <w:r>
              <w:rPr>
                <w:rFonts w:hint="eastAsia" w:ascii="宋体" w:hAnsi="宋体" w:cs="宋体"/>
                <w:szCs w:val="22"/>
                <w:highlight w:val="none"/>
                <w:lang w:eastAsia="zh-CN"/>
              </w:rPr>
              <w:t>；</w:t>
            </w:r>
            <w:r>
              <w:rPr>
                <w:rFonts w:hint="eastAsia" w:ascii="宋体" w:hAnsi="宋体" w:cs="宋体"/>
                <w:szCs w:val="22"/>
                <w:highlight w:val="none"/>
                <w:lang w:val="en-US" w:eastAsia="zh-CN"/>
              </w:rPr>
              <w:t xml:space="preserve">             </w:t>
            </w:r>
            <w:r>
              <w:rPr>
                <w:rFonts w:hint="eastAsia" w:ascii="宋体" w:hAnsi="宋体" w:cs="宋体"/>
                <w:szCs w:val="21"/>
                <w:highlight w:val="none"/>
                <w:lang w:val="en-US" w:eastAsia="zh-CN"/>
              </w:rPr>
              <w:t>0</w:t>
            </w:r>
          </w:p>
          <w:p>
            <w:pPr>
              <w:pStyle w:val="2"/>
              <w:rPr>
                <w:rFonts w:ascii="宋体" w:hAnsi="宋体"/>
                <w:b/>
                <w:color w:val="000000" w:themeColor="text1"/>
              </w:rPr>
            </w:pPr>
            <w:r>
              <w:rPr>
                <w:rFonts w:hint="eastAsia" w:ascii="宋体" w:hAnsi="宋体" w:cs="宋体"/>
                <w:szCs w:val="22"/>
                <w:highlight w:val="none"/>
                <w:lang w:val="en-US" w:eastAsia="zh-CN"/>
              </w:rPr>
              <w:t>7）交通事故年度不超过3起</w:t>
            </w:r>
            <w:r>
              <w:rPr>
                <w:rFonts w:hint="eastAsia" w:ascii="宋体" w:hAnsi="宋体" w:cs="宋体"/>
                <w:szCs w:val="22"/>
                <w:highlight w:val="none"/>
                <w:lang w:eastAsia="zh-CN"/>
              </w:rPr>
              <w:t>；</w:t>
            </w:r>
            <w:r>
              <w:rPr>
                <w:rFonts w:hint="eastAsia" w:ascii="宋体" w:hAnsi="宋体" w:cs="宋体"/>
                <w:szCs w:val="22"/>
                <w:highlight w:val="none"/>
                <w:lang w:val="en-US" w:eastAsia="zh-CN"/>
              </w:rPr>
              <w:t xml:space="preserve">           </w:t>
            </w:r>
            <w:r>
              <w:rPr>
                <w:rFonts w:hint="eastAsia" w:ascii="宋体" w:hAnsi="宋体" w:cs="宋体"/>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 xml:space="preserve">2019 </w:t>
            </w:r>
            <w:r>
              <w:rPr>
                <w:rFonts w:hint="eastAsia" w:ascii="宋体" w:hAnsi="宋体" w:cs="宋体"/>
                <w:color w:val="000000" w:themeColor="text1"/>
              </w:rPr>
              <w:t>年</w:t>
            </w:r>
            <w:r>
              <w:rPr>
                <w:rFonts w:hint="eastAsia" w:ascii="宋体" w:hAnsi="宋体" w:cs="宋体"/>
                <w:color w:val="000000" w:themeColor="text1"/>
                <w:lang w:val="en-US" w:eastAsia="zh-CN"/>
              </w:rPr>
              <w:t>10</w:t>
            </w:r>
            <w:r>
              <w:rPr>
                <w:rFonts w:hint="eastAsia" w:ascii="宋体" w:hAnsi="宋体" w:cs="宋体"/>
                <w:color w:val="000000" w:themeColor="text1"/>
              </w:rPr>
              <w:t>月1</w:t>
            </w:r>
            <w:r>
              <w:rPr>
                <w:rFonts w:hint="eastAsia" w:ascii="宋体" w:hAnsi="宋体" w:cs="宋体"/>
                <w:color w:val="000000" w:themeColor="text1"/>
                <w:lang w:val="en-US" w:eastAsia="zh-CN"/>
              </w:rPr>
              <w:t>5</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人力资源管理</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rPr>
                <w:rFonts w:ascii="宋体" w:hAnsi="宋体"/>
                <w:b/>
                <w:color w:val="000000" w:themeColor="text1"/>
                <w:sz w:val="20"/>
                <w:szCs w:val="20"/>
              </w:rPr>
            </w:pPr>
            <w:r>
              <w:rPr>
                <w:rFonts w:hint="eastAsia" w:ascii="宋体" w:hAnsi="宋体"/>
                <w:szCs w:val="21"/>
              </w:rPr>
              <w:t>办</w:t>
            </w:r>
            <w:r>
              <w:rPr>
                <w:rFonts w:hint="eastAsia" w:ascii="宋体" w:hAnsi="宋体"/>
                <w:szCs w:val="21"/>
                <w:highlight w:val="none"/>
              </w:rPr>
              <w:t>公场所面积</w:t>
            </w:r>
            <w:r>
              <w:rPr>
                <w:rFonts w:hint="eastAsia" w:ascii="宋体" w:hAnsi="宋体"/>
                <w:szCs w:val="21"/>
                <w:highlight w:val="none"/>
                <w:lang w:val="en-US" w:eastAsia="zh-CN"/>
              </w:rPr>
              <w:t>2</w:t>
            </w:r>
            <w:r>
              <w:rPr>
                <w:rFonts w:hint="eastAsia" w:ascii="宋体" w:hAnsi="宋体"/>
                <w:szCs w:val="21"/>
                <w:highlight w:val="none"/>
              </w:rPr>
              <w:t>00平方左右，</w:t>
            </w:r>
            <w:r>
              <w:rPr>
                <w:rFonts w:hint="eastAsia" w:ascii="宋体" w:hAnsi="宋体"/>
                <w:szCs w:val="21"/>
                <w:highlight w:val="none"/>
                <w:lang w:val="en-US" w:eastAsia="zh-CN"/>
              </w:rPr>
              <w:t>仓储</w:t>
            </w:r>
            <w:r>
              <w:rPr>
                <w:rFonts w:hint="eastAsia" w:ascii="宋体" w:hAnsi="宋体"/>
                <w:szCs w:val="21"/>
                <w:highlight w:val="none"/>
              </w:rPr>
              <w:t>面积</w:t>
            </w:r>
            <w:r>
              <w:rPr>
                <w:rFonts w:hint="eastAsia" w:ascii="宋体" w:hAnsi="宋体"/>
                <w:szCs w:val="21"/>
                <w:highlight w:val="none"/>
                <w:lang w:val="en-US" w:eastAsia="zh-CN"/>
              </w:rPr>
              <w:t>800</w:t>
            </w:r>
            <w:r>
              <w:rPr>
                <w:rFonts w:hint="eastAsia" w:ascii="宋体" w:hAnsi="宋体"/>
                <w:szCs w:val="21"/>
                <w:highlight w:val="none"/>
              </w:rPr>
              <w:t>平方。</w:t>
            </w:r>
            <w:r>
              <w:rPr>
                <w:rFonts w:hint="eastAsia" w:ascii="宋体" w:hAnsi="宋体" w:cs="宋体"/>
                <w:szCs w:val="21"/>
              </w:rPr>
              <w:t>主要生产设备包括</w:t>
            </w:r>
            <w:r>
              <w:rPr>
                <w:rFonts w:hint="eastAsia" w:ascii="宋体" w:hAnsi="宋体"/>
                <w:szCs w:val="21"/>
                <w:lang w:eastAsia="zh-CN"/>
              </w:rPr>
              <w:t>电脑及办公设备、</w:t>
            </w:r>
            <w:r>
              <w:rPr>
                <w:rFonts w:hint="eastAsia" w:ascii="宋体" w:hAnsi="宋体"/>
                <w:szCs w:val="21"/>
              </w:rPr>
              <w:t>卫星定位系统</w:t>
            </w:r>
            <w:r>
              <w:rPr>
                <w:rFonts w:hint="eastAsia" w:ascii="宋体" w:hAnsi="宋体"/>
                <w:szCs w:val="21"/>
                <w:lang w:eastAsia="zh-CN"/>
              </w:rPr>
              <w:t>（北斗</w:t>
            </w:r>
            <w:r>
              <w:rPr>
                <w:rFonts w:hint="eastAsia" w:ascii="宋体" w:hAnsi="宋体"/>
                <w:szCs w:val="21"/>
                <w:lang w:val="en-US" w:eastAsia="zh-CN"/>
              </w:rPr>
              <w:t>/</w:t>
            </w:r>
            <w:r>
              <w:rPr>
                <w:rFonts w:hint="eastAsia" w:ascii="宋体" w:hAnsi="宋体"/>
                <w:szCs w:val="21"/>
                <w:lang w:eastAsia="zh-CN"/>
              </w:rPr>
              <w:t>GPS）、</w:t>
            </w:r>
            <w:r>
              <w:rPr>
                <w:rFonts w:hint="eastAsia" w:ascii="宋体" w:hAnsi="宋体" w:cs="宋体"/>
                <w:kern w:val="0"/>
                <w:szCs w:val="21"/>
                <w:lang w:eastAsia="zh-CN"/>
              </w:rPr>
              <w:t>重型厢式汽车、手动叉车</w:t>
            </w:r>
            <w:r>
              <w:rPr>
                <w:rFonts w:hint="eastAsia" w:ascii="宋体" w:hAnsi="宋体" w:cs="宋体"/>
                <w:szCs w:val="21"/>
              </w:rPr>
              <w:t>等</w:t>
            </w:r>
            <w:r>
              <w:rPr>
                <w:rFonts w:hint="eastAsia" w:ascii="宋体" w:hAnsi="宋体"/>
                <w:szCs w:val="21"/>
              </w:rPr>
              <w:t>，可以满足许可范围内的普通货运</w:t>
            </w:r>
            <w:r>
              <w:rPr>
                <w:rFonts w:hint="eastAsia" w:ascii="宋体" w:hAnsi="宋体"/>
                <w:szCs w:val="21"/>
                <w:lang w:eastAsia="zh-CN"/>
              </w:rPr>
              <w:t>服务的</w:t>
            </w:r>
            <w:r>
              <w:rPr>
                <w:rFonts w:hint="eastAsia" w:ascii="宋体" w:hAnsi="宋体" w:cs="宋体"/>
                <w:szCs w:val="21"/>
              </w:rPr>
              <w:t>需</w:t>
            </w:r>
            <w:r>
              <w:rPr>
                <w:rFonts w:hint="eastAsia" w:ascii="宋体" w:hAnsi="宋体"/>
                <w:szCs w:val="21"/>
              </w:rPr>
              <w:t>要</w:t>
            </w:r>
            <w:r>
              <w:rPr>
                <w:rFonts w:hint="eastAsia" w:ascii="宋体" w:hAnsi="宋体" w:cs="宋体"/>
                <w:szCs w:val="21"/>
              </w:rPr>
              <w:t>。对设备按月方式进行维护保养，并实施。特种设备：无。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ascii="宋体" w:hAnsi="宋体" w:cs="宋体"/>
                <w:szCs w:val="21"/>
              </w:rPr>
              <w:t>办公、</w:t>
            </w:r>
            <w:r>
              <w:rPr>
                <w:rFonts w:hint="eastAsia" w:ascii="宋体" w:hAnsi="宋体"/>
                <w:szCs w:val="21"/>
              </w:rPr>
              <w:t>维修服务</w:t>
            </w:r>
            <w:r>
              <w:rPr>
                <w:rFonts w:hint="eastAsia" w:ascii="宋体" w:hAnsi="宋体" w:cs="宋体"/>
                <w:szCs w:val="21"/>
              </w:rPr>
              <w:t>场所和内设备布置合理，通道畅通，照明设施齐全，均配备了消防设施等设施。办公室明亮，培训场所光线较充足。每月由</w:t>
            </w:r>
            <w:r>
              <w:rPr>
                <w:rFonts w:hint="eastAsia" w:ascii="宋体" w:hAnsi="宋体" w:cs="宋体"/>
                <w:szCs w:val="21"/>
                <w:lang w:eastAsia="zh-CN"/>
              </w:rPr>
              <w:t>综合部</w:t>
            </w:r>
            <w:r>
              <w:rPr>
                <w:rFonts w:hint="eastAsia" w:ascii="宋体" w:hAnsi="宋体" w:cs="宋体"/>
                <w:szCs w:val="21"/>
              </w:rPr>
              <w:t>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400" w:lineRule="exact"/>
              <w:rPr>
                <w:rFonts w:ascii="宋体" w:hAnsi="宋体"/>
                <w:b/>
                <w:color w:val="000000" w:themeColor="text1"/>
                <w:sz w:val="20"/>
                <w:szCs w:val="20"/>
              </w:rPr>
            </w:pPr>
            <w:r>
              <w:rPr>
                <w:rFonts w:hint="eastAsia" w:ascii="宋体" w:hAnsi="宋体"/>
                <w:szCs w:val="21"/>
              </w:rPr>
              <w:t>卫星定位系统</w:t>
            </w:r>
            <w:r>
              <w:rPr>
                <w:rFonts w:hint="eastAsia" w:ascii="宋体" w:hAnsi="宋体"/>
                <w:szCs w:val="21"/>
                <w:lang w:eastAsia="zh-CN"/>
              </w:rPr>
              <w:t>（北斗</w:t>
            </w:r>
            <w:r>
              <w:rPr>
                <w:rFonts w:hint="eastAsia" w:ascii="宋体" w:hAnsi="宋体"/>
                <w:szCs w:val="21"/>
                <w:lang w:val="en-US" w:eastAsia="zh-CN"/>
              </w:rPr>
              <w:t>/GPS）</w:t>
            </w:r>
            <w:r>
              <w:rPr>
                <w:rFonts w:hint="eastAsia" w:ascii="宋体" w:hAnsi="宋体"/>
                <w:szCs w:val="21"/>
              </w:rPr>
              <w:t>，由</w:t>
            </w:r>
            <w:r>
              <w:rPr>
                <w:rFonts w:hint="eastAsia" w:ascii="宋体" w:hAnsi="宋体" w:cs="宋体"/>
                <w:szCs w:val="21"/>
                <w:highlight w:val="none"/>
                <w:lang w:eastAsia="zh-CN"/>
              </w:rPr>
              <w:t>重庆市</w:t>
            </w:r>
            <w:r>
              <w:rPr>
                <w:rFonts w:hint="eastAsia" w:ascii="宋体" w:hAnsi="宋体" w:cs="宋体"/>
                <w:szCs w:val="21"/>
                <w:highlight w:val="none"/>
              </w:rPr>
              <w:t>北</w:t>
            </w:r>
            <w:r>
              <w:rPr>
                <w:rFonts w:hint="eastAsia" w:ascii="宋体" w:hAnsi="宋体" w:cs="宋体"/>
                <w:szCs w:val="21"/>
                <w:highlight w:val="none"/>
                <w:lang w:eastAsia="zh-CN"/>
              </w:rPr>
              <w:t>导</w:t>
            </w:r>
            <w:r>
              <w:rPr>
                <w:rFonts w:hint="eastAsia" w:ascii="宋体" w:hAnsi="宋体" w:cs="宋体"/>
                <w:szCs w:val="21"/>
                <w:highlight w:val="none"/>
              </w:rPr>
              <w:t>科技</w:t>
            </w:r>
            <w:r>
              <w:rPr>
                <w:rFonts w:hint="eastAsia" w:ascii="宋体" w:hAnsi="宋体" w:cs="宋体"/>
                <w:szCs w:val="21"/>
                <w:highlight w:val="none"/>
                <w:lang w:eastAsia="zh-CN"/>
              </w:rPr>
              <w:t>发展</w:t>
            </w:r>
            <w:r>
              <w:rPr>
                <w:rFonts w:hint="eastAsia" w:ascii="宋体" w:hAnsi="宋体" w:cs="宋体"/>
                <w:szCs w:val="21"/>
                <w:highlight w:val="none"/>
              </w:rPr>
              <w:t>有限公司</w:t>
            </w:r>
            <w:r>
              <w:rPr>
                <w:rFonts w:hint="eastAsia" w:ascii="宋体" w:hAnsi="宋体"/>
                <w:szCs w:val="21"/>
              </w:rPr>
              <w:t>安装确认和维护</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环保设施：</w:t>
            </w:r>
          </w:p>
          <w:p>
            <w:pPr>
              <w:spacing w:line="240" w:lineRule="exact"/>
              <w:rPr>
                <w:rFonts w:ascii="宋体" w:hAnsi="宋体"/>
                <w:sz w:val="20"/>
                <w:szCs w:val="20"/>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职业健康安全设施：</w:t>
            </w:r>
          </w:p>
          <w:p>
            <w:pPr>
              <w:spacing w:line="240" w:lineRule="exact"/>
              <w:rPr>
                <w:rFonts w:ascii="宋体" w:hAnsi="宋体"/>
                <w:sz w:val="20"/>
                <w:szCs w:val="20"/>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szCs w:val="21"/>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ascii="宋体" w:hAnsi="宋体" w:cs="Arial"/>
                <w:szCs w:val="21"/>
              </w:rPr>
              <w:t>与安全健康管理有关的法律法规，包括《劳动合同法》、《工伤保险条例》、《职业病防治法》等关于员工权益、保险等内容</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color w:val="000000" w:themeColor="text1"/>
                <w:sz w:val="20"/>
                <w:szCs w:val="20"/>
              </w:rPr>
            </w:pPr>
            <w:r>
              <w:rPr>
                <w:rFonts w:hint="eastAsia"/>
                <w:b/>
                <w:color w:val="000000" w:themeColor="text1"/>
                <w:sz w:val="20"/>
                <w:szCs w:val="20"/>
              </w:rPr>
              <w:t>无</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pStyle w:val="11"/>
              <w:tabs>
                <w:tab w:val="center" w:pos="3169"/>
              </w:tabs>
              <w:spacing w:line="400" w:lineRule="exact"/>
              <w:ind w:firstLine="0" w:firstLineChars="0"/>
              <w:jc w:val="left"/>
              <w:rPr>
                <w:b/>
                <w:color w:val="000000" w:themeColor="text1"/>
                <w:sz w:val="20"/>
                <w:szCs w:val="20"/>
              </w:rPr>
            </w:pPr>
            <w:r>
              <w:rPr>
                <w:rFonts w:hint="eastAsia" w:asciiTheme="minorEastAsia" w:hAnsiTheme="minorEastAsia" w:eastAsiaTheme="minorEastAsia"/>
                <w:bCs/>
                <w:iCs/>
              </w:rPr>
              <w:t>组织重要环境因素为</w:t>
            </w:r>
            <w:r>
              <w:rPr>
                <w:rFonts w:hint="eastAsia" w:ascii="宋体" w:hAnsi="宋体" w:cs="宋体"/>
                <w:szCs w:val="21"/>
                <w:lang w:eastAsia="zh-CN"/>
              </w:rPr>
              <w:t>潜在</w:t>
            </w:r>
            <w:r>
              <w:rPr>
                <w:rFonts w:hint="eastAsia" w:ascii="宋体" w:hAnsi="宋体" w:cs="宋体"/>
                <w:szCs w:val="21"/>
              </w:rPr>
              <w:t>火灾</w:t>
            </w:r>
            <w:r>
              <w:rPr>
                <w:rFonts w:hint="eastAsia" w:ascii="宋体" w:hAnsi="宋体" w:cs="宋体"/>
                <w:szCs w:val="21"/>
                <w:lang w:eastAsia="zh-CN"/>
              </w:rPr>
              <w:t>、固废</w:t>
            </w:r>
            <w:r>
              <w:rPr>
                <w:rFonts w:hint="eastAsia" w:ascii="宋体" w:hAnsi="宋体" w:cs="宋体"/>
                <w:szCs w:val="21"/>
              </w:rPr>
              <w:t>排放</w:t>
            </w:r>
            <w:r>
              <w:rPr>
                <w:rFonts w:hint="eastAsia" w:ascii="宋体" w:hAnsi="宋体" w:cs="宋体"/>
                <w:szCs w:val="21"/>
                <w:lang w:eastAsia="zh-CN"/>
              </w:rPr>
              <w:t>、</w:t>
            </w:r>
            <w:r>
              <w:rPr>
                <w:rFonts w:hint="eastAsia" w:ascii="宋体" w:hAnsi="宋体" w:cs="宋体"/>
                <w:szCs w:val="21"/>
              </w:rPr>
              <w:t>废气排放</w:t>
            </w:r>
            <w:r>
              <w:rPr>
                <w:rFonts w:hint="eastAsia" w:asciiTheme="minorEastAsia" w:hAnsiTheme="minorEastAsia" w:eastAsiaTheme="minorEastAsia"/>
                <w:bCs/>
                <w:iCs/>
              </w:rPr>
              <w:t>，需要应对的风险和机遇相关的过程为销售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pStyle w:val="2"/>
              <w:rPr>
                <w:b/>
                <w:color w:val="000000" w:themeColor="text1"/>
                <w:sz w:val="20"/>
                <w:szCs w:val="20"/>
              </w:rPr>
            </w:pPr>
            <w:r>
              <w:rPr>
                <w:rFonts w:hint="eastAsia" w:asciiTheme="minorEastAsia" w:hAnsiTheme="minorEastAsia" w:eastAsiaTheme="minorEastAsia"/>
                <w:bCs/>
                <w:iCs/>
              </w:rPr>
              <w:t>组织建立了危险源识别、评价控制程序，识别评价了危险源、风险相关的过程，评价出了重要危险源</w:t>
            </w:r>
            <w:r>
              <w:rPr>
                <w:rFonts w:hint="eastAsia" w:asciiTheme="minorEastAsia" w:hAnsiTheme="minorEastAsia" w:eastAsiaTheme="minorEastAsia"/>
                <w:bCs/>
                <w:iCs/>
                <w:lang w:eastAsia="zh-CN"/>
              </w:rPr>
              <w:t>（</w:t>
            </w:r>
            <w:r>
              <w:rPr>
                <w:rFonts w:hint="eastAsia"/>
                <w:szCs w:val="21"/>
              </w:rPr>
              <w:t>火灾</w:t>
            </w:r>
            <w:r>
              <w:rPr>
                <w:rFonts w:hint="eastAsia"/>
                <w:szCs w:val="21"/>
                <w:lang w:eastAsia="zh-CN"/>
              </w:rPr>
              <w:t>、触电、</w:t>
            </w:r>
            <w:r>
              <w:rPr>
                <w:rFonts w:hint="eastAsia"/>
                <w:szCs w:val="21"/>
              </w:rPr>
              <w:t>交通</w:t>
            </w:r>
            <w:r>
              <w:rPr>
                <w:rFonts w:hint="eastAsia"/>
                <w:szCs w:val="21"/>
                <w:lang w:eastAsia="zh-CN"/>
              </w:rPr>
              <w:t>伤害、职业病</w:t>
            </w:r>
            <w:r>
              <w:rPr>
                <w:rFonts w:hint="eastAsia" w:asciiTheme="minorEastAsia" w:hAnsiTheme="minorEastAsia" w:eastAsiaTheme="minorEastAsia"/>
                <w:bCs/>
                <w:iCs/>
                <w:lang w:val="en-US" w:eastAsia="zh-CN"/>
              </w:rPr>
              <w:t>）</w:t>
            </w:r>
            <w:r>
              <w:rPr>
                <w:rFonts w:hint="eastAsia" w:asciiTheme="minorEastAsia" w:hAnsiTheme="minorEastAsia" w:eastAsiaTheme="minorEastAsia"/>
                <w:bCs/>
                <w:iCs/>
              </w:rPr>
              <w:t>，与之相关的过程有服务、信息处理过程，针对不可接受风险制定了管理方案。控制措施实施有效。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sz w:val="20"/>
                <w:szCs w:val="20"/>
              </w:rPr>
              <w:t>（适用时）</w:t>
            </w:r>
          </w:p>
          <w:p>
            <w:pPr>
              <w:spacing w:line="240" w:lineRule="exact"/>
              <w:rPr>
                <w:sz w:val="20"/>
                <w:szCs w:val="20"/>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highlight w:val="none"/>
              </w:rPr>
            </w:pPr>
            <w:r>
              <w:rPr>
                <w:rFonts w:hint="eastAsia"/>
                <w:b/>
                <w:color w:val="000000" w:themeColor="text1"/>
                <w:sz w:val="20"/>
                <w:szCs w:val="20"/>
                <w:highlight w:val="none"/>
              </w:rPr>
              <w:t>1. .对质量/环境/职业健康安全目标指标进行定期监测/检查情况</w:t>
            </w:r>
            <w:r>
              <w:rPr>
                <w:rFonts w:hint="eastAsia"/>
                <w:b/>
                <w:sz w:val="20"/>
                <w:szCs w:val="20"/>
                <w:highlight w:val="none"/>
              </w:rPr>
              <w:t>（适用时）</w:t>
            </w:r>
          </w:p>
          <w:p>
            <w:pPr>
              <w:spacing w:line="240" w:lineRule="exact"/>
              <w:ind w:firstLine="105" w:firstLineChars="50"/>
              <w:rPr>
                <w:b/>
                <w:color w:val="000000" w:themeColor="text1"/>
                <w:sz w:val="20"/>
                <w:szCs w:val="20"/>
                <w:highlight w:val="none"/>
              </w:rPr>
            </w:pPr>
            <w:r>
              <w:rPr>
                <w:rFonts w:hint="eastAsia" w:ascii="宋体" w:hAnsi="宋体" w:cs="宋体"/>
                <w:color w:val="000000"/>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ascii="宋体" w:hAnsi="宋体" w:cs="宋体"/>
                <w:szCs w:val="21"/>
                <w:highlight w:val="none"/>
              </w:rPr>
              <w:t>2019年</w:t>
            </w:r>
            <w:r>
              <w:rPr>
                <w:rFonts w:hint="eastAsia" w:ascii="宋体" w:hAnsi="宋体" w:cs="宋体"/>
                <w:szCs w:val="21"/>
                <w:highlight w:val="none"/>
                <w:lang w:val="en-US" w:eastAsia="zh-CN"/>
              </w:rPr>
              <w:t>10月</w:t>
            </w:r>
            <w:r>
              <w:rPr>
                <w:rFonts w:hint="eastAsia" w:ascii="宋体" w:hAnsi="宋体" w:cs="宋体"/>
                <w:szCs w:val="21"/>
                <w:highlight w:val="none"/>
              </w:rPr>
              <w:t>-</w:t>
            </w:r>
            <w:r>
              <w:rPr>
                <w:rFonts w:hint="eastAsia" w:ascii="宋体" w:hAnsi="宋体" w:cs="宋体"/>
                <w:szCs w:val="21"/>
                <w:highlight w:val="none"/>
                <w:lang w:val="en-US" w:eastAsia="zh-CN"/>
              </w:rPr>
              <w:t>2020年2</w:t>
            </w:r>
            <w:r>
              <w:rPr>
                <w:rFonts w:hint="eastAsia" w:ascii="宋体" w:hAnsi="宋体" w:cs="宋体"/>
                <w:szCs w:val="21"/>
                <w:highlight w:val="none"/>
              </w:rPr>
              <w:t>月</w:t>
            </w:r>
            <w:r>
              <w:rPr>
                <w:rFonts w:hint="eastAsia" w:ascii="宋体" w:hAnsi="宋体" w:cs="宋体"/>
                <w:color w:val="000000"/>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highlight w:val="none"/>
              </w:rPr>
            </w:pPr>
            <w:r>
              <w:rPr>
                <w:rFonts w:hint="eastAsia"/>
                <w:b/>
                <w:color w:val="000000" w:themeColor="text1"/>
                <w:sz w:val="20"/>
                <w:szCs w:val="20"/>
                <w:highlight w:val="none"/>
              </w:rPr>
              <w:t>2.顾客满意</w:t>
            </w:r>
          </w:p>
          <w:p>
            <w:pPr>
              <w:spacing w:line="240" w:lineRule="exact"/>
              <w:ind w:left="105" w:leftChars="50" w:firstLine="315" w:firstLineChars="150"/>
              <w:rPr>
                <w:b/>
                <w:color w:val="000000" w:themeColor="text1"/>
                <w:sz w:val="20"/>
                <w:szCs w:val="20"/>
                <w:highlight w:val="none"/>
              </w:rPr>
            </w:pPr>
            <w:r>
              <w:rPr>
                <w:rFonts w:hint="eastAsia" w:ascii="宋体" w:hAnsi="宋体" w:cs="宋体"/>
                <w:color w:val="000000"/>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szCs w:val="21"/>
                <w:highlight w:val="none"/>
              </w:rPr>
              <w:t>2019年</w:t>
            </w:r>
            <w:r>
              <w:rPr>
                <w:rFonts w:hint="eastAsia" w:ascii="宋体" w:hAnsi="宋体" w:cs="宋体"/>
                <w:szCs w:val="21"/>
                <w:highlight w:val="none"/>
                <w:lang w:val="en-US" w:eastAsia="zh-CN"/>
              </w:rPr>
              <w:t>12</w:t>
            </w:r>
            <w:r>
              <w:rPr>
                <w:rFonts w:hint="eastAsia" w:ascii="宋体" w:hAnsi="宋体" w:cs="宋体"/>
                <w:szCs w:val="21"/>
                <w:highlight w:val="none"/>
              </w:rPr>
              <w:t>月实施，满意度评价9</w:t>
            </w:r>
            <w:r>
              <w:rPr>
                <w:rFonts w:hint="eastAsia" w:ascii="宋体" w:hAnsi="宋体" w:cs="宋体"/>
                <w:szCs w:val="21"/>
                <w:highlight w:val="none"/>
                <w:lang w:val="en-US" w:eastAsia="zh-CN"/>
              </w:rPr>
              <w:t>9</w:t>
            </w:r>
            <w:r>
              <w:rPr>
                <w:rFonts w:hint="eastAsia" w:ascii="宋体" w:hAnsi="宋体" w:cs="宋体"/>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FF0000"/>
                <w:sz w:val="20"/>
                <w:szCs w:val="20"/>
              </w:rPr>
            </w:pPr>
            <w:r>
              <w:rPr>
                <w:rFonts w:hint="eastAsia" w:ascii="宋体" w:hAnsi="宋体"/>
                <w:szCs w:val="21"/>
              </w:rPr>
              <w:t>建立有《内部审核控制程序》，规定了内审频次一年一次，内审时间：20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15</w:t>
            </w:r>
            <w:r>
              <w:rPr>
                <w:rFonts w:hint="eastAsia" w:ascii="宋体" w:hAnsi="宋体"/>
                <w:szCs w:val="21"/>
              </w:rPr>
              <w:t>日，拟定了审核实施表，明确了内审范围，内审人员经培训合格上岗，能力满足要求，未出现审核本部门情况，内审不符合项</w:t>
            </w:r>
            <w:r>
              <w:rPr>
                <w:rFonts w:hint="eastAsia" w:ascii="宋体" w:hAnsi="宋体"/>
                <w:szCs w:val="21"/>
                <w:lang w:val="en-US" w:eastAsia="zh-CN"/>
              </w:rPr>
              <w:t>1</w:t>
            </w:r>
            <w:r>
              <w:rPr>
                <w:rFonts w:hint="eastAsia" w:ascii="宋体" w:hAnsi="宋体"/>
                <w:szCs w:val="21"/>
              </w:rPr>
              <w:t>项，</w:t>
            </w:r>
            <w:r>
              <w:rPr>
                <w:rFonts w:hint="eastAsia" w:ascii="宋体" w:hAnsi="宋体" w:cs="宋体"/>
                <w:szCs w:val="21"/>
              </w:rPr>
              <w:t>涉及</w:t>
            </w:r>
            <w:r>
              <w:rPr>
                <w:rFonts w:hint="eastAsia" w:ascii="宋体" w:hAnsi="宋体" w:cs="宋体"/>
                <w:szCs w:val="21"/>
                <w:lang w:eastAsia="zh-CN"/>
              </w:rPr>
              <w:t>市场部</w:t>
            </w:r>
            <w:r>
              <w:rPr>
                <w:rFonts w:hint="eastAsia" w:ascii="宋体" w:hAnsi="宋体" w:cs="宋体"/>
                <w:szCs w:val="21"/>
              </w:rPr>
              <w:t>Q</w:t>
            </w:r>
            <w:r>
              <w:rPr>
                <w:rFonts w:hint="eastAsia" w:ascii="宋体" w:hAnsi="宋体" w:cs="宋体"/>
                <w:szCs w:val="21"/>
                <w:lang w:val="en-US" w:eastAsia="zh-CN"/>
              </w:rPr>
              <w:t>9.1.2</w:t>
            </w:r>
            <w:r>
              <w:rPr>
                <w:rFonts w:hint="eastAsia" w:ascii="宋体" w:hAnsi="宋体"/>
                <w:szCs w:val="21"/>
              </w:rPr>
              <w:t>条款未进行顾客满意度调查的统计分析，针对该不符合项，已及时采取纠正措施后，经内审员验证关闭。内审的有效性需要改善。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21</w:t>
            </w:r>
            <w:r>
              <w:rPr>
                <w:rFonts w:hint="eastAsia" w:ascii="宋体" w:hAnsi="宋体"/>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rFonts w:hint="default" w:eastAsia="宋体"/>
                <w:b/>
                <w:sz w:val="20"/>
                <w:szCs w:val="20"/>
                <w:lang w:val="en-US" w:eastAsia="zh-CN"/>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b/>
                <w:color w:val="000000" w:themeColor="text1"/>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sz w:val="20"/>
                <w:szCs w:val="20"/>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highlight w:val="none"/>
        </w:rPr>
      </w:pPr>
      <w:r>
        <w:rPr>
          <w:rFonts w:hint="eastAsia"/>
          <w:b/>
          <w:color w:val="000000" w:themeColor="text1"/>
          <w:highlight w:val="none"/>
        </w:rPr>
        <w:t>1. 本次审核共开具不符合项报告</w:t>
      </w:r>
      <w:r>
        <w:rPr>
          <w:rFonts w:hint="eastAsia"/>
          <w:b/>
          <w:highlight w:val="none"/>
        </w:rPr>
        <w:t>1项；其中</w:t>
      </w:r>
      <w:r>
        <w:rPr>
          <w:b/>
          <w:highlight w:val="none"/>
        </w:rPr>
        <w:pict>
          <v:line id="直接连接符 1" o:spid="_x0000_s2052" o:spt="20" style="position:absolute;left:0pt;margin-left:210pt;margin-top:16.2pt;height:0pt;width:0pt;z-index:251686912;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highlight w:val="none"/>
        </w:rPr>
        <w:t>严重不符合 0项，一般不符合 1项，观察项0项，分</w:t>
      </w:r>
      <w:r>
        <w:rPr>
          <w:rFonts w:hint="eastAsia"/>
          <w:b/>
          <w:color w:val="000000" w:themeColor="text1"/>
          <w:highlight w:val="none"/>
        </w:rPr>
        <w:t>布在</w:t>
      </w:r>
      <w:r>
        <w:rPr>
          <w:rFonts w:hint="eastAsia"/>
          <w:b/>
          <w:color w:val="000000" w:themeColor="text1"/>
          <w:highlight w:val="none"/>
          <w:lang w:eastAsia="zh-CN"/>
        </w:rPr>
        <w:t>运输</w:t>
      </w:r>
      <w:r>
        <w:rPr>
          <w:rFonts w:hint="eastAsia"/>
          <w:b/>
          <w:color w:val="000000" w:themeColor="text1"/>
          <w:highlight w:val="none"/>
        </w:rPr>
        <w:t>部条款</w:t>
      </w:r>
      <w:r>
        <w:rPr>
          <w:rFonts w:hint="eastAsia"/>
          <w:b/>
          <w:color w:val="000000" w:themeColor="text1"/>
          <w:highlight w:val="none"/>
          <w:lang w:val="en-US" w:eastAsia="zh-CN"/>
        </w:rPr>
        <w:t>E/S8.2</w:t>
      </w:r>
      <w:r>
        <w:rPr>
          <w:rFonts w:hint="eastAsia"/>
          <w:b/>
          <w:color w:val="000000" w:themeColor="text1"/>
          <w:highlight w:val="none"/>
        </w:rPr>
        <w:t>，分布见附件。（Q/J/E/S分开填写）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sz w:val="26"/>
          <w:szCs w:val="26"/>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可能影响本次审核结论可靠性的因素：无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1. ■</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GJB   ■</w:t>
            </w:r>
            <w:r>
              <w:rPr>
                <w:rFonts w:hint="eastAsia"/>
                <w:b/>
                <w:color w:val="000000" w:themeColor="text1"/>
                <w:sz w:val="22"/>
                <w:szCs w:val="22"/>
              </w:rPr>
              <w:t>EMS ■OHSMS的适宜性、充分性、运行有效性，自我完善机制等。管理体系满足适用要求和实现预期结果的能力。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sz w:val="26"/>
                <w:szCs w:val="26"/>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rPr>
                <w:rFonts w:hint="eastAsia" w:ascii="Times New Roman" w:hAnsi="Times New Roman" w:cs="Times New Roman"/>
                <w:b/>
                <w:color w:val="000000" w:themeColor="text1"/>
                <w:lang w:eastAsia="zh-CN"/>
              </w:rPr>
            </w:pPr>
            <w:r>
              <w:rPr>
                <w:rFonts w:hint="eastAsia" w:ascii="Times New Roman" w:hAnsi="Times New Roman" w:cs="Times New Roman"/>
                <w:b/>
                <w:color w:val="000000" w:themeColor="text1"/>
              </w:rPr>
              <w:t>Q</w:t>
            </w:r>
            <w:r>
              <w:rPr>
                <w:rFonts w:hint="eastAsia" w:ascii="Times New Roman" w:hAnsi="Times New Roman" w:cs="Times New Roman"/>
                <w:b/>
                <w:color w:val="000000" w:themeColor="text1"/>
                <w:lang w:val="en-US" w:eastAsia="zh-CN"/>
              </w:rPr>
              <w:t>MS</w:t>
            </w:r>
            <w:r>
              <w:rPr>
                <w:rFonts w:hint="eastAsia" w:ascii="Times New Roman" w:hAnsi="Times New Roman" w:cs="Times New Roman"/>
                <w:b/>
                <w:color w:val="000000" w:themeColor="text1"/>
              </w:rPr>
              <w:t>：许可范围内的普通货运</w:t>
            </w:r>
            <w:r>
              <w:rPr>
                <w:rFonts w:hint="eastAsia" w:ascii="Times New Roman" w:hAnsi="Times New Roman" w:cs="Times New Roman"/>
                <w:b/>
                <w:color w:val="000000" w:themeColor="text1"/>
                <w:lang w:eastAsia="zh-CN"/>
              </w:rPr>
              <w:t>。</w:t>
            </w:r>
          </w:p>
          <w:p>
            <w:pPr>
              <w:rPr>
                <w:rFonts w:hint="eastAsia" w:ascii="Times New Roman" w:hAnsi="Times New Roman" w:cs="Times New Roman"/>
                <w:b/>
                <w:color w:val="000000" w:themeColor="text1"/>
                <w:lang w:eastAsia="zh-CN"/>
              </w:rPr>
            </w:pPr>
            <w:r>
              <w:rPr>
                <w:rFonts w:hint="eastAsia" w:ascii="Times New Roman" w:hAnsi="Times New Roman" w:cs="Times New Roman"/>
                <w:b/>
                <w:color w:val="000000" w:themeColor="text1"/>
              </w:rPr>
              <w:t>E</w:t>
            </w:r>
            <w:r>
              <w:rPr>
                <w:rFonts w:hint="eastAsia" w:ascii="Times New Roman" w:hAnsi="Times New Roman" w:cs="Times New Roman"/>
                <w:b/>
                <w:color w:val="000000" w:themeColor="text1"/>
                <w:lang w:val="en-US" w:eastAsia="zh-CN"/>
              </w:rPr>
              <w:t>MS</w:t>
            </w:r>
            <w:r>
              <w:rPr>
                <w:rFonts w:hint="eastAsia" w:ascii="Times New Roman" w:hAnsi="Times New Roman" w:cs="Times New Roman"/>
                <w:b/>
                <w:color w:val="000000" w:themeColor="text1"/>
              </w:rPr>
              <w:t>：许可范围内的普通货运及其场所所涉及的相关环境管理活动</w:t>
            </w:r>
            <w:r>
              <w:rPr>
                <w:rFonts w:hint="eastAsia" w:ascii="Times New Roman" w:hAnsi="Times New Roman" w:cs="Times New Roman"/>
                <w:b/>
                <w:color w:val="000000" w:themeColor="text1"/>
                <w:lang w:eastAsia="zh-CN"/>
              </w:rPr>
              <w:t>。</w:t>
            </w:r>
          </w:p>
          <w:p>
            <w:pPr>
              <w:rPr>
                <w:b/>
                <w:color w:val="000000" w:themeColor="text1"/>
                <w:spacing w:val="-10"/>
                <w:sz w:val="22"/>
                <w:szCs w:val="22"/>
              </w:rPr>
            </w:pPr>
            <w:r>
              <w:rPr>
                <w:rFonts w:hint="eastAsia" w:ascii="Times New Roman" w:hAnsi="Times New Roman" w:cs="Times New Roman"/>
                <w:b/>
                <w:color w:val="000000" w:themeColor="text1"/>
              </w:rPr>
              <w:t>O</w:t>
            </w:r>
            <w:r>
              <w:rPr>
                <w:rFonts w:hint="eastAsia" w:ascii="Times New Roman" w:hAnsi="Times New Roman" w:cs="Times New Roman"/>
                <w:b/>
                <w:color w:val="000000" w:themeColor="text1"/>
                <w:lang w:val="en-US" w:eastAsia="zh-CN"/>
              </w:rPr>
              <w:t>HSMS</w:t>
            </w:r>
            <w:r>
              <w:rPr>
                <w:rFonts w:hint="eastAsia" w:ascii="Times New Roman" w:hAnsi="Times New Roman" w:cs="Times New Roman"/>
                <w:b/>
                <w:color w:val="000000" w:themeColor="text1"/>
              </w:rPr>
              <w:t>：许可范围内的普通货运及其场所所涉及的相关职业健康安全管理活动。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EMS   ■OHSMS)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spacing w:line="360" w:lineRule="auto"/>
        <w:ind w:left="-850" w:leftChars="-405"/>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天/严重不符合在天，针对不符合原因制定并实施纠正措施。验证方式见不符合项报告。</w:t>
      </w:r>
    </w:p>
    <w:p>
      <w:pPr>
        <w:spacing w:beforeLines="50" w:afterLines="50"/>
        <w:ind w:left="1" w:leftChars="-405" w:hanging="851" w:hangingChars="326"/>
        <w:rPr>
          <w:rFonts w:hint="eastAsia" w:eastAsia="宋体"/>
          <w:b/>
          <w:color w:val="000000" w:themeColor="text1"/>
          <w:sz w:val="26"/>
          <w:szCs w:val="26"/>
          <w:lang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ascii="仿宋" w:hAnsi="仿宋" w:eastAsia="仿宋" w:cstheme="minorBidi"/>
          <w:color w:val="000000" w:themeColor="text1"/>
          <w:kern w:val="24"/>
          <w:sz w:val="28"/>
          <w:szCs w:val="28"/>
          <w:lang w:eastAsia="zh-CN"/>
        </w:rPr>
        <w:t>本次审核为远程审核，后续安排现场审核核验。</w:t>
      </w:r>
      <w:r>
        <w:rPr>
          <w:rFonts w:hint="eastAsia" w:ascii="Times New Roman" w:hAnsi="Times New Roman" w:eastAsia="宋体" w:cs="Times New Roman"/>
          <w:b/>
          <w:color w:val="FF0000"/>
          <w:sz w:val="24"/>
          <w:szCs w:val="24"/>
        </w:rPr>
        <w:t>现场验证远程审核的有效性。提供的相关证实经现场验证真实有效。</w:t>
      </w:r>
    </w:p>
    <w:p>
      <w:pPr>
        <w:spacing w:beforeLines="50" w:afterLines="50"/>
        <w:ind w:left="62" w:leftChars="-405" w:hanging="912" w:hangingChars="326"/>
        <w:rPr>
          <w:rFonts w:hint="eastAsia" w:ascii="仿宋" w:hAnsi="仿宋" w:eastAsia="仿宋" w:cstheme="minorBidi"/>
          <w:color w:val="000000" w:themeColor="text1"/>
          <w:kern w:val="24"/>
          <w:sz w:val="28"/>
          <w:szCs w:val="28"/>
          <w:lang w:eastAsia="zh-CN"/>
        </w:rPr>
      </w:pPr>
    </w:p>
    <w:p>
      <w:pPr>
        <w:snapToGrid w:val="0"/>
        <w:rPr>
          <w:b/>
          <w:bCs/>
          <w:color w:val="000000" w:themeColor="text1"/>
          <w:szCs w:val="28"/>
          <w:u w:val="single"/>
        </w:rPr>
      </w:pPr>
    </w:p>
    <w:p>
      <w:pPr>
        <w:snapToGrid w:val="0"/>
        <w:spacing w:after="156" w:afterLines="50" w:line="360" w:lineRule="auto"/>
        <w:ind w:left="-166" w:leftChars="-405" w:hanging="684" w:hangingChars="326"/>
        <w:rPr>
          <w:b/>
          <w:color w:val="000000" w:themeColor="text1"/>
          <w:sz w:val="16"/>
          <w:szCs w:val="16"/>
        </w:rPr>
      </w:pPr>
      <w:r>
        <w:rPr>
          <w:rFonts w:ascii="宋体" w:hAnsi="宋体"/>
        </w:rPr>
        <w:drawing>
          <wp:anchor distT="0" distB="0" distL="114300" distR="114300" simplePos="0" relativeHeight="251718656" behindDoc="0" locked="0" layoutInCell="1" allowOverlap="1">
            <wp:simplePos x="0" y="0"/>
            <wp:positionH relativeFrom="column">
              <wp:posOffset>3128645</wp:posOffset>
            </wp:positionH>
            <wp:positionV relativeFrom="paragraph">
              <wp:posOffset>374650</wp:posOffset>
            </wp:positionV>
            <wp:extent cx="695960" cy="433705"/>
            <wp:effectExtent l="0" t="0" r="5080" b="8255"/>
            <wp:wrapNone/>
            <wp:docPr id="5"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20-01-09 10.59.53_副本.jpg"/>
                    <pic:cNvPicPr>
                      <a:picLocks noChangeAspect="1"/>
                    </pic:cNvPicPr>
                  </pic:nvPicPr>
                  <pic:blipFill>
                    <a:blip r:embed="rId6"/>
                    <a:stretch>
                      <a:fillRect/>
                    </a:stretch>
                  </pic:blipFill>
                  <pic:spPr>
                    <a:xfrm>
                      <a:off x="0" y="0"/>
                      <a:ext cx="695960" cy="433705"/>
                    </a:xfrm>
                    <a:prstGeom prst="rect">
                      <a:avLst/>
                    </a:prstGeom>
                    <a:noFill/>
                    <a:ln>
                      <a:noFill/>
                    </a:ln>
                  </pic:spPr>
                </pic:pic>
              </a:graphicData>
            </a:graphic>
          </wp:anchor>
        </w:drawing>
      </w:r>
      <w:r>
        <w:rPr>
          <w:rFonts w:ascii="宋体" w:hAnsi="宋体"/>
        </w:rPr>
        <w:drawing>
          <wp:anchor distT="0" distB="0" distL="114300" distR="114300" simplePos="0" relativeHeight="251687936" behindDoc="0" locked="0" layoutInCell="1" allowOverlap="1">
            <wp:simplePos x="0" y="0"/>
            <wp:positionH relativeFrom="column">
              <wp:posOffset>1531620</wp:posOffset>
            </wp:positionH>
            <wp:positionV relativeFrom="paragraph">
              <wp:posOffset>381000</wp:posOffset>
            </wp:positionV>
            <wp:extent cx="642620" cy="400685"/>
            <wp:effectExtent l="0" t="0" r="12700" b="10795"/>
            <wp:wrapNone/>
            <wp:docPr id="4"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dministrator\Desktop\新文档 2020-01-09 10.59.53_副本.jpg"/>
                    <pic:cNvPicPr>
                      <a:picLocks noChangeAspect="1"/>
                    </pic:cNvPicPr>
                  </pic:nvPicPr>
                  <pic:blipFill>
                    <a:blip r:embed="rId6"/>
                    <a:stretch>
                      <a:fillRect/>
                    </a:stretch>
                  </pic:blipFill>
                  <pic:spPr>
                    <a:xfrm>
                      <a:off x="0" y="0"/>
                      <a:ext cx="642620" cy="400685"/>
                    </a:xfrm>
                    <a:prstGeom prst="rect">
                      <a:avLst/>
                    </a:prstGeom>
                    <a:noFill/>
                    <a:ln>
                      <a:noFill/>
                    </a:ln>
                  </pic:spPr>
                </pic:pic>
              </a:graphicData>
            </a:graphic>
          </wp:anchor>
        </w:drawing>
      </w:r>
      <w:r>
        <w:rPr>
          <w:rFonts w:hint="eastAsia"/>
          <w:b/>
          <w:color w:val="000000" w:themeColor="text1"/>
          <w:sz w:val="26"/>
          <w:szCs w:val="26"/>
        </w:rPr>
        <w:t>十四、审核组签字</w:t>
      </w:r>
      <w:bookmarkStart w:id="23" w:name="_GoBack"/>
      <w:bookmarkEnd w:id="23"/>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50" w:firstLineChars="250"/>
        <w:rPr>
          <w:b/>
          <w:color w:val="000000" w:themeColor="text1"/>
        </w:rPr>
      </w:pPr>
      <w:r>
        <w:rPr>
          <w:rFonts w:hint="eastAsia" w:eastAsia="宋体"/>
          <w:sz w:val="22"/>
          <w:szCs w:val="22"/>
          <w:lang w:eastAsia="zh-CN"/>
        </w:rPr>
        <w:drawing>
          <wp:anchor distT="0" distB="0" distL="114300" distR="114300" simplePos="0" relativeHeight="251739136" behindDoc="0" locked="0" layoutInCell="1" allowOverlap="1">
            <wp:simplePos x="0" y="0"/>
            <wp:positionH relativeFrom="column">
              <wp:posOffset>3053715</wp:posOffset>
            </wp:positionH>
            <wp:positionV relativeFrom="paragraph">
              <wp:posOffset>116840</wp:posOffset>
            </wp:positionV>
            <wp:extent cx="441960" cy="297180"/>
            <wp:effectExtent l="0" t="0" r="0" b="7620"/>
            <wp:wrapNone/>
            <wp:docPr id="7" name="图片 12" descr="c6bc8d82232cd8bc6519fc4dcd21e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 descr="c6bc8d82232cd8bc6519fc4dcd21ee2"/>
                    <pic:cNvPicPr>
                      <a:picLocks noChangeAspect="1"/>
                    </pic:cNvPicPr>
                  </pic:nvPicPr>
                  <pic:blipFill>
                    <a:blip r:embed="rId7"/>
                    <a:stretch>
                      <a:fillRect/>
                    </a:stretch>
                  </pic:blipFill>
                  <pic:spPr>
                    <a:xfrm>
                      <a:off x="0" y="0"/>
                      <a:ext cx="441960" cy="297180"/>
                    </a:xfrm>
                    <a:prstGeom prst="rect">
                      <a:avLst/>
                    </a:prstGeom>
                    <a:noFill/>
                    <a:ln>
                      <a:noFill/>
                    </a:ln>
                  </pic:spPr>
                </pic:pic>
              </a:graphicData>
            </a:graphic>
          </wp:anchor>
        </w:drawing>
      </w:r>
      <w:r>
        <w:rPr>
          <w:rFonts w:hint="eastAsia" w:eastAsia="宋体"/>
          <w:sz w:val="22"/>
          <w:szCs w:val="22"/>
          <w:lang w:eastAsia="zh-CN"/>
        </w:rPr>
        <w:drawing>
          <wp:anchor distT="0" distB="0" distL="114300" distR="114300" simplePos="0" relativeHeight="251742208" behindDoc="0" locked="0" layoutInCell="1" allowOverlap="1">
            <wp:simplePos x="0" y="0"/>
            <wp:positionH relativeFrom="column">
              <wp:posOffset>3656965</wp:posOffset>
            </wp:positionH>
            <wp:positionV relativeFrom="paragraph">
              <wp:posOffset>81915</wp:posOffset>
            </wp:positionV>
            <wp:extent cx="812165" cy="275590"/>
            <wp:effectExtent l="0" t="0" r="10795" b="13970"/>
            <wp:wrapNone/>
            <wp:docPr id="8"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3" descr="d65153f20abdb73c162b984abccbf35"/>
                    <pic:cNvPicPr>
                      <a:picLocks noChangeAspect="1"/>
                    </pic:cNvPicPr>
                  </pic:nvPicPr>
                  <pic:blipFill>
                    <a:blip r:embed="rId8"/>
                    <a:srcRect l="7648" t="9871" r="7156" b="20799"/>
                    <a:stretch>
                      <a:fillRect/>
                    </a:stretch>
                  </pic:blipFill>
                  <pic:spPr>
                    <a:xfrm>
                      <a:off x="0" y="0"/>
                      <a:ext cx="812165" cy="275590"/>
                    </a:xfrm>
                    <a:prstGeom prst="rect">
                      <a:avLst/>
                    </a:prstGeom>
                    <a:noFill/>
                    <a:ln>
                      <a:noFill/>
                    </a:ln>
                  </pic:spPr>
                </pic:pic>
              </a:graphicData>
            </a:graphic>
          </wp:anchor>
        </w:drawing>
      </w:r>
      <w:r>
        <w:rPr>
          <w:rFonts w:hint="eastAsia"/>
          <w:b/>
          <w:sz w:val="22"/>
          <w:szCs w:val="22"/>
        </w:rPr>
        <w:drawing>
          <wp:anchor distT="0" distB="0" distL="114300" distR="114300" simplePos="0" relativeHeight="251737088" behindDoc="0" locked="0" layoutInCell="1" allowOverlap="1">
            <wp:simplePos x="0" y="0"/>
            <wp:positionH relativeFrom="column">
              <wp:posOffset>1519555</wp:posOffset>
            </wp:positionH>
            <wp:positionV relativeFrom="paragraph">
              <wp:posOffset>118110</wp:posOffset>
            </wp:positionV>
            <wp:extent cx="410210" cy="424815"/>
            <wp:effectExtent l="0" t="0" r="1270" b="1905"/>
            <wp:wrapNone/>
            <wp:docPr id="6"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strator\Desktop\新文档 2019-09-04 21.08.47.jpg"/>
                    <pic:cNvPicPr>
                      <a:picLocks noChangeAspect="1" noChangeArrowheads="1"/>
                    </pic:cNvPicPr>
                  </pic:nvPicPr>
                  <pic:blipFill>
                    <a:blip r:embed="rId9" cstate="print"/>
                    <a:srcRect/>
                    <a:stretch>
                      <a:fillRect/>
                    </a:stretch>
                  </pic:blipFill>
                  <pic:spPr>
                    <a:xfrm>
                      <a:off x="0" y="0"/>
                      <a:ext cx="410210" cy="424815"/>
                    </a:xfrm>
                    <a:prstGeom prst="rect">
                      <a:avLst/>
                    </a:prstGeom>
                    <a:noFill/>
                    <a:ln w="9525">
                      <a:noFill/>
                      <a:miter lim="800000"/>
                      <a:headEnd/>
                      <a:tailEnd/>
                    </a:ln>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2020 </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 xml:space="preserve"> 3</w:t>
      </w:r>
      <w:r>
        <w:rPr>
          <w:rFonts w:hint="eastAsia" w:asciiTheme="minorEastAsia" w:hAnsiTheme="minorEastAsia" w:eastAsiaTheme="minorEastAsia"/>
          <w:b/>
          <w:color w:val="000000" w:themeColor="text1"/>
        </w:rPr>
        <w:t xml:space="preserve"> 月 </w:t>
      </w:r>
      <w:r>
        <w:rPr>
          <w:rFonts w:hint="eastAsia" w:asciiTheme="minorEastAsia" w:hAnsiTheme="minorEastAsia" w:eastAsiaTheme="minorEastAsia"/>
          <w:b/>
          <w:color w:val="000000" w:themeColor="text1"/>
          <w:lang w:val="en-US" w:eastAsia="zh-CN"/>
        </w:rPr>
        <w:t>21</w:t>
      </w:r>
      <w:r>
        <w:rPr>
          <w:rFonts w:hint="eastAsia" w:asciiTheme="minorEastAsia" w:hAnsiTheme="minorEastAsia" w:eastAsiaTheme="minorEastAsia"/>
          <w:b/>
          <w:color w:val="000000" w:themeColor="text1"/>
        </w:rPr>
        <w:t xml:space="preserve"> 日</w:t>
      </w:r>
      <w:r>
        <w:rPr>
          <w:rFonts w:hint="eastAsia" w:asciiTheme="minorEastAsia" w:hAnsiTheme="minorEastAsia" w:eastAsiaTheme="minorEastAsia"/>
          <w:b/>
          <w:color w:val="000000" w:themeColor="text1"/>
          <w:lang w:val="en-US" w:eastAsia="zh-CN"/>
        </w:rPr>
        <w:t>/</w:t>
      </w:r>
      <w:r>
        <w:rPr>
          <w:rFonts w:hint="eastAsia"/>
          <w:b/>
          <w:color w:val="FF0000"/>
          <w:lang w:val="en-US" w:eastAsia="zh-CN"/>
        </w:rPr>
        <w:t>2020</w:t>
      </w:r>
      <w:r>
        <w:rPr>
          <w:rFonts w:hint="eastAsia"/>
          <w:b/>
          <w:color w:val="FF0000"/>
        </w:rPr>
        <w:t xml:space="preserve"> </w:t>
      </w:r>
      <w:r>
        <w:rPr>
          <w:rFonts w:hint="eastAsia" w:asciiTheme="minorEastAsia" w:hAnsiTheme="minorEastAsia" w:eastAsiaTheme="minorEastAsia"/>
          <w:b/>
          <w:color w:val="FF0000"/>
        </w:rPr>
        <w:t>年</w:t>
      </w:r>
      <w:r>
        <w:rPr>
          <w:rFonts w:hint="eastAsia" w:asciiTheme="minorEastAsia" w:hAnsiTheme="minorEastAsia" w:eastAsiaTheme="minorEastAsia"/>
          <w:b/>
          <w:color w:val="FF0000"/>
          <w:lang w:val="en-US" w:eastAsia="zh-CN"/>
        </w:rPr>
        <w:t>12</w:t>
      </w:r>
      <w:r>
        <w:rPr>
          <w:rFonts w:hint="eastAsia" w:asciiTheme="minorEastAsia" w:hAnsiTheme="minorEastAsia" w:eastAsiaTheme="minorEastAsia"/>
          <w:b/>
          <w:color w:val="FF0000"/>
        </w:rPr>
        <w:t>月</w:t>
      </w:r>
      <w:r>
        <w:rPr>
          <w:rFonts w:hint="eastAsia" w:asciiTheme="minorEastAsia" w:hAnsiTheme="minorEastAsia" w:eastAsiaTheme="minorEastAsia"/>
          <w:b/>
          <w:color w:val="FF0000"/>
          <w:lang w:val="en-US" w:eastAsia="zh-CN"/>
        </w:rPr>
        <w:t>5</w:t>
      </w:r>
      <w:r>
        <w:rPr>
          <w:rFonts w:hint="eastAsia" w:asciiTheme="minorEastAsia" w:hAnsiTheme="minorEastAsia" w:eastAsiaTheme="minorEastAsia"/>
          <w:b/>
          <w:color w:val="FF0000"/>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bCs/>
          <w:color w:val="000000" w:themeColor="text1"/>
          <w:szCs w:val="21"/>
          <w:lang w:eastAsia="zh-CN"/>
        </w:rPr>
        <w:t>■</w:t>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OHSMS(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ascii="宋体" w:hAnsi="宋体"/>
        </w:rPr>
        <w:drawing>
          <wp:anchor distT="0" distB="0" distL="114300" distR="114300" simplePos="0" relativeHeight="251743232" behindDoc="0" locked="0" layoutInCell="1" allowOverlap="1">
            <wp:simplePos x="0" y="0"/>
            <wp:positionH relativeFrom="column">
              <wp:posOffset>819150</wp:posOffset>
            </wp:positionH>
            <wp:positionV relativeFrom="paragraph">
              <wp:posOffset>86995</wp:posOffset>
            </wp:positionV>
            <wp:extent cx="734060" cy="457200"/>
            <wp:effectExtent l="0" t="0" r="12700" b="0"/>
            <wp:wrapNone/>
            <wp:docPr id="3"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新文档 2020-01-09 10.59.53_副本.jpg"/>
                    <pic:cNvPicPr>
                      <a:picLocks noChangeAspect="1"/>
                    </pic:cNvPicPr>
                  </pic:nvPicPr>
                  <pic:blipFill>
                    <a:blip r:embed="rId6"/>
                    <a:stretch>
                      <a:fillRect/>
                    </a:stretch>
                  </pic:blipFill>
                  <pic:spPr>
                    <a:xfrm>
                      <a:off x="0" y="0"/>
                      <a:ext cx="734060" cy="457200"/>
                    </a:xfrm>
                    <a:prstGeom prst="rect">
                      <a:avLst/>
                    </a:prstGeom>
                    <a:noFill/>
                    <a:ln>
                      <a:noFill/>
                    </a:ln>
                  </pic:spPr>
                </pic:pic>
              </a:graphicData>
            </a:graphic>
          </wp:anchor>
        </w:drawing>
      </w:r>
      <w:r>
        <w:rPr>
          <w:rFonts w:hint="eastAsia"/>
          <w:b/>
          <w:color w:val="000000" w:themeColor="text1"/>
          <w:szCs w:val="21"/>
        </w:rPr>
        <w:t xml:space="preserve">组长签字:                               日期: </w:t>
      </w:r>
      <w:r>
        <w:rPr>
          <w:rFonts w:hint="eastAsia"/>
          <w:b/>
          <w:color w:val="000000" w:themeColor="text1"/>
          <w:lang w:val="en-US" w:eastAsia="zh-CN"/>
        </w:rPr>
        <w:t xml:space="preserve">2020 </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 xml:space="preserve"> 3</w:t>
      </w:r>
      <w:r>
        <w:rPr>
          <w:rFonts w:hint="eastAsia" w:asciiTheme="minorEastAsia" w:hAnsiTheme="minorEastAsia" w:eastAsiaTheme="minorEastAsia"/>
          <w:b/>
          <w:color w:val="000000" w:themeColor="text1"/>
        </w:rPr>
        <w:t xml:space="preserve"> 月 </w:t>
      </w:r>
      <w:r>
        <w:rPr>
          <w:rFonts w:hint="eastAsia" w:asciiTheme="minorEastAsia" w:hAnsiTheme="minorEastAsia" w:eastAsiaTheme="minorEastAsia"/>
          <w:b/>
          <w:color w:val="000000" w:themeColor="text1"/>
          <w:lang w:val="en-US" w:eastAsia="zh-CN"/>
        </w:rPr>
        <w:t>22</w:t>
      </w:r>
      <w:r>
        <w:rPr>
          <w:rFonts w:hint="eastAsia" w:asciiTheme="minorEastAsia" w:hAnsiTheme="minorEastAsia" w:eastAsiaTheme="minorEastAsia"/>
          <w:b/>
          <w:color w:val="000000" w:themeColor="text1"/>
        </w:rPr>
        <w:t xml:space="preserve"> 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3"/>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3"/>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964" w:hanging="1265" w:hangingChars="600"/>
        <w:rPr>
          <w:b/>
          <w:bCs/>
          <w:color w:val="000000" w:themeColor="text1"/>
          <w:sz w:val="16"/>
          <w:szCs w:val="16"/>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2"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2"/>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68D0673"/>
    <w:rsid w:val="29D01861"/>
    <w:rsid w:val="5D146B30"/>
    <w:rsid w:val="60066EE6"/>
    <w:rsid w:val="61096F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10</TotalTime>
  <ScaleCrop>false</ScaleCrop>
  <LinksUpToDate>false</LinksUpToDate>
  <CharactersWithSpaces>5143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DELL</cp:lastModifiedBy>
  <cp:lastPrinted>2019-05-13T03:19:00Z</cp:lastPrinted>
  <dcterms:modified xsi:type="dcterms:W3CDTF">2020-12-04T06:46:45Z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