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color w:val="000000" w:themeColor="text1"/>
          <w:sz w:val="84"/>
          <w:szCs w:val="84"/>
        </w:rPr>
      </w:pPr>
      <w:r>
        <w:rPr>
          <w:rFonts w:hint="eastAsia" w:ascii="宋体" w:hAnsi="宋体"/>
          <w:sz w:val="18"/>
        </w:rPr>
        <w:t xml:space="preserve"> </w:t>
      </w:r>
      <w:r>
        <w:rPr>
          <w:rFonts w:hint="eastAsia" w:ascii="宋体" w:hAnsi="宋体"/>
          <w:b/>
          <w:bCs/>
          <w:sz w:val="24"/>
          <w:szCs w:val="24"/>
        </w:rPr>
        <w:t xml:space="preserve"> 编  号：</w:t>
      </w:r>
      <w:bookmarkStart w:id="0" w:name="合同编号"/>
      <w:r>
        <w:rPr>
          <w:b/>
          <w:bCs/>
          <w:sz w:val="24"/>
          <w:szCs w:val="24"/>
        </w:rPr>
        <w:t>0078-2020-QEO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重庆跃达电力设备有限公司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杨珍全</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Q:19.09.02</w:t>
            </w:r>
          </w:p>
          <w:p>
            <w:pPr>
              <w:spacing w:line="240" w:lineRule="exact"/>
              <w:jc w:val="center"/>
              <w:rPr>
                <w:b/>
                <w:color w:val="000000" w:themeColor="text1"/>
                <w:sz w:val="20"/>
                <w:szCs w:val="20"/>
              </w:rPr>
            </w:pPr>
            <w:r>
              <w:rPr>
                <w:b/>
                <w:color w:val="000000" w:themeColor="text1"/>
                <w:sz w:val="20"/>
                <w:szCs w:val="20"/>
              </w:rPr>
              <w:t>E:19.09.02</w:t>
            </w:r>
          </w:p>
          <w:p>
            <w:pPr>
              <w:spacing w:line="240" w:lineRule="exact"/>
              <w:jc w:val="center"/>
              <w:rPr>
                <w:b/>
                <w:color w:val="000000" w:themeColor="text1"/>
                <w:sz w:val="20"/>
                <w:szCs w:val="20"/>
              </w:rPr>
            </w:pPr>
            <w:r>
              <w:rPr>
                <w:b/>
                <w:color w:val="000000" w:themeColor="text1"/>
                <w:sz w:val="20"/>
                <w:szCs w:val="20"/>
              </w:rPr>
              <w:t>O:19.09.02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张心</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b/>
                <w:color w:val="000000" w:themeColor="text1"/>
                <w:sz w:val="20"/>
                <w:szCs w:val="20"/>
                <w:lang w:val="en-US"/>
              </w:rPr>
            </w:pPr>
            <w:r>
              <w:rPr>
                <w:rFonts w:hint="eastAsia"/>
                <w:b/>
                <w:color w:val="000000" w:themeColor="text1"/>
                <w:sz w:val="20"/>
                <w:szCs w:val="20"/>
                <w:lang w:eastAsia="zh-CN"/>
              </w:rPr>
              <w:t>文平（</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Q:19.09.02</w:t>
            </w:r>
          </w:p>
          <w:p>
            <w:pPr>
              <w:spacing w:line="240" w:lineRule="exact"/>
              <w:jc w:val="center"/>
              <w:rPr>
                <w:b/>
                <w:color w:val="000000" w:themeColor="text1"/>
                <w:sz w:val="20"/>
                <w:szCs w:val="20"/>
              </w:rPr>
            </w:pPr>
            <w:r>
              <w:rPr>
                <w:b/>
                <w:color w:val="000000" w:themeColor="text1"/>
                <w:sz w:val="20"/>
                <w:szCs w:val="20"/>
              </w:rPr>
              <w:t>E:19.09.02</w:t>
            </w:r>
          </w:p>
          <w:p>
            <w:pPr>
              <w:spacing w:line="240" w:lineRule="exact"/>
              <w:jc w:val="center"/>
              <w:rPr>
                <w:b/>
                <w:color w:val="000000" w:themeColor="text1"/>
                <w:sz w:val="20"/>
                <w:szCs w:val="20"/>
              </w:rPr>
            </w:pPr>
            <w:r>
              <w:rPr>
                <w:b/>
                <w:color w:val="000000" w:themeColor="text1"/>
                <w:sz w:val="20"/>
                <w:szCs w:val="20"/>
              </w:rPr>
              <w:t>O:19.09.02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default" w:ascii="Times New Roman" w:hAnsi="Times New Roman" w:eastAsia="宋体" w:cs="Times New Roman"/>
                <w:b/>
                <w:color w:val="FF0000"/>
                <w:kern w:val="2"/>
                <w:sz w:val="20"/>
                <w:szCs w:val="20"/>
                <w:lang w:val="en-US" w:eastAsia="zh-CN" w:bidi="ar-SA"/>
              </w:rPr>
            </w:pPr>
            <w:r>
              <w:rPr>
                <w:b/>
                <w:color w:val="FF0000"/>
                <w:sz w:val="20"/>
                <w:szCs w:val="20"/>
              </w:rPr>
              <w:t>杨珍全</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组长</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b/>
                <w:color w:val="FF0000"/>
                <w:sz w:val="20"/>
                <w:szCs w:val="20"/>
              </w:rPr>
            </w:pPr>
            <w:r>
              <w:rPr>
                <w:b/>
                <w:color w:val="FF0000"/>
                <w:sz w:val="20"/>
                <w:szCs w:val="20"/>
              </w:rPr>
              <w:t>E:审核员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O:审核员</w:t>
            </w:r>
          </w:p>
        </w:tc>
        <w:tc>
          <w:tcPr>
            <w:tcW w:w="2333" w:type="dxa"/>
            <w:gridSpan w:val="2"/>
            <w:vAlign w:val="center"/>
          </w:tcPr>
          <w:p>
            <w:pPr>
              <w:spacing w:line="240" w:lineRule="exact"/>
              <w:jc w:val="center"/>
              <w:rPr>
                <w:b/>
                <w:color w:val="FF0000"/>
                <w:sz w:val="20"/>
                <w:szCs w:val="20"/>
              </w:rPr>
            </w:pPr>
            <w:r>
              <w:rPr>
                <w:b/>
                <w:color w:val="FF0000"/>
                <w:sz w:val="20"/>
                <w:szCs w:val="20"/>
              </w:rPr>
              <w:t>Q:19.09.02</w:t>
            </w:r>
          </w:p>
          <w:p>
            <w:pPr>
              <w:spacing w:line="240" w:lineRule="exact"/>
              <w:jc w:val="center"/>
              <w:rPr>
                <w:b/>
                <w:color w:val="FF0000"/>
                <w:sz w:val="20"/>
                <w:szCs w:val="20"/>
              </w:rPr>
            </w:pPr>
            <w:r>
              <w:rPr>
                <w:b/>
                <w:color w:val="FF0000"/>
                <w:sz w:val="20"/>
                <w:szCs w:val="20"/>
              </w:rPr>
              <w:t>E:19.09.02</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O:19.09.02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hint="default" w:ascii="Times New Roman" w:hAnsi="Times New Roman" w:eastAsia="宋体" w:cs="Times New Roman"/>
                <w:b/>
                <w:color w:val="FF0000"/>
                <w:kern w:val="2"/>
                <w:sz w:val="20"/>
                <w:szCs w:val="20"/>
                <w:lang w:val="en-US" w:eastAsia="zh-CN" w:bidi="ar-SA"/>
              </w:rPr>
            </w:pPr>
            <w:r>
              <w:rPr>
                <w:b/>
                <w:color w:val="FF0000"/>
                <w:sz w:val="20"/>
                <w:szCs w:val="20"/>
              </w:rPr>
              <w:t>宋明珠</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组员</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E:审核员</w:t>
            </w:r>
          </w:p>
        </w:tc>
        <w:tc>
          <w:tcPr>
            <w:tcW w:w="2333"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default" w:ascii="Times New Roman" w:hAnsi="Times New Roman" w:eastAsia="宋体" w:cs="Times New Roman"/>
                <w:b/>
                <w:color w:val="FF0000"/>
                <w:kern w:val="2"/>
                <w:sz w:val="20"/>
                <w:szCs w:val="20"/>
                <w:lang w:val="en-US" w:eastAsia="zh-CN" w:bidi="ar-SA"/>
              </w:rPr>
            </w:pPr>
            <w:r>
              <w:rPr>
                <w:b/>
                <w:color w:val="FF0000"/>
                <w:sz w:val="20"/>
                <w:szCs w:val="20"/>
              </w:rPr>
              <w:t>陈伟</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组员</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E:实习审核员</w:t>
            </w:r>
          </w:p>
        </w:tc>
        <w:tc>
          <w:tcPr>
            <w:tcW w:w="2333"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24001-2016/ISO14001:2015,O：ISO 45001：2018</w:t>
      </w:r>
      <w:bookmarkEnd w:id="5"/>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重庆跃达电力设备有限公司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重庆市江北区港城东路2号5幢5-1</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重庆市江北区港城东路2号5幢5-1</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孙利</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15223440235</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吴跃波</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吴跃波</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孙利</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Q：真空断路器、柱上单相隔离开关、户外交流高压跌落式熔断器的生产（资质许可范围内除外）</w:t>
            </w:r>
          </w:p>
          <w:p>
            <w:pPr>
              <w:spacing w:line="320" w:lineRule="exact"/>
              <w:rPr>
                <w:rFonts w:ascii="宋体" w:hAnsi="宋体"/>
                <w:b/>
                <w:color w:val="000000" w:themeColor="text1"/>
                <w:sz w:val="20"/>
                <w:szCs w:val="20"/>
              </w:rPr>
            </w:pPr>
            <w:r>
              <w:rPr>
                <w:rFonts w:ascii="宋体" w:hAnsi="宋体"/>
                <w:b/>
                <w:color w:val="000000" w:themeColor="text1"/>
                <w:sz w:val="20"/>
                <w:szCs w:val="20"/>
              </w:rPr>
              <w:t>E：真空断路器、柱上单相隔离开关、户外交流高压跌落式熔断器的生产（资质许可范围内除外）所涉及的相关环境管理活动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O：真空断路器、柱上单相隔离开关、户外交流高压跌落式熔断器的生产(资质许可范围内除外）所涉及的相关职业健康安全管理活动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Q：19.09.02</w:t>
            </w:r>
          </w:p>
          <w:p>
            <w:pPr>
              <w:spacing w:line="320" w:lineRule="exact"/>
              <w:rPr>
                <w:rFonts w:ascii="宋体" w:hAnsi="宋体"/>
                <w:b/>
                <w:color w:val="000000" w:themeColor="text1"/>
                <w:sz w:val="20"/>
                <w:szCs w:val="20"/>
              </w:rPr>
            </w:pPr>
            <w:r>
              <w:rPr>
                <w:rFonts w:ascii="宋体" w:hAnsi="宋体"/>
                <w:b/>
                <w:color w:val="000000" w:themeColor="text1"/>
                <w:sz w:val="20"/>
                <w:szCs w:val="20"/>
              </w:rPr>
              <w:t>E：19.09.02</w:t>
            </w:r>
          </w:p>
          <w:p>
            <w:pPr>
              <w:spacing w:line="320" w:lineRule="exact"/>
              <w:rPr>
                <w:rFonts w:ascii="宋体" w:hAnsi="宋体"/>
                <w:b/>
                <w:color w:val="000000" w:themeColor="text1"/>
                <w:sz w:val="20"/>
                <w:szCs w:val="20"/>
              </w:rPr>
            </w:pPr>
            <w:r>
              <w:rPr>
                <w:rFonts w:ascii="宋体" w:hAnsi="宋体"/>
                <w:b/>
                <w:color w:val="000000" w:themeColor="text1"/>
                <w:sz w:val="20"/>
                <w:szCs w:val="20"/>
              </w:rPr>
              <w:t>O：19.09.02</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2019-08-01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rPr>
              <w:t>行政部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生技部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产品研发；不合格品控制；纠正和预防措施控制；策划管理；过程监控管理；产品验收管理；监视和测量设备管理；服务过程管理；设备设施管理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销售</w:t>
            </w:r>
            <w:r>
              <w:rPr>
                <w:rFonts w:hint="eastAsia" w:ascii="宋体" w:hAnsi="宋体"/>
                <w:b/>
                <w:color w:val="000000" w:themeColor="text1"/>
                <w:sz w:val="20"/>
                <w:szCs w:val="20"/>
              </w:rPr>
              <w:t>部</w:t>
            </w:r>
          </w:p>
        </w:tc>
        <w:tc>
          <w:tcPr>
            <w:tcW w:w="6804" w:type="dxa"/>
            <w:vAlign w:val="top"/>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合同管理；客户管理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cs="Times New Roman"/>
                <w:b/>
                <w:color w:val="000000" w:themeColor="text1"/>
                <w:sz w:val="20"/>
                <w:szCs w:val="20"/>
                <w:lang w:val="en-US" w:eastAsia="zh-CN"/>
              </w:rPr>
            </w:pPr>
            <w:r>
              <w:rPr>
                <w:rFonts w:hint="eastAsia" w:ascii="宋体" w:hAnsi="宋体" w:cs="Times New Roman"/>
                <w:b/>
                <w:color w:val="000000" w:themeColor="text1"/>
                <w:sz w:val="20"/>
                <w:szCs w:val="20"/>
              </w:rPr>
              <w:t>财务部</w:t>
            </w:r>
          </w:p>
        </w:tc>
        <w:tc>
          <w:tcPr>
            <w:tcW w:w="6804" w:type="dxa"/>
            <w:vAlign w:val="top"/>
          </w:tcPr>
          <w:p>
            <w:pPr>
              <w:jc w:val="left"/>
              <w:rPr>
                <w:rFonts w:hint="eastAsia" w:ascii="宋体" w:hAnsi="宋体" w:cs="Times New Roman"/>
                <w:b/>
                <w:color w:val="000000" w:themeColor="text1"/>
                <w:sz w:val="20"/>
                <w:szCs w:val="20"/>
                <w:lang w:val="en-US" w:eastAsia="zh-CN"/>
              </w:rPr>
            </w:pPr>
            <w:r>
              <w:rPr>
                <w:rFonts w:hint="eastAsia" w:ascii="宋体" w:hAnsi="宋体" w:cs="Times New Roman"/>
                <w:b/>
                <w:color w:val="000000" w:themeColor="text1"/>
                <w:sz w:val="20"/>
                <w:szCs w:val="20"/>
              </w:rPr>
              <w:t>方针、目标管理；人员、部门职能职责和权限；风险识别评价管理；环境因素识别评价管理。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真空断路器、柱上单相隔离开关、户外交流高压跌落式熔断器的生产（资质许可范围内除外）</w:t>
            </w:r>
          </w:p>
        </w:tc>
        <w:tc>
          <w:tcPr>
            <w:tcW w:w="2519" w:type="dxa"/>
          </w:tcPr>
          <w:p>
            <w:pPr>
              <w:rPr>
                <w:rFonts w:hint="eastAsia" w:eastAsia="宋体"/>
                <w:b/>
                <w:color w:val="000000" w:themeColor="text1"/>
                <w:sz w:val="20"/>
                <w:szCs w:val="20"/>
                <w:lang w:eastAsia="zh-CN"/>
              </w:rPr>
            </w:pPr>
            <w:r>
              <w:rPr>
                <w:rFonts w:hint="eastAsia"/>
                <w:b/>
                <w:color w:val="000000" w:themeColor="text1"/>
                <w:sz w:val="20"/>
                <w:szCs w:val="20"/>
                <w:lang w:eastAsia="zh-CN"/>
              </w:rPr>
              <w:t>产品</w:t>
            </w:r>
          </w:p>
        </w:tc>
        <w:tc>
          <w:tcPr>
            <w:tcW w:w="1843" w:type="dxa"/>
          </w:tcPr>
          <w:p>
            <w:pPr>
              <w:rPr>
                <w:b/>
                <w:color w:val="000000" w:themeColor="text1"/>
                <w:sz w:val="20"/>
                <w:szCs w:val="20"/>
              </w:rPr>
            </w:pPr>
          </w:p>
        </w:tc>
        <w:tc>
          <w:tcPr>
            <w:tcW w:w="3543" w:type="dxa"/>
          </w:tcPr>
          <w:p>
            <w:pPr>
              <w:spacing w:line="400" w:lineRule="exact"/>
              <w:rPr>
                <w:szCs w:val="21"/>
                <w:highlight w:val="none"/>
              </w:rPr>
            </w:pP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高压交流断路器GB 1984</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w:t>
            </w:r>
            <w:r>
              <w:rPr>
                <w:rFonts w:hint="eastAsia" w:ascii="宋体" w:hAnsi="宋体"/>
                <w:szCs w:val="21"/>
                <w:highlight w:val="none"/>
              </w:rPr>
              <w:t>《高压交流隔离开关和接地开关》GB 1985-2014</w:t>
            </w:r>
            <w:r>
              <w:rPr>
                <w:rFonts w:hint="eastAsia" w:ascii="宋体" w:hAnsi="宋体"/>
                <w:szCs w:val="21"/>
                <w:highlight w:val="none"/>
                <w:lang w:val="en-US" w:eastAsia="zh-CN"/>
              </w:rPr>
              <w:t>、</w:t>
            </w:r>
            <w:r>
              <w:rPr>
                <w:rFonts w:hint="eastAsia" w:ascii="宋体" w:hAnsi="宋体"/>
                <w:szCs w:val="21"/>
                <w:highlight w:val="none"/>
              </w:rPr>
              <w:t>《高压</w:t>
            </w:r>
            <w:r>
              <w:rPr>
                <w:rFonts w:hint="eastAsia" w:ascii="宋体" w:hAnsi="宋体"/>
                <w:szCs w:val="21"/>
                <w:highlight w:val="none"/>
                <w:lang w:eastAsia="zh-CN"/>
              </w:rPr>
              <w:t>交流</w:t>
            </w:r>
            <w:r>
              <w:rPr>
                <w:rFonts w:hint="eastAsia" w:ascii="宋体" w:hAnsi="宋体"/>
                <w:szCs w:val="21"/>
                <w:highlight w:val="none"/>
              </w:rPr>
              <w:t>熔断器</w:t>
            </w:r>
            <w:r>
              <w:rPr>
                <w:rFonts w:hint="eastAsia" w:ascii="宋体" w:hAnsi="宋体"/>
                <w:szCs w:val="21"/>
                <w:highlight w:val="none"/>
                <w:lang w:val="en-US" w:eastAsia="zh-CN"/>
              </w:rPr>
              <w:t xml:space="preserve"> 第三部份：喷射</w:t>
            </w:r>
            <w:r>
              <w:rPr>
                <w:sz w:val="20"/>
                <w:highlight w:val="none"/>
              </w:rPr>
              <w:t>熔断器</w:t>
            </w:r>
            <w:r>
              <w:rPr>
                <w:rFonts w:hint="eastAsia" w:ascii="宋体" w:hAnsi="宋体"/>
                <w:szCs w:val="21"/>
                <w:highlight w:val="none"/>
              </w:rPr>
              <w:t>》</w:t>
            </w:r>
            <w:r>
              <w:rPr>
                <w:rFonts w:hint="eastAsia" w:ascii="宋体" w:hAnsi="宋体"/>
                <w:szCs w:val="21"/>
                <w:highlight w:val="none"/>
                <w:lang w:val="en-US" w:eastAsia="zh-CN"/>
              </w:rPr>
              <w:t>GB</w:t>
            </w:r>
            <w:r>
              <w:rPr>
                <w:rFonts w:hint="eastAsia" w:ascii="宋体" w:hAnsi="宋体"/>
                <w:szCs w:val="21"/>
                <w:highlight w:val="none"/>
              </w:rPr>
              <w:t xml:space="preserve">/T </w:t>
            </w:r>
            <w:r>
              <w:rPr>
                <w:rFonts w:hint="eastAsia" w:ascii="宋体" w:hAnsi="宋体"/>
                <w:szCs w:val="21"/>
                <w:highlight w:val="none"/>
                <w:lang w:val="en-US" w:eastAsia="zh-CN"/>
              </w:rPr>
              <w:t>15166.3</w:t>
            </w:r>
            <w:r>
              <w:rPr>
                <w:rFonts w:hint="eastAsia" w:ascii="宋体" w:hAnsi="宋体"/>
                <w:szCs w:val="21"/>
                <w:highlight w:val="none"/>
              </w:rPr>
              <w:t>-</w:t>
            </w:r>
            <w:r>
              <w:rPr>
                <w:rFonts w:hint="eastAsia" w:ascii="宋体" w:hAnsi="宋体"/>
                <w:szCs w:val="21"/>
                <w:highlight w:val="none"/>
                <w:lang w:val="en-US" w:eastAsia="zh-CN"/>
              </w:rPr>
              <w:t>2008</w:t>
            </w:r>
            <w:r>
              <w:rPr>
                <w:rFonts w:hint="eastAsia" w:ascii="宋体" w:hAnsi="宋体"/>
                <w:szCs w:val="21"/>
                <w:highlight w:val="none"/>
                <w:lang w:eastAsia="zh-CN"/>
              </w:rPr>
              <w:t>等标准</w:t>
            </w:r>
            <w:r>
              <w:rPr>
                <w:rFonts w:hint="eastAsia" w:ascii="宋体" w:hAnsi="宋体"/>
                <w:szCs w:val="21"/>
                <w:highlight w:val="none"/>
                <w:lang w:val="en-US" w:eastAsia="zh-CN"/>
              </w:rPr>
              <w:t>、</w:t>
            </w:r>
            <w:r>
              <w:rPr>
                <w:rFonts w:hint="eastAsia" w:ascii="宋体" w:hAnsi="宋体"/>
                <w:szCs w:val="21"/>
                <w:highlight w:val="none"/>
              </w:rPr>
              <w:t>合同协议</w:t>
            </w:r>
            <w:r>
              <w:rPr>
                <w:rFonts w:hint="eastAsia"/>
                <w:szCs w:val="21"/>
                <w:highlight w:val="none"/>
              </w:rPr>
              <w:t>等。</w:t>
            </w:r>
          </w:p>
          <w:p>
            <w:pPr>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rFonts w:hint="eastAsia" w:eastAsia="宋体"/>
                <w:b/>
                <w:color w:val="000000" w:themeColor="text1"/>
                <w:sz w:val="20"/>
                <w:szCs w:val="20"/>
                <w:lang w:eastAsia="zh-CN"/>
              </w:rPr>
            </w:pPr>
          </w:p>
        </w:tc>
        <w:tc>
          <w:tcPr>
            <w:tcW w:w="1843" w:type="dxa"/>
          </w:tcPr>
          <w:p>
            <w:pPr>
              <w:rPr>
                <w:b/>
                <w:color w:val="000000" w:themeColor="text1"/>
                <w:sz w:val="20"/>
                <w:szCs w:val="20"/>
              </w:rPr>
            </w:pPr>
          </w:p>
        </w:tc>
        <w:tc>
          <w:tcPr>
            <w:tcW w:w="3543" w:type="dxa"/>
          </w:tcPr>
          <w:p>
            <w:pPr>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64" w:leftChars="-337" w:hanging="544" w:hangingChars="271"/>
        <w:rPr>
          <w:rFonts w:hint="eastAsia" w:ascii="Times New Roman" w:hAnsi="Times New Roman" w:eastAsia="宋体" w:cs="Times New Roman"/>
          <w:b/>
          <w:color w:val="FF0000"/>
          <w:spacing w:val="-10"/>
          <w:szCs w:val="21"/>
          <w:lang w:eastAsia="zh-CN"/>
        </w:rPr>
      </w:pPr>
      <w:r>
        <w:rPr>
          <w:rFonts w:hint="eastAsia" w:ascii="宋体" w:hAnsi="宋体"/>
          <w:b/>
          <w:color w:val="000000" w:themeColor="text1"/>
          <w:sz w:val="20"/>
          <w:szCs w:val="20"/>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8</w:t>
      </w:r>
      <w:r>
        <w:rPr>
          <w:rFonts w:hint="eastAsia"/>
          <w:b/>
          <w:color w:val="000000" w:themeColor="text1"/>
          <w:spacing w:val="-10"/>
          <w:szCs w:val="21"/>
        </w:rPr>
        <w:t>月</w:t>
      </w:r>
      <w:bookmarkStart w:id="21" w:name="OLE_LINK1"/>
      <w:r>
        <w:rPr>
          <w:rFonts w:hint="eastAsia"/>
          <w:b/>
          <w:color w:val="000000" w:themeColor="text1"/>
          <w:spacing w:val="-10"/>
          <w:szCs w:val="21"/>
          <w:u w:val="single"/>
          <w:lang w:val="en-US" w:eastAsia="zh-CN"/>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3</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lang w:val="en-US" w:eastAsia="zh-CN"/>
        </w:rPr>
        <w:t>29</w:t>
      </w:r>
      <w:r>
        <w:rPr>
          <w:rFonts w:hint="eastAsia"/>
          <w:b/>
          <w:color w:val="000000" w:themeColor="text1"/>
          <w:spacing w:val="-10"/>
          <w:szCs w:val="21"/>
        </w:rPr>
        <w:t>日。</w:t>
      </w:r>
      <w:r>
        <w:rPr>
          <w:rFonts w:hint="eastAsia"/>
          <w:b/>
          <w:color w:val="000000" w:themeColor="text1"/>
          <w:spacing w:val="-10"/>
          <w:szCs w:val="21"/>
          <w:lang w:eastAsia="zh-CN"/>
        </w:rPr>
        <w:t>（</w:t>
      </w:r>
      <w:r>
        <w:rPr>
          <w:rFonts w:hint="eastAsia"/>
          <w:b/>
          <w:color w:val="FF0000"/>
          <w:spacing w:val="-10"/>
          <w:szCs w:val="21"/>
          <w:lang w:eastAsia="zh-CN"/>
        </w:rPr>
        <w:t>现场补充审核复盖时</w:t>
      </w:r>
      <w:r>
        <w:rPr>
          <w:rFonts w:hint="eastAsia" w:ascii="Times New Roman" w:hAnsi="Times New Roman" w:eastAsia="宋体" w:cs="Times New Roman"/>
          <w:b/>
          <w:color w:val="FF0000"/>
          <w:spacing w:val="-10"/>
          <w:szCs w:val="21"/>
          <w:lang w:eastAsia="zh-CN"/>
        </w:rPr>
        <w:t>间20</w:t>
      </w:r>
      <w:r>
        <w:rPr>
          <w:rFonts w:hint="eastAsia" w:ascii="Times New Roman" w:hAnsi="Times New Roman" w:eastAsia="宋体" w:cs="Times New Roman"/>
          <w:b/>
          <w:color w:val="FF0000"/>
          <w:spacing w:val="-10"/>
          <w:szCs w:val="21"/>
          <w:lang w:val="en-US" w:eastAsia="zh-CN"/>
        </w:rPr>
        <w:t>20</w:t>
      </w:r>
      <w:r>
        <w:rPr>
          <w:rFonts w:hint="eastAsia" w:ascii="Times New Roman" w:hAnsi="Times New Roman" w:eastAsia="宋体" w:cs="Times New Roman"/>
          <w:b/>
          <w:color w:val="FF0000"/>
          <w:spacing w:val="-10"/>
          <w:szCs w:val="21"/>
          <w:lang w:eastAsia="zh-CN"/>
        </w:rPr>
        <w:t xml:space="preserve"> 年 </w:t>
      </w:r>
      <w:r>
        <w:rPr>
          <w:rFonts w:hint="eastAsia" w:ascii="Times New Roman" w:hAnsi="Times New Roman" w:eastAsia="宋体" w:cs="Times New Roman"/>
          <w:b/>
          <w:color w:val="FF0000"/>
          <w:spacing w:val="-10"/>
          <w:szCs w:val="21"/>
          <w:lang w:val="en-US" w:eastAsia="zh-CN"/>
        </w:rPr>
        <w:t>3</w:t>
      </w:r>
      <w:r>
        <w:rPr>
          <w:rFonts w:hint="eastAsia" w:ascii="Times New Roman" w:hAnsi="Times New Roman" w:eastAsia="宋体" w:cs="Times New Roman"/>
          <w:b/>
          <w:color w:val="FF0000"/>
          <w:spacing w:val="-10"/>
          <w:szCs w:val="21"/>
          <w:lang w:eastAsia="zh-CN"/>
        </w:rPr>
        <w:t xml:space="preserve"> 月</w:t>
      </w:r>
      <w:r>
        <w:rPr>
          <w:rFonts w:hint="eastAsia" w:ascii="Times New Roman" w:hAnsi="Times New Roman" w:eastAsia="宋体" w:cs="Times New Roman"/>
          <w:b/>
          <w:color w:val="FF0000"/>
          <w:spacing w:val="-10"/>
          <w:szCs w:val="21"/>
          <w:lang w:val="en-US" w:eastAsia="zh-CN"/>
        </w:rPr>
        <w:t>29</w:t>
      </w:r>
      <w:r>
        <w:rPr>
          <w:rFonts w:hint="eastAsia" w:ascii="Times New Roman" w:hAnsi="Times New Roman" w:eastAsia="宋体" w:cs="Times New Roman"/>
          <w:b/>
          <w:color w:val="FF0000"/>
          <w:spacing w:val="-10"/>
          <w:szCs w:val="21"/>
          <w:lang w:eastAsia="zh-CN"/>
        </w:rPr>
        <w:t>日</w:t>
      </w:r>
      <w:r>
        <w:rPr>
          <w:rFonts w:hint="eastAsia" w:ascii="Times New Roman" w:hAnsi="Times New Roman" w:eastAsia="宋体" w:cs="Times New Roman"/>
          <w:b/>
          <w:color w:val="FF0000"/>
          <w:spacing w:val="-10"/>
          <w:szCs w:val="21"/>
          <w:lang w:val="en-US" w:eastAsia="zh-CN"/>
        </w:rPr>
        <w:t>至2020年12月5日）</w:t>
      </w:r>
      <w:r>
        <w:rPr>
          <w:rFonts w:hint="eastAsia" w:ascii="Times New Roman" w:hAnsi="Times New Roman" w:eastAsia="宋体" w:cs="Times New Roman"/>
          <w:b/>
          <w:color w:val="FF0000"/>
          <w:spacing w:val="-10"/>
          <w:szCs w:val="21"/>
          <w:lang w:eastAsia="zh-CN"/>
        </w:rPr>
        <w:t>。</w:t>
      </w:r>
    </w:p>
    <w:p>
      <w:pPr>
        <w:spacing w:line="360" w:lineRule="auto"/>
        <w:ind w:left="-191" w:leftChars="-337" w:hanging="517" w:hangingChars="271"/>
        <w:rPr>
          <w:b/>
          <w:color w:val="000000" w:themeColor="text1"/>
          <w:spacing w:val="-10"/>
          <w:szCs w:val="21"/>
        </w:rPr>
      </w:pP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64" w:leftChars="-337" w:hanging="544" w:hangingChars="271"/>
        <w:rPr>
          <w:b/>
          <w:color w:val="000000" w:themeColor="text1"/>
          <w:spacing w:val="-10"/>
          <w:szCs w:val="21"/>
        </w:rPr>
      </w:pPr>
      <w:r>
        <w:rPr>
          <w:rFonts w:hint="eastAsia" w:ascii="宋体" w:hAnsi="宋体"/>
          <w:b/>
          <w:color w:val="000000" w:themeColor="text1"/>
          <w:sz w:val="20"/>
          <w:szCs w:val="20"/>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质量方针：</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“以质为本、诚信经营、顾客满意、持续改进、以及认真仔细，快速响应，坚守承诺，精益求精,为顾客提供优质的产品”。</w:t>
            </w:r>
          </w:p>
          <w:p>
            <w:pPr>
              <w:rPr>
                <w:rFonts w:hint="eastAsia" w:asciiTheme="minorEastAsia" w:hAnsiTheme="minorEastAsia" w:eastAsiaTheme="minorEastAsia" w:cstheme="minorEastAsia"/>
                <w:b w:val="0"/>
                <w:bCs w:val="0"/>
                <w:sz w:val="21"/>
                <w:szCs w:val="21"/>
                <w:lang w:eastAsia="zh-CN"/>
              </w:rPr>
            </w:pPr>
          </w:p>
          <w:p>
            <w:pPr>
              <w:ind w:firstLine="210" w:firstLineChars="100"/>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环境职业健康安全方针：</w:t>
            </w:r>
          </w:p>
          <w:p>
            <w:pPr>
              <w:spacing w:line="360" w:lineRule="auto"/>
              <w:jc w:val="left"/>
              <w:rPr>
                <w:b/>
                <w:color w:val="000000" w:themeColor="text1"/>
              </w:rPr>
            </w:pPr>
            <w:r>
              <w:rPr>
                <w:rFonts w:hint="eastAsia" w:asciiTheme="minorEastAsia" w:hAnsiTheme="minorEastAsia" w:eastAsiaTheme="minorEastAsia" w:cstheme="minorEastAsia"/>
                <w:b w:val="0"/>
                <w:bCs w:val="0"/>
                <w:sz w:val="21"/>
                <w:szCs w:val="21"/>
                <w:lang w:eastAsia="zh-CN"/>
              </w:rPr>
              <w:t>“防火消灾，预防为主；全员参与，持续改进，杜绝一切事故及伤害”。</w:t>
            </w:r>
          </w:p>
        </w:tc>
      </w:tr>
      <w:tr>
        <w:tblPrEx>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质量管理体系过程有：合同评审、采购、</w:t>
            </w:r>
            <w:r>
              <w:rPr>
                <w:rFonts w:hint="eastAsia" w:ascii="宋体" w:hAnsi="宋体"/>
                <w:b/>
                <w:color w:val="000000" w:themeColor="text1"/>
                <w:sz w:val="20"/>
                <w:szCs w:val="20"/>
                <w:lang w:eastAsia="zh-CN"/>
              </w:rPr>
              <w:t>生产</w:t>
            </w:r>
            <w:r>
              <w:rPr>
                <w:rFonts w:hint="eastAsia" w:ascii="宋体" w:hAnsi="宋体"/>
                <w:b/>
                <w:color w:val="000000" w:themeColor="text1"/>
                <w:sz w:val="20"/>
                <w:szCs w:val="20"/>
              </w:rPr>
              <w:t>、</w:t>
            </w:r>
            <w:r>
              <w:rPr>
                <w:rFonts w:hint="eastAsia" w:ascii="宋体" w:hAnsi="宋体"/>
                <w:b/>
                <w:color w:val="000000" w:themeColor="text1"/>
                <w:sz w:val="20"/>
                <w:szCs w:val="20"/>
                <w:lang w:eastAsia="zh-CN"/>
              </w:rPr>
              <w:t>检验、</w:t>
            </w:r>
            <w:r>
              <w:rPr>
                <w:rFonts w:hint="eastAsia" w:ascii="宋体" w:hAnsi="宋体"/>
                <w:b/>
                <w:color w:val="000000" w:themeColor="text1"/>
                <w:sz w:val="20"/>
                <w:szCs w:val="20"/>
              </w:rPr>
              <w:t>销售过程等。</w:t>
            </w:r>
          </w:p>
          <w:p>
            <w:pPr>
              <w:tabs>
                <w:tab w:val="left" w:pos="540"/>
              </w:tabs>
              <w:spacing w:line="300" w:lineRule="exact"/>
              <w:ind w:left="201" w:hanging="201" w:hangingChars="100"/>
              <w:rPr>
                <w:rFonts w:hint="eastAsia" w:ascii="宋体" w:hAnsi="宋体" w:eastAsia="宋体" w:cs="Times New Roman"/>
                <w:b/>
                <w:color w:val="000000" w:themeColor="text1"/>
                <w:sz w:val="20"/>
                <w:szCs w:val="20"/>
                <w:highlight w:val="none"/>
                <w:lang w:eastAsia="zh-CN"/>
              </w:rPr>
            </w:pPr>
            <w:r>
              <w:rPr>
                <w:rFonts w:hint="eastAsia" w:ascii="宋体" w:hAnsi="宋体"/>
                <w:b/>
                <w:color w:val="000000" w:themeColor="text1"/>
                <w:sz w:val="20"/>
                <w:szCs w:val="20"/>
              </w:rPr>
              <w:t>其中关键</w:t>
            </w:r>
            <w:r>
              <w:rPr>
                <w:rFonts w:hint="eastAsia" w:ascii="宋体" w:hAnsi="宋体"/>
                <w:b/>
                <w:color w:val="000000" w:themeColor="text1"/>
                <w:sz w:val="20"/>
                <w:szCs w:val="20"/>
                <w:highlight w:val="none"/>
              </w:rPr>
              <w:t>过程有：</w:t>
            </w:r>
            <w:r>
              <w:rPr>
                <w:rFonts w:hint="eastAsia" w:ascii="宋体" w:hAnsi="宋体"/>
                <w:b/>
                <w:color w:val="000000" w:themeColor="text1"/>
                <w:sz w:val="20"/>
                <w:szCs w:val="20"/>
                <w:highlight w:val="none"/>
                <w:lang w:eastAsia="zh-CN"/>
              </w:rPr>
              <w:t>无</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cs="Times New Roman"/>
                <w:b/>
                <w:color w:val="000000" w:themeColor="text1"/>
                <w:sz w:val="20"/>
                <w:szCs w:val="20"/>
                <w:highlight w:val="none"/>
              </w:rPr>
              <w:t xml:space="preserve">需要确认过程： </w:t>
            </w:r>
            <w:r>
              <w:rPr>
                <w:rFonts w:hint="eastAsia" w:ascii="宋体" w:hAnsi="宋体" w:cs="Times New Roman"/>
                <w:b/>
                <w:color w:val="000000" w:themeColor="text1"/>
                <w:sz w:val="20"/>
                <w:szCs w:val="20"/>
                <w:highlight w:val="none"/>
                <w:lang w:eastAsia="zh-CN"/>
              </w:rPr>
              <w:t>装配、测试</w:t>
            </w:r>
            <w:r>
              <w:rPr>
                <w:rFonts w:hint="eastAsia" w:ascii="宋体" w:hAnsi="宋体"/>
                <w:b/>
                <w:color w:val="000000" w:themeColor="text1"/>
                <w:sz w:val="20"/>
                <w:szCs w:val="20"/>
                <w:highlight w:val="none"/>
              </w:rPr>
              <w:t xml:space="preserve">过程 </w:t>
            </w:r>
          </w:p>
          <w:p>
            <w:pPr>
              <w:tabs>
                <w:tab w:val="left" w:pos="1080"/>
              </w:tabs>
              <w:spacing w:line="400" w:lineRule="exact"/>
              <w:rPr>
                <w:rFonts w:hint="eastAsia" w:ascii="宋体" w:hAnsi="宋体"/>
                <w:szCs w:val="21"/>
                <w:highlight w:val="none"/>
                <w:u w:val="single"/>
                <w:lang w:val="en-US" w:eastAsia="zh-CN"/>
              </w:rPr>
            </w:pPr>
            <w:r>
              <w:rPr>
                <w:rFonts w:hint="eastAsia" w:ascii="宋体" w:hAnsi="宋体"/>
                <w:b/>
                <w:color w:val="000000" w:themeColor="text1"/>
                <w:sz w:val="20"/>
                <w:szCs w:val="20"/>
                <w:highlight w:val="none"/>
              </w:rPr>
              <w:t>不适用条款是</w:t>
            </w:r>
            <w:r>
              <w:rPr>
                <w:rFonts w:hint="eastAsia" w:ascii="宋体" w:hAnsi="宋体" w:cs="Times New Roman"/>
                <w:b/>
                <w:color w:val="000000" w:themeColor="text1"/>
                <w:sz w:val="20"/>
                <w:szCs w:val="20"/>
                <w:highlight w:val="none"/>
              </w:rPr>
              <w:t xml:space="preserve"> </w:t>
            </w:r>
            <w:r>
              <w:rPr>
                <w:rFonts w:hint="eastAsia" w:ascii="宋体" w:hAnsi="宋体" w:cs="Times New Roman"/>
                <w:b/>
                <w:color w:val="000000" w:themeColor="text1"/>
                <w:sz w:val="20"/>
                <w:szCs w:val="20"/>
                <w:highlight w:val="none"/>
                <w:u w:val="single"/>
                <w:lang w:val="en-US" w:eastAsia="zh-CN"/>
              </w:rPr>
              <w:t>8.3</w:t>
            </w:r>
            <w:r>
              <w:rPr>
                <w:rFonts w:hint="eastAsia" w:ascii="宋体" w:hAnsi="宋体" w:cs="Times New Roman"/>
                <w:b/>
                <w:color w:val="000000" w:themeColor="text1"/>
                <w:sz w:val="20"/>
                <w:szCs w:val="20"/>
                <w:highlight w:val="none"/>
                <w:u w:val="single"/>
              </w:rPr>
              <w:t xml:space="preserve">  </w:t>
            </w:r>
            <w:r>
              <w:rPr>
                <w:rFonts w:hint="eastAsia" w:ascii="宋体" w:hAnsi="宋体" w:cs="Times New Roman"/>
                <w:b/>
                <w:color w:val="000000" w:themeColor="text1"/>
                <w:sz w:val="20"/>
                <w:szCs w:val="20"/>
                <w:highlight w:val="none"/>
              </w:rPr>
              <w:t xml:space="preserve"> ，不适用理由：</w:t>
            </w:r>
            <w:r>
              <w:rPr>
                <w:rFonts w:hint="eastAsia" w:ascii="宋体" w:hAnsi="宋体" w:cs="Times New Roman"/>
                <w:b/>
                <w:color w:val="000000" w:themeColor="text1"/>
                <w:sz w:val="20"/>
                <w:szCs w:val="20"/>
                <w:highlight w:val="none"/>
                <w:u w:val="single"/>
                <w:lang w:eastAsia="zh-CN"/>
              </w:rPr>
              <w:tab/>
            </w:r>
            <w:r>
              <w:rPr>
                <w:rFonts w:hint="eastAsia" w:ascii="宋体" w:hAnsi="宋体"/>
                <w:sz w:val="21"/>
                <w:szCs w:val="21"/>
                <w:highlight w:val="none"/>
                <w:u w:val="single"/>
              </w:rPr>
              <w:t>公司所生产的产品严格按照国家标准及客户要求进行生产，无设计和开发</w:t>
            </w:r>
            <w:r>
              <w:rPr>
                <w:rFonts w:hint="eastAsia" w:ascii="宋体" w:hAnsi="宋体"/>
                <w:szCs w:val="21"/>
                <w:highlight w:val="none"/>
                <w:u w:val="single"/>
                <w:lang w:val="en-US" w:eastAsia="zh-CN"/>
              </w:rPr>
              <w:t>。</w:t>
            </w:r>
          </w:p>
          <w:p>
            <w:pPr>
              <w:tabs>
                <w:tab w:val="left" w:pos="540"/>
                <w:tab w:val="right" w:pos="8781"/>
              </w:tabs>
              <w:spacing w:line="300" w:lineRule="exact"/>
              <w:ind w:left="201" w:hanging="211" w:hangingChars="100"/>
              <w:rPr>
                <w:rFonts w:hint="eastAsia" w:ascii="宋体" w:hAnsi="宋体" w:eastAsia="宋体"/>
                <w:b/>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w:t>
            </w:r>
            <w:r>
              <w:rPr>
                <w:rFonts w:hint="eastAsia" w:asciiTheme="minorEastAsia" w:hAnsiTheme="minorEastAsia" w:eastAsiaTheme="minorEastAsia"/>
                <w:bCs/>
                <w:iCs/>
                <w:lang w:eastAsia="zh-CN"/>
              </w:rPr>
              <w:t>排放</w:t>
            </w:r>
            <w:r>
              <w:rPr>
                <w:rFonts w:hint="eastAsia" w:asciiTheme="minorEastAsia" w:hAnsiTheme="minorEastAsia" w:eastAsiaTheme="minorEastAsia"/>
                <w:bCs/>
                <w:iCs/>
              </w:rPr>
              <w:t>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w:t>
            </w:r>
            <w:r>
              <w:rPr>
                <w:rFonts w:hint="eastAsia" w:ascii="宋体" w:hAnsi="宋体"/>
                <w:color w:val="000000" w:themeColor="text1"/>
                <w:lang w:eastAsia="zh-CN"/>
              </w:rPr>
              <w:t>（</w:t>
            </w:r>
            <w:r>
              <w:rPr>
                <w:rFonts w:hint="eastAsia" w:ascii="宋体" w:hAnsi="宋体" w:cs="Times New Roman"/>
                <w:szCs w:val="21"/>
                <w:highlight w:val="none"/>
              </w:rPr>
              <w:t>火灾、触电、</w:t>
            </w:r>
            <w:r>
              <w:rPr>
                <w:rFonts w:hint="eastAsia" w:ascii="宋体" w:hAnsi="宋体" w:cs="Times New Roman"/>
                <w:szCs w:val="21"/>
                <w:highlight w:val="none"/>
                <w:lang w:eastAsia="zh-CN"/>
              </w:rPr>
              <w:t>意外伤害（机械伤害、中暑、交通事故等）</w:t>
            </w:r>
            <w:r>
              <w:rPr>
                <w:rFonts w:hint="eastAsia" w:ascii="宋体" w:hAnsi="宋体"/>
                <w:color w:val="000000" w:themeColor="text1"/>
                <w:lang w:eastAsia="zh-CN"/>
              </w:rPr>
              <w:t>）</w:t>
            </w:r>
            <w:r>
              <w:rPr>
                <w:rFonts w:hint="eastAsia" w:ascii="宋体" w:hAnsi="宋体"/>
                <w:color w:val="000000" w:themeColor="text1"/>
              </w:rPr>
              <w:t>，与之相关的过程有</w:t>
            </w:r>
            <w:r>
              <w:rPr>
                <w:rFonts w:hint="eastAsia" w:ascii="宋体" w:hAnsi="宋体" w:cs="Times New Roman"/>
                <w:szCs w:val="21"/>
                <w:lang w:eastAsia="zh-CN"/>
              </w:rPr>
              <w:t>采购</w:t>
            </w:r>
            <w:r>
              <w:rPr>
                <w:rFonts w:hint="eastAsia" w:ascii="宋体" w:hAnsi="宋体"/>
                <w:color w:val="000000" w:themeColor="text1"/>
                <w:lang w:eastAsia="zh-CN"/>
              </w:rPr>
              <w:t>、生产、检验、销售</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管理目标、指标的实现情况：</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lang w:eastAsia="zh-CN"/>
              </w:rPr>
              <w:t>（考核时间：</w:t>
            </w:r>
            <w:r>
              <w:rPr>
                <w:rFonts w:hint="eastAsia" w:ascii="宋体" w:hAnsi="宋体" w:cs="宋体"/>
                <w:color w:val="000000"/>
                <w:kern w:val="0"/>
                <w:szCs w:val="21"/>
                <w:highlight w:val="none"/>
                <w:lang w:val="en-US" w:eastAsia="zh-CN"/>
              </w:rPr>
              <w:t>2019年8月-2020年2月）</w:t>
            </w:r>
          </w:p>
          <w:p>
            <w:pPr>
              <w:pStyle w:val="2"/>
              <w:rPr>
                <w:b w:val="0"/>
                <w:bCs w:val="0"/>
                <w:color w:val="auto"/>
                <w:sz w:val="21"/>
                <w:szCs w:val="21"/>
                <w:highlight w:val="none"/>
              </w:rPr>
            </w:pPr>
            <w:r>
              <w:rPr>
                <w:rFonts w:hint="eastAsia" w:ascii="宋体" w:hAnsi="宋体" w:cs="宋体"/>
                <w:color w:val="000000"/>
                <w:sz w:val="21"/>
                <w:szCs w:val="21"/>
                <w:highlight w:val="none"/>
              </w:rPr>
              <w:t>1）成品交付合格率≥98%；</w:t>
            </w:r>
            <w:r>
              <w:rPr>
                <w:rFonts w:ascii="宋体" w:hAnsi="宋体"/>
                <w:b w:val="0"/>
                <w:bCs w:val="0"/>
                <w:color w:val="auto"/>
                <w:sz w:val="21"/>
                <w:szCs w:val="21"/>
                <w:highlight w:val="none"/>
              </w:rPr>
              <w:t xml:space="preserve">                 </w:t>
            </w:r>
            <w:r>
              <w:rPr>
                <w:rFonts w:hint="eastAsia" w:ascii="宋体" w:hAnsi="宋体"/>
                <w:b w:val="0"/>
                <w:bCs w:val="0"/>
                <w:color w:val="auto"/>
                <w:sz w:val="21"/>
                <w:szCs w:val="21"/>
                <w:highlight w:val="none"/>
              </w:rPr>
              <w:t>实测：</w:t>
            </w:r>
            <w:r>
              <w:rPr>
                <w:rFonts w:hint="eastAsia"/>
                <w:b w:val="0"/>
                <w:bCs w:val="0"/>
                <w:color w:val="auto"/>
                <w:sz w:val="21"/>
                <w:szCs w:val="21"/>
                <w:highlight w:val="none"/>
              </w:rPr>
              <w:t>100</w:t>
            </w:r>
            <w:r>
              <w:rPr>
                <w:b w:val="0"/>
                <w:bCs w:val="0"/>
                <w:color w:val="auto"/>
                <w:sz w:val="21"/>
                <w:szCs w:val="21"/>
                <w:highlight w:val="none"/>
              </w:rPr>
              <w:t>%</w:t>
            </w:r>
          </w:p>
          <w:p>
            <w:pPr>
              <w:pStyle w:val="2"/>
              <w:rPr>
                <w:rFonts w:ascii="宋体" w:hAnsi="宋体"/>
                <w:b w:val="0"/>
                <w:bCs w:val="0"/>
                <w:color w:val="auto"/>
                <w:sz w:val="21"/>
                <w:szCs w:val="21"/>
                <w:highlight w:val="none"/>
              </w:rPr>
            </w:pPr>
            <w:r>
              <w:rPr>
                <w:rFonts w:hint="eastAsia" w:ascii="宋体" w:hAnsi="宋体" w:eastAsia="宋体" w:cs="宋体"/>
                <w:bCs/>
                <w:color w:val="000000"/>
                <w:spacing w:val="10"/>
                <w:kern w:val="2"/>
                <w:sz w:val="21"/>
                <w:szCs w:val="21"/>
                <w:highlight w:val="none"/>
                <w:lang w:val="en-US" w:eastAsia="zh-CN" w:bidi="ar-SA"/>
              </w:rPr>
              <w:t>2）</w:t>
            </w:r>
            <w:r>
              <w:rPr>
                <w:rFonts w:hint="eastAsia" w:asciiTheme="minorEastAsia" w:hAnsiTheme="minorEastAsia" w:eastAsiaTheme="minorEastAsia" w:cstheme="minorEastAsia"/>
                <w:b w:val="0"/>
                <w:bCs w:val="0"/>
                <w:sz w:val="21"/>
                <w:szCs w:val="21"/>
                <w:highlight w:val="none"/>
              </w:rPr>
              <w:t> </w:t>
            </w:r>
            <w:r>
              <w:rPr>
                <w:rFonts w:hint="eastAsia" w:ascii="宋体" w:hAnsi="宋体" w:cs="宋体"/>
                <w:color w:val="000000"/>
                <w:sz w:val="21"/>
                <w:szCs w:val="21"/>
                <w:highlight w:val="none"/>
              </w:rPr>
              <w:t>顾客满意度≥90%，并逐年上升</w:t>
            </w:r>
            <w:r>
              <w:rPr>
                <w:rFonts w:hint="eastAsia" w:asciiTheme="minorEastAsia" w:hAnsiTheme="minorEastAsia" w:eastAsiaTheme="minorEastAsia" w:cstheme="minorEastAsia"/>
                <w:b w:val="0"/>
                <w:bCs w:val="0"/>
                <w:sz w:val="21"/>
                <w:szCs w:val="21"/>
                <w:highlight w:val="none"/>
              </w:rPr>
              <w:t>；</w:t>
            </w:r>
            <w:r>
              <w:rPr>
                <w:rFonts w:ascii="宋体" w:hAnsi="宋体"/>
                <w:b w:val="0"/>
                <w:bCs w:val="0"/>
                <w:color w:val="auto"/>
                <w:sz w:val="21"/>
                <w:szCs w:val="21"/>
                <w:highlight w:val="none"/>
              </w:rPr>
              <w:t xml:space="preserve">        </w:t>
            </w:r>
            <w:r>
              <w:rPr>
                <w:rFonts w:hint="eastAsia" w:ascii="宋体" w:hAnsi="宋体"/>
                <w:b w:val="0"/>
                <w:bCs w:val="0"/>
                <w:color w:val="auto"/>
                <w:sz w:val="21"/>
                <w:szCs w:val="21"/>
                <w:highlight w:val="none"/>
              </w:rPr>
              <w:t>实测：</w:t>
            </w:r>
            <w:r>
              <w:rPr>
                <w:rFonts w:hint="eastAsia" w:ascii="宋体" w:hAnsi="宋体"/>
                <w:b w:val="0"/>
                <w:bCs w:val="0"/>
                <w:color w:val="auto"/>
                <w:sz w:val="21"/>
                <w:szCs w:val="21"/>
                <w:highlight w:val="none"/>
                <w:lang w:val="en-US" w:eastAsia="zh-CN"/>
              </w:rPr>
              <w:t>95</w:t>
            </w:r>
            <w:r>
              <w:rPr>
                <w:rFonts w:hint="eastAsia" w:ascii="宋体" w:hAnsi="宋体"/>
                <w:b w:val="0"/>
                <w:bCs w:val="0"/>
                <w:color w:val="auto"/>
                <w:sz w:val="21"/>
                <w:szCs w:val="21"/>
                <w:highlight w:val="none"/>
              </w:rPr>
              <w:t>%</w:t>
            </w:r>
          </w:p>
          <w:p>
            <w:pPr>
              <w:pStyle w:val="2"/>
              <w:rPr>
                <w:rFonts w:hint="eastAsia" w:ascii="宋体" w:hAnsi="宋体" w:eastAsia="宋体"/>
                <w:b w:val="0"/>
                <w:bCs w:val="0"/>
                <w:color w:val="auto"/>
                <w:sz w:val="21"/>
                <w:szCs w:val="21"/>
                <w:highlight w:val="none"/>
                <w:lang w:eastAsia="zh-CN"/>
              </w:rPr>
            </w:pPr>
            <w:r>
              <w:rPr>
                <w:rFonts w:hint="eastAsia" w:ascii="宋体" w:hAnsi="宋体" w:eastAsia="宋体" w:cs="宋体"/>
                <w:bCs/>
                <w:color w:val="000000"/>
                <w:spacing w:val="10"/>
                <w:kern w:val="2"/>
                <w:sz w:val="21"/>
                <w:szCs w:val="21"/>
                <w:highlight w:val="none"/>
                <w:lang w:val="en-US" w:eastAsia="zh-CN" w:bidi="ar-SA"/>
              </w:rPr>
              <w:t>3）</w:t>
            </w:r>
            <w:r>
              <w:rPr>
                <w:rFonts w:hint="eastAsia" w:ascii="宋体" w:hAnsi="宋体" w:cs="宋体"/>
                <w:sz w:val="21"/>
                <w:szCs w:val="21"/>
                <w:highlight w:val="none"/>
              </w:rPr>
              <w:t>无重大火灾及环境污染事故</w:t>
            </w:r>
            <w:r>
              <w:rPr>
                <w:rFonts w:hint="eastAsia" w:asciiTheme="minorEastAsia" w:hAnsiTheme="minorEastAsia" w:eastAsiaTheme="minorEastAsia" w:cstheme="minorEastAsia"/>
                <w:b w:val="0"/>
                <w:bCs w:val="0"/>
                <w:sz w:val="21"/>
                <w:szCs w:val="21"/>
                <w:highlight w:val="none"/>
              </w:rPr>
              <w:t>；</w:t>
            </w:r>
            <w:r>
              <w:rPr>
                <w:rFonts w:ascii="宋体" w:hAnsi="宋体"/>
                <w:b w:val="0"/>
                <w:bCs w:val="0"/>
                <w:color w:val="auto"/>
                <w:sz w:val="21"/>
                <w:szCs w:val="21"/>
                <w:highlight w:val="none"/>
              </w:rPr>
              <w:t xml:space="preserve">             </w:t>
            </w:r>
            <w:r>
              <w:rPr>
                <w:rFonts w:hint="eastAsia" w:ascii="宋体" w:hAnsi="宋体"/>
                <w:b w:val="0"/>
                <w:bCs w:val="0"/>
                <w:color w:val="auto"/>
                <w:sz w:val="21"/>
                <w:szCs w:val="21"/>
                <w:highlight w:val="none"/>
              </w:rPr>
              <w:t>实测：</w:t>
            </w:r>
            <w:r>
              <w:rPr>
                <w:rFonts w:hint="eastAsia" w:ascii="宋体" w:hAnsi="宋体"/>
                <w:b w:val="0"/>
                <w:bCs w:val="0"/>
                <w:color w:val="auto"/>
                <w:sz w:val="21"/>
                <w:szCs w:val="21"/>
                <w:highlight w:val="none"/>
                <w:lang w:eastAsia="zh-CN"/>
              </w:rPr>
              <w:t>重大</w:t>
            </w:r>
            <w:r>
              <w:rPr>
                <w:rFonts w:hint="eastAsia" w:ascii="宋体" w:hAnsi="宋体" w:cs="宋体"/>
                <w:sz w:val="21"/>
                <w:szCs w:val="21"/>
                <w:highlight w:val="none"/>
              </w:rPr>
              <w:t>火灾及环境污染事故</w:t>
            </w:r>
            <w:r>
              <w:rPr>
                <w:rFonts w:hint="eastAsia" w:ascii="宋体" w:hAnsi="宋体" w:cs="宋体"/>
                <w:sz w:val="21"/>
                <w:szCs w:val="21"/>
                <w:highlight w:val="none"/>
                <w:lang w:eastAsia="zh-CN"/>
              </w:rPr>
              <w:t>为零</w:t>
            </w:r>
          </w:p>
          <w:p>
            <w:pPr>
              <w:rPr>
                <w:b w:val="0"/>
                <w:bCs w:val="0"/>
                <w:color w:val="auto"/>
                <w:sz w:val="21"/>
                <w:szCs w:val="21"/>
                <w:highlight w:val="none"/>
              </w:rPr>
            </w:pPr>
            <w:r>
              <w:rPr>
                <w:rFonts w:hint="eastAsia" w:ascii="宋体" w:hAnsi="宋体" w:eastAsia="宋体" w:cs="宋体"/>
                <w:bCs/>
                <w:color w:val="000000"/>
                <w:spacing w:val="10"/>
                <w:kern w:val="2"/>
                <w:sz w:val="21"/>
                <w:szCs w:val="21"/>
                <w:highlight w:val="none"/>
                <w:lang w:val="en-US" w:eastAsia="zh-CN" w:bidi="ar-SA"/>
              </w:rPr>
              <w:t>4） </w:t>
            </w:r>
            <w:r>
              <w:rPr>
                <w:rFonts w:hint="eastAsia" w:ascii="宋体" w:hAnsi="宋体" w:cs="宋体"/>
                <w:sz w:val="21"/>
                <w:szCs w:val="21"/>
                <w:highlight w:val="none"/>
              </w:rPr>
              <w:t>固废回收处理率100%</w:t>
            </w:r>
            <w:r>
              <w:rPr>
                <w:rFonts w:hint="eastAsia" w:asciiTheme="minorEastAsia" w:hAnsiTheme="minorEastAsia" w:eastAsiaTheme="minorEastAsia" w:cstheme="minorEastAsia"/>
                <w:b w:val="0"/>
                <w:bCs w:val="0"/>
                <w:sz w:val="21"/>
                <w:szCs w:val="21"/>
                <w:highlight w:val="none"/>
              </w:rPr>
              <w:t>；</w:t>
            </w:r>
            <w:r>
              <w:rPr>
                <w:b w:val="0"/>
                <w:bCs w:val="0"/>
                <w:color w:val="auto"/>
                <w:sz w:val="21"/>
                <w:szCs w:val="21"/>
                <w:highlight w:val="none"/>
              </w:rPr>
              <w:t xml:space="preserve">        </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实测：100%</w:t>
            </w:r>
          </w:p>
          <w:p>
            <w:pPr>
              <w:spacing w:line="360" w:lineRule="auto"/>
              <w:jc w:val="left"/>
              <w:rPr>
                <w:rFonts w:hint="eastAsia" w:eastAsia="宋体"/>
                <w:b w:val="0"/>
                <w:bCs w:val="0"/>
                <w:color w:val="auto"/>
                <w:sz w:val="21"/>
                <w:szCs w:val="21"/>
                <w:highlight w:val="none"/>
                <w:lang w:eastAsia="zh-CN"/>
              </w:rPr>
            </w:pPr>
            <w:r>
              <w:rPr>
                <w:rFonts w:hint="eastAsia" w:ascii="宋体" w:hAnsi="宋体" w:eastAsia="宋体" w:cs="宋体"/>
                <w:bCs/>
                <w:color w:val="000000"/>
                <w:spacing w:val="10"/>
                <w:kern w:val="2"/>
                <w:sz w:val="21"/>
                <w:szCs w:val="21"/>
                <w:highlight w:val="none"/>
                <w:lang w:val="en-US" w:eastAsia="zh-CN" w:bidi="ar-SA"/>
              </w:rPr>
              <w:t>5）</w:t>
            </w:r>
            <w:r>
              <w:rPr>
                <w:rFonts w:hint="eastAsia" w:ascii="宋体" w:hAnsi="宋体" w:cs="宋体"/>
                <w:sz w:val="21"/>
                <w:szCs w:val="21"/>
                <w:highlight w:val="none"/>
              </w:rPr>
              <w:t>无安全事故</w:t>
            </w:r>
            <w:r>
              <w:rPr>
                <w:rFonts w:hint="eastAsia" w:asciiTheme="minorEastAsia" w:hAnsiTheme="minorEastAsia" w:eastAsiaTheme="minorEastAsia" w:cstheme="minorEastAsia"/>
                <w:b w:val="0"/>
                <w:bCs w:val="0"/>
                <w:sz w:val="21"/>
                <w:szCs w:val="21"/>
                <w:highlight w:val="none"/>
              </w:rPr>
              <w:t>；</w:t>
            </w:r>
            <w:r>
              <w:rPr>
                <w:b w:val="0"/>
                <w:bCs w:val="0"/>
                <w:color w:val="auto"/>
                <w:sz w:val="21"/>
                <w:szCs w:val="21"/>
                <w:highlight w:val="none"/>
              </w:rPr>
              <w:t xml:space="preserve">                         </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实测：</w:t>
            </w:r>
            <w:r>
              <w:rPr>
                <w:rFonts w:hint="eastAsia" w:ascii="宋体" w:hAnsi="宋体" w:cs="宋体"/>
                <w:sz w:val="21"/>
                <w:szCs w:val="21"/>
                <w:highlight w:val="none"/>
                <w:lang w:eastAsia="zh-CN"/>
              </w:rPr>
              <w:t>安全事故为零</w:t>
            </w:r>
          </w:p>
          <w:p>
            <w:pPr>
              <w:pStyle w:val="2"/>
              <w:rPr>
                <w:b w:val="0"/>
                <w:bCs w:val="0"/>
                <w:color w:val="auto"/>
                <w:sz w:val="21"/>
                <w:szCs w:val="21"/>
                <w:highlight w:val="none"/>
              </w:rPr>
            </w:pPr>
            <w:r>
              <w:rPr>
                <w:rFonts w:hint="eastAsia" w:ascii="宋体" w:hAnsi="宋体" w:eastAsia="宋体" w:cs="宋体"/>
                <w:bCs/>
                <w:color w:val="000000"/>
                <w:spacing w:val="10"/>
                <w:kern w:val="2"/>
                <w:sz w:val="21"/>
                <w:szCs w:val="21"/>
                <w:highlight w:val="none"/>
                <w:lang w:val="en-US" w:eastAsia="zh-CN" w:bidi="ar-SA"/>
              </w:rPr>
              <w:t>6）无</w:t>
            </w:r>
            <w:r>
              <w:rPr>
                <w:rFonts w:hint="eastAsia" w:ascii="宋体" w:hAnsi="宋体" w:cs="宋体"/>
                <w:sz w:val="21"/>
                <w:szCs w:val="21"/>
                <w:highlight w:val="none"/>
              </w:rPr>
              <w:t>工伤事故（工日损失在2天以上计算）</w:t>
            </w:r>
            <w:r>
              <w:rPr>
                <w:rFonts w:hint="eastAsia" w:asciiTheme="minorEastAsia" w:hAnsiTheme="minorEastAsia" w:eastAsiaTheme="minorEastAsia" w:cstheme="minorEastAsia"/>
                <w:b w:val="0"/>
                <w:bCs w:val="0"/>
                <w:sz w:val="21"/>
                <w:szCs w:val="21"/>
                <w:highlight w:val="none"/>
              </w:rPr>
              <w:t>；</w:t>
            </w:r>
            <w:r>
              <w:rPr>
                <w:b w:val="0"/>
                <w:bCs w:val="0"/>
                <w:color w:val="auto"/>
                <w:sz w:val="21"/>
                <w:szCs w:val="21"/>
                <w:highlight w:val="none"/>
              </w:rPr>
              <w:t xml:space="preserve"> </w:t>
            </w:r>
            <w:r>
              <w:rPr>
                <w:rFonts w:hint="eastAsia"/>
                <w:b w:val="0"/>
                <w:bCs w:val="0"/>
                <w:color w:val="auto"/>
                <w:sz w:val="21"/>
                <w:szCs w:val="21"/>
                <w:highlight w:val="none"/>
              </w:rPr>
              <w:t>实测：</w:t>
            </w:r>
            <w:r>
              <w:rPr>
                <w:rFonts w:hint="eastAsia" w:ascii="宋体" w:hAnsi="宋体" w:cs="宋体"/>
                <w:sz w:val="21"/>
                <w:szCs w:val="21"/>
                <w:highlight w:val="none"/>
              </w:rPr>
              <w:t>工伤事故</w:t>
            </w:r>
            <w:r>
              <w:rPr>
                <w:rFonts w:hint="eastAsia" w:ascii="宋体" w:hAnsi="宋体" w:cs="宋体"/>
                <w:sz w:val="21"/>
                <w:szCs w:val="21"/>
                <w:highlight w:val="none"/>
                <w:lang w:eastAsia="zh-CN"/>
              </w:rPr>
              <w:t>为零</w:t>
            </w:r>
          </w:p>
          <w:p>
            <w:pPr>
              <w:numPr>
                <w:ilvl w:val="0"/>
                <w:numId w:val="0"/>
              </w:numPr>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eastAsia="zh-CN"/>
              </w:rPr>
              <w:t>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真空断路器、柱上单相隔离开关、户外交流高压跌落式熔断器的生产</w:t>
            </w:r>
            <w:r>
              <w:rPr>
                <w:rFonts w:hint="eastAsia" w:ascii="宋体" w:hAnsi="宋体"/>
                <w:bCs/>
                <w:iCs/>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widowControl/>
              <w:suppressLineNumbers w:val="0"/>
              <w:ind w:firstLine="210" w:firstLineChars="100"/>
              <w:jc w:val="left"/>
              <w:rPr>
                <w:rFonts w:ascii="宋体" w:hAnsi="宋体"/>
                <w:b/>
                <w:color w:val="000000" w:themeColor="text1"/>
                <w:sz w:val="20"/>
                <w:szCs w:val="20"/>
              </w:rPr>
            </w:pPr>
            <w:r>
              <w:rPr>
                <w:rFonts w:hint="eastAsia" w:ascii="宋体" w:hAnsi="宋体"/>
                <w:szCs w:val="21"/>
                <w:highlight w:val="none"/>
                <w:lang w:val="en-US" w:eastAsia="zh-CN"/>
              </w:rPr>
              <w:t>公司拥有生产车间面积</w:t>
            </w:r>
            <w:r>
              <w:rPr>
                <w:rFonts w:hint="eastAsia" w:ascii="宋体" w:hAnsi="宋体" w:eastAsia="宋体" w:cs="Times New Roman"/>
                <w:kern w:val="2"/>
                <w:sz w:val="21"/>
                <w:szCs w:val="21"/>
                <w:highlight w:val="none"/>
                <w:lang w:val="en-US" w:eastAsia="zh-CN" w:bidi="ar-SA"/>
              </w:rPr>
              <w:t>近</w:t>
            </w:r>
            <w:r>
              <w:rPr>
                <w:rFonts w:hint="eastAsia" w:ascii="宋体" w:hAnsi="宋体" w:cs="Times New Roman"/>
                <w:kern w:val="2"/>
                <w:sz w:val="21"/>
                <w:szCs w:val="21"/>
                <w:highlight w:val="none"/>
                <w:lang w:val="en-US" w:eastAsia="zh-CN" w:bidi="ar-SA"/>
              </w:rPr>
              <w:t>2000</w:t>
            </w:r>
            <w:r>
              <w:rPr>
                <w:rFonts w:hint="eastAsia" w:ascii="宋体" w:hAnsi="宋体" w:eastAsia="宋体" w:cs="Times New Roman"/>
                <w:kern w:val="2"/>
                <w:sz w:val="21"/>
                <w:szCs w:val="21"/>
                <w:highlight w:val="none"/>
                <w:lang w:val="en-US" w:eastAsia="zh-CN" w:bidi="ar-SA"/>
              </w:rPr>
              <w:t>平方米，</w:t>
            </w:r>
            <w:r>
              <w:rPr>
                <w:rFonts w:hint="eastAsia" w:ascii="宋体" w:hAnsi="宋体" w:cs="Times New Roman"/>
                <w:kern w:val="2"/>
                <w:sz w:val="21"/>
                <w:szCs w:val="21"/>
                <w:highlight w:val="none"/>
                <w:lang w:val="en-US" w:eastAsia="zh-CN" w:bidi="ar-SA"/>
              </w:rPr>
              <w:t>办公</w:t>
            </w:r>
            <w:r>
              <w:rPr>
                <w:rFonts w:hint="eastAsia" w:ascii="宋体" w:hAnsi="宋体" w:eastAsia="宋体" w:cs="Times New Roman"/>
                <w:kern w:val="2"/>
                <w:sz w:val="21"/>
                <w:szCs w:val="21"/>
                <w:highlight w:val="none"/>
                <w:lang w:val="en-US" w:eastAsia="zh-CN" w:bidi="ar-SA"/>
              </w:rPr>
              <w:t>面积</w:t>
            </w:r>
            <w:r>
              <w:rPr>
                <w:rFonts w:hint="eastAsia" w:ascii="宋体" w:hAnsi="宋体" w:cs="Times New Roman"/>
                <w:kern w:val="2"/>
                <w:sz w:val="21"/>
                <w:szCs w:val="21"/>
                <w:highlight w:val="none"/>
                <w:lang w:val="en-US" w:eastAsia="zh-CN" w:bidi="ar-SA"/>
              </w:rPr>
              <w:t>350</w:t>
            </w:r>
            <w:r>
              <w:rPr>
                <w:rFonts w:hint="eastAsia" w:ascii="宋体" w:hAnsi="宋体"/>
                <w:szCs w:val="21"/>
                <w:highlight w:val="none"/>
                <w:lang w:val="en-US" w:eastAsia="zh-CN"/>
              </w:rPr>
              <w:t>平方米</w:t>
            </w:r>
            <w:r>
              <w:rPr>
                <w:rFonts w:hint="eastAsia" w:ascii="宋体" w:hAnsi="宋体" w:cs="宋体"/>
                <w:szCs w:val="21"/>
                <w:highlight w:val="none"/>
              </w:rPr>
              <w:t>，</w:t>
            </w:r>
            <w:r>
              <w:rPr>
                <w:rFonts w:hint="eastAsia" w:ascii="宋体" w:hAnsi="宋体" w:cs="宋体"/>
                <w:szCs w:val="21"/>
                <w:highlight w:val="none"/>
                <w:lang w:eastAsia="zh-CN"/>
              </w:rPr>
              <w:t>库房</w:t>
            </w:r>
            <w:r>
              <w:rPr>
                <w:rFonts w:hint="eastAsia" w:ascii="宋体" w:hAnsi="宋体" w:cs="宋体"/>
                <w:szCs w:val="21"/>
                <w:highlight w:val="none"/>
                <w:lang w:val="en-US" w:eastAsia="zh-CN"/>
              </w:rPr>
              <w:t>100平方米，</w:t>
            </w:r>
            <w:r>
              <w:rPr>
                <w:rFonts w:hint="eastAsia" w:ascii="宋体" w:hAnsi="宋体"/>
                <w:szCs w:val="21"/>
                <w:highlight w:val="none"/>
              </w:rPr>
              <w:t>主要设备为</w:t>
            </w:r>
            <w:r>
              <w:rPr>
                <w:rFonts w:hint="eastAsia" w:ascii="宋体" w:hAnsi="宋体" w:cs="宋体"/>
                <w:color w:val="000000"/>
                <w:sz w:val="21"/>
                <w:szCs w:val="21"/>
                <w:highlight w:val="none"/>
                <w:lang w:val="en-US" w:eastAsia="zh-CN"/>
              </w:rPr>
              <w:t>电脑及办公设备、</w:t>
            </w:r>
            <w:r>
              <w:rPr>
                <w:rFonts w:hint="eastAsia" w:ascii="宋体" w:hAnsi="宋体" w:cs="宋体"/>
                <w:szCs w:val="21"/>
                <w:highlight w:val="none"/>
                <w:lang w:eastAsia="zh-CN"/>
              </w:rPr>
              <w:t>翻转移送</w:t>
            </w:r>
            <w:r>
              <w:rPr>
                <w:rFonts w:hint="eastAsia" w:ascii="宋体" w:hAnsi="宋体" w:cs="宋体"/>
                <w:szCs w:val="21"/>
                <w:highlight w:val="none"/>
              </w:rPr>
              <w:t>车、</w:t>
            </w:r>
            <w:r>
              <w:rPr>
                <w:rFonts w:hint="eastAsia" w:ascii="宋体" w:hAnsi="宋体" w:cs="宋体"/>
                <w:szCs w:val="21"/>
                <w:highlight w:val="none"/>
                <w:lang w:eastAsia="zh-CN"/>
              </w:rPr>
              <w:t>旋转移送</w:t>
            </w:r>
            <w:r>
              <w:rPr>
                <w:rFonts w:hint="eastAsia" w:ascii="宋体" w:hAnsi="宋体" w:cs="宋体"/>
                <w:szCs w:val="21"/>
                <w:highlight w:val="none"/>
              </w:rPr>
              <w:t>车</w:t>
            </w:r>
            <w:r>
              <w:rPr>
                <w:rFonts w:hint="eastAsia" w:ascii="宋体" w:hAnsi="宋体" w:cs="宋体"/>
                <w:szCs w:val="21"/>
                <w:highlight w:val="none"/>
                <w:lang w:eastAsia="zh-CN"/>
              </w:rPr>
              <w:t>、导向式轨道线、磨合试验</w:t>
            </w:r>
            <w:r>
              <w:rPr>
                <w:rFonts w:hint="eastAsia" w:ascii="宋体" w:hAnsi="宋体" w:cs="宋体"/>
                <w:szCs w:val="21"/>
                <w:highlight w:val="none"/>
              </w:rPr>
              <w:t>台</w:t>
            </w:r>
            <w:r>
              <w:rPr>
                <w:rFonts w:hint="eastAsia" w:ascii="宋体" w:hAnsi="宋体" w:cs="宋体"/>
                <w:szCs w:val="21"/>
                <w:highlight w:val="none"/>
                <w:lang w:eastAsia="zh-CN"/>
              </w:rPr>
              <w:t>、围栏网、调试平台</w:t>
            </w:r>
            <w:r>
              <w:rPr>
                <w:rFonts w:hint="eastAsia" w:ascii="宋体" w:hAnsi="宋体" w:cs="宋体"/>
                <w:szCs w:val="21"/>
                <w:highlight w:val="none"/>
              </w:rPr>
              <w:t>和手动工具</w:t>
            </w:r>
            <w:r>
              <w:rPr>
                <w:rFonts w:hint="eastAsia" w:ascii="宋体" w:hAnsi="宋体"/>
                <w:sz w:val="21"/>
                <w:szCs w:val="21"/>
                <w:highlight w:val="none"/>
              </w:rPr>
              <w:t>等</w:t>
            </w:r>
            <w:r>
              <w:rPr>
                <w:rFonts w:hint="eastAsia" w:ascii="宋体" w:hAnsi="宋体" w:cs="宋体"/>
                <w:szCs w:val="21"/>
                <w:highlight w:val="none"/>
              </w:rPr>
              <w:t>，可以满足</w:t>
            </w:r>
            <w:r>
              <w:rPr>
                <w:rFonts w:hint="eastAsia" w:ascii="宋体" w:hAnsi="宋体"/>
                <w:szCs w:val="21"/>
                <w:highlight w:val="none"/>
              </w:rPr>
              <w:t>真空断路器、柱上单相隔离开关、户外交流高压跌落式熔断器的生产（资质许可范围内除外）</w:t>
            </w:r>
            <w:r>
              <w:rPr>
                <w:rFonts w:hint="eastAsia" w:ascii="宋体" w:hAnsi="宋体" w:cs="宋体"/>
                <w:szCs w:val="21"/>
                <w:highlight w:val="none"/>
              </w:rPr>
              <w:t>需要。特种设备：无。公司未建立信息管理系统用于生产和服务。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办公所场设备布置合理，通道畅通，照明设施齐全，均配备了消防设施等设施。办公室明亮，作业场所光线较充足。每月由行政部对工作环境进行定期检查。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400" w:lineRule="exact"/>
              <w:rPr>
                <w:rFonts w:hint="default" w:ascii="宋体" w:hAnsi="宋体"/>
                <w:b/>
                <w:color w:val="000000" w:themeColor="text1"/>
                <w:sz w:val="20"/>
                <w:szCs w:val="20"/>
                <w:lang w:val="en-US"/>
              </w:rPr>
            </w:pPr>
            <w:r>
              <w:rPr>
                <w:rFonts w:hint="eastAsia"/>
                <w:highlight w:val="none"/>
                <w:lang w:eastAsia="zh-CN"/>
              </w:rPr>
              <w:t>配备有</w:t>
            </w:r>
            <w:r>
              <w:rPr>
                <w:rFonts w:hint="eastAsia" w:ascii="宋体" w:hAnsi="宋体"/>
                <w:szCs w:val="21"/>
                <w:highlight w:val="none"/>
                <w:lang w:eastAsia="zh-CN"/>
              </w:rPr>
              <w:t>推拉力计</w:t>
            </w:r>
            <w:r>
              <w:rPr>
                <w:rFonts w:hint="eastAsia" w:ascii="宋体" w:hAnsi="宋体"/>
                <w:szCs w:val="21"/>
                <w:highlight w:val="none"/>
              </w:rPr>
              <w:t>、</w:t>
            </w:r>
            <w:r>
              <w:rPr>
                <w:rFonts w:hint="eastAsia" w:ascii="宋体" w:hAnsi="宋体"/>
                <w:szCs w:val="21"/>
                <w:highlight w:val="none"/>
                <w:lang w:eastAsia="zh-CN"/>
              </w:rPr>
              <w:t>冷媒检漏仪</w:t>
            </w:r>
            <w:r>
              <w:rPr>
                <w:rFonts w:hint="eastAsia" w:ascii="宋体" w:hAnsi="宋体"/>
                <w:szCs w:val="21"/>
                <w:highlight w:val="none"/>
              </w:rPr>
              <w:t>、</w:t>
            </w:r>
            <w:r>
              <w:rPr>
                <w:rFonts w:hint="eastAsia" w:ascii="宋体" w:hAnsi="宋体"/>
                <w:szCs w:val="21"/>
                <w:highlight w:val="none"/>
                <w:lang w:eastAsia="zh-CN"/>
              </w:rPr>
              <w:t>伏安特性综合</w:t>
            </w:r>
            <w:r>
              <w:rPr>
                <w:rFonts w:hint="eastAsia" w:ascii="宋体" w:hAnsi="宋体"/>
                <w:szCs w:val="21"/>
                <w:highlight w:val="none"/>
              </w:rPr>
              <w:t>测试仪、</w:t>
            </w:r>
            <w:r>
              <w:rPr>
                <w:rFonts w:hint="eastAsia" w:ascii="宋体" w:hAnsi="宋体"/>
                <w:szCs w:val="21"/>
                <w:highlight w:val="none"/>
                <w:lang w:eastAsia="zh-CN"/>
              </w:rPr>
              <w:t>微机继电保护测试仪、涂层测厚仪、带表扭矩板子、绝缘电阻测试仪、大电流发生器、数字万用表、推拉力计、轻型高压试验变压器、寒尺、耐压测试仪、高压开关动特性测试仪、回路电阻测试仪等检测设备</w:t>
            </w:r>
            <w:r>
              <w:rPr>
                <w:rFonts w:hint="eastAsia" w:ascii="宋体" w:hAnsi="宋体"/>
                <w:sz w:val="21"/>
                <w:szCs w:val="21"/>
                <w:highlight w:val="none"/>
                <w:lang w:val="en-US" w:eastAsia="zh-CN"/>
              </w:rPr>
              <w:t>。</w:t>
            </w:r>
            <w:r>
              <w:rPr>
                <w:rFonts w:hint="eastAsia" w:ascii="宋体" w:hAnsi="宋体" w:cs="宋体"/>
                <w:szCs w:val="21"/>
                <w:highlight w:val="none"/>
                <w:shd w:val="clear" w:color="auto" w:fill="FFFFFF"/>
                <w:lang w:eastAsia="zh-CN"/>
              </w:rPr>
              <w:t>检</w:t>
            </w:r>
            <w:r>
              <w:rPr>
                <w:rFonts w:hint="eastAsia"/>
                <w:highlight w:val="none"/>
                <w:lang w:eastAsia="zh-CN"/>
              </w:rPr>
              <w:t>测设备采取外</w:t>
            </w:r>
            <w:r>
              <w:rPr>
                <w:rFonts w:hint="eastAsia" w:ascii="宋体" w:hAnsi="宋体" w:cs="宋体"/>
                <w:szCs w:val="21"/>
                <w:highlight w:val="none"/>
                <w:shd w:val="clear" w:color="auto" w:fill="FFFFFF"/>
                <w:lang w:eastAsia="zh-CN"/>
              </w:rPr>
              <w:t>校，每年一次，</w:t>
            </w:r>
            <w:r>
              <w:rPr>
                <w:rFonts w:hint="eastAsia" w:ascii="宋体" w:hAnsi="宋体" w:cs="宋体"/>
                <w:szCs w:val="21"/>
                <w:highlight w:val="none"/>
              </w:rPr>
              <w:t>能保证</w:t>
            </w:r>
            <w:r>
              <w:rPr>
                <w:rFonts w:hint="eastAsia" w:ascii="宋体" w:hAnsi="宋体"/>
                <w:szCs w:val="21"/>
              </w:rPr>
              <w:t>真空断路器、柱上单相隔离开关、户外交流高压跌落式熔断器的生产（资质许可范围内除外）</w:t>
            </w:r>
            <w:r>
              <w:rPr>
                <w:rFonts w:hint="eastAsia" w:ascii="宋体" w:hAnsi="宋体" w:cs="宋体"/>
                <w:szCs w:val="21"/>
                <w:highlight w:val="none"/>
              </w:rPr>
              <w:t>的</w:t>
            </w:r>
            <w:r>
              <w:rPr>
                <w:rFonts w:hint="eastAsia" w:ascii="宋体" w:hAnsi="宋体" w:cs="宋体"/>
                <w:szCs w:val="21"/>
                <w:highlight w:val="none"/>
                <w:lang w:eastAsia="zh-CN"/>
              </w:rPr>
              <w:t>检验</w:t>
            </w:r>
            <w:r>
              <w:rPr>
                <w:rFonts w:hint="eastAsia" w:ascii="宋体" w:hAnsi="宋体" w:cs="宋体"/>
                <w:szCs w:val="21"/>
                <w:highlight w:val="none"/>
              </w:rPr>
              <w:t>要求。</w:t>
            </w:r>
            <w:r>
              <w:rPr>
                <w:rFonts w:hint="eastAsia" w:ascii="宋体" w:hAnsi="宋体" w:cs="宋体"/>
                <w:szCs w:val="21"/>
                <w:highlight w:val="none"/>
                <w:lang w:eastAsia="zh-CN"/>
              </w:rPr>
              <w:t>提供有</w:t>
            </w:r>
            <w:r>
              <w:rPr>
                <w:rFonts w:hint="eastAsia" w:ascii="宋体" w:hAnsi="宋体"/>
                <w:szCs w:val="21"/>
                <w:highlight w:val="none"/>
                <w:lang w:eastAsia="zh-CN"/>
              </w:rPr>
              <w:t>推拉力计</w:t>
            </w:r>
            <w:r>
              <w:rPr>
                <w:rFonts w:hint="eastAsia" w:ascii="宋体" w:hAnsi="宋体"/>
                <w:szCs w:val="21"/>
                <w:highlight w:val="none"/>
              </w:rPr>
              <w:t>、</w:t>
            </w:r>
            <w:r>
              <w:rPr>
                <w:rFonts w:hint="eastAsia" w:ascii="宋体" w:hAnsi="宋体"/>
                <w:szCs w:val="21"/>
                <w:highlight w:val="none"/>
                <w:lang w:eastAsia="zh-CN"/>
              </w:rPr>
              <w:t>冷媒检漏仪</w:t>
            </w:r>
            <w:r>
              <w:rPr>
                <w:rFonts w:hint="eastAsia" w:ascii="宋体" w:hAnsi="宋体"/>
                <w:szCs w:val="21"/>
                <w:highlight w:val="none"/>
              </w:rPr>
              <w:t>、</w:t>
            </w:r>
            <w:r>
              <w:rPr>
                <w:rFonts w:hint="eastAsia" w:ascii="宋体" w:hAnsi="宋体"/>
                <w:szCs w:val="21"/>
                <w:highlight w:val="none"/>
                <w:lang w:eastAsia="zh-CN"/>
              </w:rPr>
              <w:t>伏安特性综合</w:t>
            </w:r>
            <w:r>
              <w:rPr>
                <w:rFonts w:hint="eastAsia" w:ascii="宋体" w:hAnsi="宋体"/>
                <w:szCs w:val="21"/>
                <w:highlight w:val="none"/>
              </w:rPr>
              <w:t>测试仪、</w:t>
            </w:r>
            <w:r>
              <w:rPr>
                <w:rFonts w:hint="eastAsia" w:ascii="宋体" w:hAnsi="宋体"/>
                <w:szCs w:val="21"/>
                <w:highlight w:val="none"/>
                <w:lang w:eastAsia="zh-CN"/>
              </w:rPr>
              <w:t>微机继电保护测试仪、涂层测厚仪、带表扭矩板子、绝缘电阻测试仪、大电流发生器</w:t>
            </w:r>
            <w:r>
              <w:rPr>
                <w:rFonts w:hint="eastAsia" w:ascii="宋体" w:hAnsi="宋体"/>
                <w:sz w:val="21"/>
                <w:szCs w:val="21"/>
                <w:highlight w:val="none"/>
                <w:lang w:val="en-US" w:eastAsia="zh-CN"/>
              </w:rPr>
              <w:t>有效的</w:t>
            </w:r>
            <w:r>
              <w:rPr>
                <w:rFonts w:hint="eastAsia"/>
                <w:highlight w:val="none"/>
                <w:lang w:eastAsia="zh-CN"/>
              </w:rPr>
              <w:t>检定或校准证书。但</w:t>
            </w:r>
            <w:r>
              <w:rPr>
                <w:rFonts w:hint="eastAsia" w:ascii="宋体" w:hAnsi="宋体"/>
                <w:szCs w:val="21"/>
                <w:highlight w:val="none"/>
                <w:lang w:eastAsia="zh-CN"/>
              </w:rPr>
              <w:t>数字万用表、推拉力计、轻型高压试验变压器、寒尺、耐压测试仪、高压开关动特性测试仪、回路电阻测试仪等</w:t>
            </w:r>
            <w:r>
              <w:rPr>
                <w:rFonts w:hint="eastAsia"/>
                <w:highlight w:val="none"/>
                <w:lang w:eastAsia="zh-CN"/>
              </w:rPr>
              <w:t>检定或校准证书有效期已过，</w:t>
            </w:r>
            <w:r>
              <w:rPr>
                <w:rFonts w:hint="eastAsia" w:ascii="宋体" w:hAnsi="宋体" w:cs="宋体"/>
                <w:sz w:val="21"/>
                <w:szCs w:val="21"/>
                <w:highlight w:val="none"/>
                <w:lang w:eastAsia="zh-CN" w:bidi="ar"/>
              </w:rPr>
              <w:t>一阶段审核发现的不符合未改善。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hint="eastAsia" w:ascii="宋体" w:hAnsi="宋体" w:eastAsia="宋体"/>
                <w:sz w:val="20"/>
                <w:szCs w:val="20"/>
                <w:lang w:eastAsia="zh-CN"/>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hint="eastAsia" w:ascii="宋体" w:hAnsi="宋体" w:eastAsia="宋体"/>
                <w:sz w:val="20"/>
                <w:szCs w:val="20"/>
                <w:lang w:eastAsia="zh-CN"/>
              </w:rPr>
            </w:pPr>
            <w:r>
              <w:rPr>
                <w:rFonts w:hint="eastAsia" w:ascii="宋体" w:hAnsi="宋体"/>
                <w:sz w:val="20"/>
                <w:szCs w:val="20"/>
                <w:lang w:eastAsia="zh-CN"/>
              </w:rPr>
              <w:t>配电箱</w:t>
            </w:r>
            <w:r>
              <w:rPr>
                <w:rFonts w:hint="eastAsia" w:ascii="宋体" w:hAnsi="宋体"/>
                <w:sz w:val="20"/>
                <w:szCs w:val="20"/>
              </w:rPr>
              <w:t>、灭火器</w:t>
            </w:r>
            <w:r>
              <w:rPr>
                <w:rFonts w:hint="eastAsia" w:ascii="宋体" w:hAnsi="宋体"/>
                <w:sz w:val="20"/>
                <w:szCs w:val="20"/>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highlight w:val="none"/>
              </w:rPr>
            </w:pPr>
            <w:r>
              <w:rPr>
                <w:rFonts w:hint="eastAsia"/>
                <w:b/>
                <w:color w:val="000000" w:themeColor="text1"/>
                <w:sz w:val="20"/>
                <w:szCs w:val="20"/>
                <w:highlight w:val="none"/>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w:t>
            </w:r>
            <w:r>
              <w:rPr>
                <w:rFonts w:hint="eastAsia" w:ascii="宋体" w:hAnsi="宋体" w:cs="Times New Roman"/>
                <w:szCs w:val="21"/>
                <w:highlight w:val="none"/>
              </w:rPr>
              <w:t>火灾、触电、</w:t>
            </w:r>
            <w:r>
              <w:rPr>
                <w:rFonts w:hint="eastAsia" w:ascii="宋体" w:hAnsi="宋体" w:cs="Times New Roman"/>
                <w:szCs w:val="21"/>
                <w:highlight w:val="none"/>
                <w:lang w:eastAsia="zh-CN"/>
              </w:rPr>
              <w:t>意外伤害（机械伤害、中暑、交通事故等）</w:t>
            </w:r>
            <w:r>
              <w:rPr>
                <w:rFonts w:hint="eastAsia" w:ascii="宋体" w:hAnsi="宋体" w:cs="Times New Roman"/>
                <w:szCs w:val="21"/>
                <w:highlight w:val="none"/>
                <w:lang w:val="en-US" w:eastAsia="zh-CN"/>
              </w:rPr>
              <w:t>等</w:t>
            </w:r>
            <w:r>
              <w:rPr>
                <w:rFonts w:hint="eastAsia" w:asciiTheme="minorEastAsia" w:hAnsiTheme="minorEastAsia" w:eastAsiaTheme="minorEastAsia"/>
                <w:bCs/>
                <w:iCs/>
              </w:rPr>
              <w:t>重要危险源，与之相关的过程有服务、信息处理过程，针对不可接受风险制定了管理方案。控制措施实施有效。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w:t>
            </w:r>
            <w:r>
              <w:rPr>
                <w:rFonts w:hint="eastAsia" w:ascii="宋体" w:hAnsi="宋体" w:cs="宋体"/>
                <w:color w:val="000000"/>
                <w:szCs w:val="21"/>
                <w:highlight w:val="none"/>
              </w:rPr>
              <w:t>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2019年</w:t>
            </w:r>
            <w:r>
              <w:rPr>
                <w:rFonts w:hint="eastAsia" w:ascii="宋体" w:hAnsi="宋体" w:cs="宋体"/>
                <w:szCs w:val="21"/>
                <w:highlight w:val="none"/>
                <w:lang w:val="en-US" w:eastAsia="zh-CN"/>
              </w:rPr>
              <w:t>8月</w:t>
            </w:r>
            <w:r>
              <w:rPr>
                <w:rFonts w:hint="eastAsia" w:ascii="宋体" w:hAnsi="宋体" w:cs="宋体"/>
                <w:szCs w:val="21"/>
                <w:highlight w:val="none"/>
              </w:rPr>
              <w:t>-</w:t>
            </w:r>
            <w:r>
              <w:rPr>
                <w:rFonts w:hint="eastAsia" w:ascii="宋体" w:hAnsi="宋体" w:cs="宋体"/>
                <w:szCs w:val="21"/>
                <w:highlight w:val="none"/>
                <w:lang w:val="en-US" w:eastAsia="zh-CN"/>
              </w:rPr>
              <w:t>2020年2</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w:t>
            </w:r>
            <w:r>
              <w:rPr>
                <w:rFonts w:hint="eastAsia" w:ascii="宋体" w:hAnsi="宋体" w:cs="宋体"/>
                <w:color w:val="000000"/>
                <w:szCs w:val="21"/>
                <w:highlight w:val="none"/>
              </w:rPr>
              <w:t>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2019年</w:t>
            </w:r>
            <w:r>
              <w:rPr>
                <w:rFonts w:hint="eastAsia" w:ascii="宋体" w:hAnsi="宋体" w:cs="宋体"/>
                <w:szCs w:val="21"/>
                <w:highlight w:val="none"/>
                <w:lang w:val="en-US" w:eastAsia="zh-CN"/>
              </w:rPr>
              <w:t>10</w:t>
            </w:r>
            <w:r>
              <w:rPr>
                <w:rFonts w:hint="eastAsia" w:ascii="宋体" w:hAnsi="宋体" w:cs="宋体"/>
                <w:szCs w:val="21"/>
                <w:highlight w:val="none"/>
              </w:rPr>
              <w:t>月实施，满意度评价9</w:t>
            </w:r>
            <w:r>
              <w:rPr>
                <w:rFonts w:hint="eastAsia" w:ascii="宋体" w:hAnsi="宋体" w:cs="宋体"/>
                <w:szCs w:val="21"/>
                <w:highlight w:val="none"/>
                <w:lang w:val="en-US" w:eastAsia="zh-CN"/>
              </w:rPr>
              <w:t>5</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建立有《内部审核控制程序》，规定了内审频次一年一次，内审时间：2019年1</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11日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项，涉及</w:t>
            </w:r>
            <w:r>
              <w:rPr>
                <w:rFonts w:hint="eastAsia" w:ascii="宋体" w:hAnsi="宋体"/>
                <w:szCs w:val="21"/>
                <w:highlight w:val="none"/>
                <w:lang w:eastAsia="zh-CN"/>
              </w:rPr>
              <w:t>生计部</w:t>
            </w:r>
            <w:r>
              <w:rPr>
                <w:rFonts w:hint="eastAsia" w:ascii="宋体" w:hAnsi="宋体"/>
                <w:szCs w:val="21"/>
                <w:highlight w:val="none"/>
                <w:lang w:val="en-US" w:eastAsia="zh-CN"/>
              </w:rPr>
              <w:t>Q7.1.3条款</w:t>
            </w:r>
            <w:r>
              <w:rPr>
                <w:rFonts w:hint="eastAsia" w:ascii="宋体" w:hAnsi="宋体"/>
                <w:color w:val="000000"/>
                <w:highlight w:val="none"/>
              </w:rPr>
              <w:t>部份</w:t>
            </w:r>
            <w:r>
              <w:rPr>
                <w:rFonts w:hint="eastAsia"/>
                <w:color w:val="000000"/>
                <w:highlight w:val="none"/>
              </w:rPr>
              <w:t>设备维保记录填写未签名</w:t>
            </w:r>
            <w:r>
              <w:rPr>
                <w:rFonts w:hint="eastAsia" w:ascii="宋体" w:hAnsi="宋体"/>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19</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lang w:eastAsia="zh-CN"/>
              </w:rPr>
              <w:t>二阶段审核时开具的不符合项已关闭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sz w:val="24"/>
          <w:szCs w:val="24"/>
          <w:highlight w:val="none"/>
        </w:rPr>
      </w:pPr>
      <w:r>
        <w:rPr>
          <w:rFonts w:hint="eastAsia"/>
          <w:b/>
          <w:color w:val="000000" w:themeColor="text1"/>
          <w:sz w:val="24"/>
          <w:szCs w:val="24"/>
          <w:highlight w:val="none"/>
        </w:rPr>
        <w:t>1. 本次审核共开具不符合项报告</w:t>
      </w:r>
      <w:r>
        <w:rPr>
          <w:rFonts w:hint="eastAsia"/>
          <w:b/>
          <w:sz w:val="24"/>
          <w:szCs w:val="24"/>
          <w:highlight w:val="none"/>
        </w:rPr>
        <w:t xml:space="preserve"> 1项；其中</w:t>
      </w:r>
      <w:r>
        <w:rPr>
          <w:b/>
          <w:sz w:val="24"/>
          <w:szCs w:val="24"/>
          <w:highlight w:val="none"/>
        </w:rPr>
        <w:pict>
          <v:line id="直接连接符 1" o:spid="_x0000_s1028" o:spt="20" style="position:absolute;left:0pt;margin-left:210pt;margin-top:16.2pt;height:0pt;width:0pt;z-index:25170022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sz w:val="24"/>
          <w:szCs w:val="24"/>
          <w:highlight w:val="none"/>
        </w:rPr>
        <w:t>严重不符合 0 项，一般不符合1 项，观察项0项，</w:t>
      </w:r>
      <w:r>
        <w:rPr>
          <w:rFonts w:hint="eastAsia"/>
          <w:b/>
          <w:color w:val="000000" w:themeColor="text1"/>
          <w:sz w:val="24"/>
          <w:szCs w:val="24"/>
          <w:highlight w:val="none"/>
        </w:rPr>
        <w:t>分布在部门</w:t>
      </w:r>
      <w:r>
        <w:rPr>
          <w:rFonts w:hint="eastAsia"/>
          <w:b/>
          <w:color w:val="000000" w:themeColor="text1"/>
          <w:sz w:val="24"/>
          <w:szCs w:val="24"/>
          <w:highlight w:val="none"/>
          <w:lang w:eastAsia="zh-CN"/>
        </w:rPr>
        <w:t>生技部</w:t>
      </w:r>
      <w:r>
        <w:rPr>
          <w:rFonts w:hint="eastAsia"/>
          <w:b/>
          <w:color w:val="000000" w:themeColor="text1"/>
          <w:sz w:val="24"/>
          <w:szCs w:val="24"/>
          <w:highlight w:val="none"/>
          <w:lang w:val="en-US" w:eastAsia="zh-CN"/>
        </w:rPr>
        <w:t>Q7.1.5</w:t>
      </w:r>
      <w:r>
        <w:rPr>
          <w:rFonts w:hint="eastAsia"/>
          <w:b/>
          <w:color w:val="000000" w:themeColor="text1"/>
          <w:sz w:val="24"/>
          <w:szCs w:val="24"/>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default"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r>
        <w:rPr>
          <w:rFonts w:hint="eastAsia" w:ascii="宋体" w:hAnsi="宋体"/>
          <w:b/>
          <w:color w:val="000000" w:themeColor="text1"/>
          <w:szCs w:val="21"/>
          <w:lang w:val="en-US" w:eastAsia="zh-CN"/>
        </w:rPr>
        <w:t xml:space="preserve"> </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ascii="宋体" w:hAnsi="宋体"/>
                <w:szCs w:val="21"/>
                <w:lang w:eastAsia="zh-CN"/>
              </w:rPr>
            </w:pPr>
            <w:r>
              <w:rPr>
                <w:rFonts w:ascii="宋体" w:hAnsi="宋体"/>
                <w:b/>
                <w:color w:val="000000"/>
                <w:sz w:val="20"/>
                <w:szCs w:val="20"/>
              </w:rPr>
              <w:t>QMS:</w:t>
            </w:r>
            <w:r>
              <w:rPr>
                <w:rFonts w:hint="eastAsia" w:ascii="宋体" w:hAnsi="宋体"/>
                <w:szCs w:val="21"/>
              </w:rPr>
              <w:t>真空断路器、柱上单相隔离开关、户外交流高压跌落式熔断器的生产（资质许可范围内除外）</w:t>
            </w:r>
            <w:r>
              <w:rPr>
                <w:rFonts w:hint="eastAsia" w:ascii="宋体" w:hAnsi="宋体"/>
                <w:szCs w:val="21"/>
                <w:lang w:eastAsia="zh-CN"/>
              </w:rPr>
              <w:t>。</w:t>
            </w:r>
          </w:p>
          <w:p>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szCs w:val="21"/>
              </w:rPr>
              <w:t>真空断路器、柱上单相隔离开关、户外交流高压跌落式熔断器的生产（资质许可范围内除外）所涉及的相关环境管理活动</w:t>
            </w:r>
            <w:r>
              <w:rPr>
                <w:rFonts w:hint="eastAsia" w:ascii="宋体" w:hAnsi="宋体"/>
                <w:szCs w:val="21"/>
                <w:lang w:eastAsia="zh-CN"/>
              </w:rPr>
              <w:t>。</w:t>
            </w:r>
          </w:p>
          <w:p>
            <w:pPr>
              <w:jc w:val="both"/>
              <w:rPr>
                <w:rFonts w:ascii="宋体" w:hAnsi="宋体"/>
                <w:b/>
                <w:color w:val="000000" w:themeColor="text1"/>
                <w:u w:val="single"/>
                <w:lang w:val="en-GB"/>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rPr>
              <w:t>真空断路器、柱上单相隔离开关、户外交流高压跌落式熔断器的生产(资质许可范围内除外）所涉及的相关职业健康安全管理活动</w:t>
            </w:r>
            <w:r>
              <w:rPr>
                <w:rFonts w:hint="eastAsia" w:ascii="宋体" w:hAnsi="宋体"/>
                <w:szCs w:val="21"/>
                <w:lang w:eastAsia="zh-CN"/>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ascii="仿宋" w:hAnsi="仿宋" w:eastAsia="仿宋" w:cstheme="minorBidi"/>
          <w:color w:val="000000" w:themeColor="text1"/>
          <w:kern w:val="24"/>
          <w:sz w:val="28"/>
          <w:szCs w:val="28"/>
          <w:lang w:eastAsia="zh-CN"/>
        </w:rPr>
        <w:t>本次审核为远程审核，后续安排现场审核核验。</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b/>
          <w:color w:val="000000" w:themeColor="text1"/>
          <w:sz w:val="26"/>
          <w:szCs w:val="26"/>
        </w:rPr>
        <w:drawing>
          <wp:anchor distT="0" distB="0" distL="0" distR="0" simplePos="0" relativeHeight="251701248" behindDoc="0" locked="0" layoutInCell="1" allowOverlap="1">
            <wp:simplePos x="0" y="0"/>
            <wp:positionH relativeFrom="column">
              <wp:posOffset>1556385</wp:posOffset>
            </wp:positionH>
            <wp:positionV relativeFrom="paragraph">
              <wp:posOffset>309880</wp:posOffset>
            </wp:positionV>
            <wp:extent cx="732790" cy="456565"/>
            <wp:effectExtent l="0" t="0" r="13970" b="635"/>
            <wp:wrapSquare wrapText="bothSides"/>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a:stretch>
                      <a:fillRect/>
                    </a:stretch>
                  </pic:blipFill>
                  <pic:spPr>
                    <a:xfrm>
                      <a:off x="0" y="0"/>
                      <a:ext cx="732790" cy="45656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b/>
          <w:color w:val="000000" w:themeColor="text1"/>
          <w:sz w:val="26"/>
          <w:szCs w:val="26"/>
        </w:rPr>
        <w:drawing>
          <wp:anchor distT="0" distB="0" distL="0" distR="0" simplePos="0" relativeHeight="251750400" behindDoc="0" locked="0" layoutInCell="1" allowOverlap="1">
            <wp:simplePos x="0" y="0"/>
            <wp:positionH relativeFrom="column">
              <wp:posOffset>4034155</wp:posOffset>
            </wp:positionH>
            <wp:positionV relativeFrom="paragraph">
              <wp:posOffset>15875</wp:posOffset>
            </wp:positionV>
            <wp:extent cx="732790" cy="456565"/>
            <wp:effectExtent l="0" t="0" r="13970" b="635"/>
            <wp:wrapSquare wrapText="bothSides"/>
            <wp:docPr id="7" name="图片 7"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新文档 2020-01-09 10.59.53_副本.jpg"/>
                    <pic:cNvPicPr>
                      <a:picLocks noChangeAspect="1" noChangeArrowheads="1"/>
                    </pic:cNvPicPr>
                  </pic:nvPicPr>
                  <pic:blipFill>
                    <a:blip r:embed="rId6" cstate="print"/>
                    <a:srcRect/>
                    <a:stretch>
                      <a:fillRect/>
                    </a:stretch>
                  </pic:blipFill>
                  <pic:spPr>
                    <a:xfrm>
                      <a:off x="0" y="0"/>
                      <a:ext cx="732790" cy="456565"/>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rFonts w:hint="eastAsia" w:eastAsia="宋体"/>
          <w:sz w:val="22"/>
          <w:szCs w:val="22"/>
          <w:lang w:eastAsia="zh-CN"/>
        </w:rPr>
        <w:drawing>
          <wp:anchor distT="0" distB="0" distL="114300" distR="114300" simplePos="0" relativeHeight="251755520" behindDoc="0" locked="0" layoutInCell="1" allowOverlap="1">
            <wp:simplePos x="0" y="0"/>
            <wp:positionH relativeFrom="column">
              <wp:posOffset>4618355</wp:posOffset>
            </wp:positionH>
            <wp:positionV relativeFrom="paragraph">
              <wp:posOffset>92075</wp:posOffset>
            </wp:positionV>
            <wp:extent cx="471170" cy="316865"/>
            <wp:effectExtent l="0" t="0" r="1270" b="3175"/>
            <wp:wrapNone/>
            <wp:docPr id="9"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c6bc8d82232cd8bc6519fc4dcd21ee2"/>
                    <pic:cNvPicPr>
                      <a:picLocks noChangeAspect="1"/>
                    </pic:cNvPicPr>
                  </pic:nvPicPr>
                  <pic:blipFill>
                    <a:blip r:embed="rId7"/>
                    <a:stretch>
                      <a:fillRect/>
                    </a:stretch>
                  </pic:blipFill>
                  <pic:spPr>
                    <a:xfrm>
                      <a:off x="0" y="0"/>
                      <a:ext cx="471170" cy="316865"/>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753472" behindDoc="0" locked="0" layoutInCell="1" allowOverlap="1">
            <wp:simplePos x="0" y="0"/>
            <wp:positionH relativeFrom="column">
              <wp:posOffset>3670300</wp:posOffset>
            </wp:positionH>
            <wp:positionV relativeFrom="paragraph">
              <wp:posOffset>115570</wp:posOffset>
            </wp:positionV>
            <wp:extent cx="812165" cy="275590"/>
            <wp:effectExtent l="0" t="0" r="10795" b="13970"/>
            <wp:wrapNone/>
            <wp:docPr id="8"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descr="d65153f20abdb73c162b984abccbf35"/>
                    <pic:cNvPicPr>
                      <a:picLocks noChangeAspect="1"/>
                    </pic:cNvPicPr>
                  </pic:nvPicPr>
                  <pic:blipFill>
                    <a:blip r:embed="rId8"/>
                    <a:srcRect l="7648" t="9871" r="7156" b="20799"/>
                    <a:stretch>
                      <a:fillRect/>
                    </a:stretch>
                  </pic:blipFill>
                  <pic:spPr>
                    <a:xfrm>
                      <a:off x="0" y="0"/>
                      <a:ext cx="812165" cy="275590"/>
                    </a:xfrm>
                    <a:prstGeom prst="rect">
                      <a:avLst/>
                    </a:prstGeom>
                    <a:noFill/>
                    <a:ln>
                      <a:noFill/>
                    </a:ln>
                  </pic:spPr>
                </pic:pic>
              </a:graphicData>
            </a:graphic>
          </wp:anchor>
        </w:drawing>
      </w:r>
      <w:r>
        <w:rPr>
          <w:rFonts w:hint="eastAsia"/>
          <w:b/>
          <w:sz w:val="22"/>
          <w:szCs w:val="22"/>
        </w:rPr>
        <w:drawing>
          <wp:anchor distT="0" distB="0" distL="114300" distR="114300" simplePos="0" relativeHeight="251705344" behindDoc="0" locked="0" layoutInCell="1" allowOverlap="1">
            <wp:simplePos x="0" y="0"/>
            <wp:positionH relativeFrom="column">
              <wp:posOffset>2236470</wp:posOffset>
            </wp:positionH>
            <wp:positionV relativeFrom="paragraph">
              <wp:posOffset>89535</wp:posOffset>
            </wp:positionV>
            <wp:extent cx="528320" cy="400050"/>
            <wp:effectExtent l="0" t="0" r="5080" b="1143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9" cstate="print"/>
                    <a:srcRect/>
                    <a:stretch>
                      <a:fillRect/>
                    </a:stretch>
                  </pic:blipFill>
                  <pic:spPr>
                    <a:xfrm>
                      <a:off x="0" y="0"/>
                      <a:ext cx="528320" cy="40005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704320" behindDoc="0" locked="0" layoutInCell="1" allowOverlap="1">
            <wp:simplePos x="0" y="0"/>
            <wp:positionH relativeFrom="column">
              <wp:posOffset>1568450</wp:posOffset>
            </wp:positionH>
            <wp:positionV relativeFrom="paragraph">
              <wp:posOffset>105410</wp:posOffset>
            </wp:positionV>
            <wp:extent cx="389890" cy="403860"/>
            <wp:effectExtent l="0" t="0" r="6350" b="7620"/>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noChangeArrowheads="1"/>
                    </pic:cNvPicPr>
                  </pic:nvPicPr>
                  <pic:blipFill>
                    <a:blip r:embed="rId10" cstate="print"/>
                    <a:srcRect/>
                    <a:stretch>
                      <a:fillRect/>
                    </a:stretch>
                  </pic:blipFill>
                  <pic:spPr>
                    <a:xfrm>
                      <a:off x="0" y="0"/>
                      <a:ext cx="389890" cy="403860"/>
                    </a:xfrm>
                    <a:prstGeom prst="rect">
                      <a:avLst/>
                    </a:prstGeom>
                    <a:noFill/>
                    <a:ln w="9525">
                      <a:noFill/>
                      <a:miter lim="800000"/>
                      <a:headEnd/>
                      <a:tailEnd/>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rFonts w:hint="eastAsia" w:eastAsia="宋体"/>
          <w:b/>
          <w:color w:val="000000" w:themeColor="text1"/>
          <w:sz w:val="16"/>
          <w:szCs w:val="16"/>
          <w:lang w:val="en-US" w:eastAsia="zh-CN"/>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2020 </w:t>
      </w:r>
      <w:r>
        <w:rPr>
          <w:rFonts w:hint="eastAsia"/>
          <w:b/>
          <w:color w:val="000000" w:themeColor="text1"/>
        </w:rPr>
        <w:t>年</w:t>
      </w:r>
      <w:r>
        <w:rPr>
          <w:rFonts w:hint="eastAsia"/>
          <w:b/>
          <w:color w:val="000000" w:themeColor="text1"/>
          <w:lang w:val="en-US" w:eastAsia="zh-CN"/>
        </w:rPr>
        <w:t xml:space="preserve"> 3</w:t>
      </w:r>
      <w:r>
        <w:rPr>
          <w:rFonts w:hint="eastAsia"/>
          <w:b/>
          <w:color w:val="000000" w:themeColor="text1"/>
        </w:rPr>
        <w:t xml:space="preserve"> 月</w:t>
      </w:r>
      <w:r>
        <w:rPr>
          <w:rFonts w:hint="eastAsia"/>
          <w:b/>
          <w:color w:val="000000" w:themeColor="text1"/>
          <w:lang w:val="en-US" w:eastAsia="zh-CN"/>
        </w:rPr>
        <w:t xml:space="preserve">29 </w:t>
      </w:r>
      <w:r>
        <w:rPr>
          <w:rFonts w:hint="eastAsia"/>
          <w:b/>
          <w:color w:val="000000" w:themeColor="text1"/>
        </w:rPr>
        <w:t>日</w:t>
      </w:r>
      <w:r>
        <w:rPr>
          <w:rFonts w:hint="eastAsia"/>
          <w:b/>
          <w:color w:val="000000" w:themeColor="text1"/>
          <w:lang w:val="en-US" w:eastAsia="zh-CN"/>
        </w:rPr>
        <w:t>/</w:t>
      </w:r>
      <w:r>
        <w:rPr>
          <w:rFonts w:hint="eastAsia"/>
          <w:b/>
          <w:color w:val="FF0000"/>
          <w:lang w:val="en-US" w:eastAsia="zh-CN"/>
        </w:rPr>
        <w:t xml:space="preserve">2020 </w:t>
      </w:r>
      <w:r>
        <w:rPr>
          <w:rFonts w:hint="eastAsia"/>
          <w:b/>
          <w:color w:val="FF0000"/>
        </w:rPr>
        <w:t>年</w:t>
      </w:r>
      <w:r>
        <w:rPr>
          <w:rFonts w:hint="eastAsia"/>
          <w:b/>
          <w:color w:val="FF0000"/>
          <w:lang w:val="en-US" w:eastAsia="zh-CN"/>
        </w:rPr>
        <w:t xml:space="preserve"> 12</w:t>
      </w:r>
      <w:r>
        <w:rPr>
          <w:rFonts w:hint="eastAsia"/>
          <w:b/>
          <w:color w:val="FF0000"/>
        </w:rPr>
        <w:t xml:space="preserve"> 月</w:t>
      </w:r>
      <w:r>
        <w:rPr>
          <w:rFonts w:hint="eastAsia"/>
          <w:b/>
          <w:color w:val="FF0000"/>
          <w:lang w:val="en-US" w:eastAsia="zh-CN"/>
        </w:rPr>
        <w:t xml:space="preserve">5 </w:t>
      </w:r>
      <w:r>
        <w:rPr>
          <w:rFonts w:hint="eastAsia"/>
          <w:b/>
          <w:color w:val="FF0000"/>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b/>
          <w:color w:val="000000" w:themeColor="text1"/>
          <w:sz w:val="26"/>
          <w:szCs w:val="26"/>
        </w:rPr>
        <w:drawing>
          <wp:anchor distT="0" distB="0" distL="0" distR="0" simplePos="0" relativeHeight="251706368" behindDoc="0" locked="0" layoutInCell="1" allowOverlap="1">
            <wp:simplePos x="0" y="0"/>
            <wp:positionH relativeFrom="column">
              <wp:posOffset>706755</wp:posOffset>
            </wp:positionH>
            <wp:positionV relativeFrom="paragraph">
              <wp:posOffset>94615</wp:posOffset>
            </wp:positionV>
            <wp:extent cx="732790" cy="457200"/>
            <wp:effectExtent l="0" t="0" r="13970" b="0"/>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732790" cy="457200"/>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 xml:space="preserve"> 年 </w:t>
      </w:r>
      <w:r>
        <w:rPr>
          <w:rFonts w:hint="eastAsia"/>
          <w:b/>
          <w:color w:val="000000" w:themeColor="text1"/>
          <w:szCs w:val="21"/>
          <w:lang w:val="en-US" w:eastAsia="zh-CN"/>
        </w:rPr>
        <w:t>4</w:t>
      </w:r>
      <w:r>
        <w:rPr>
          <w:rFonts w:hint="eastAsia"/>
          <w:b/>
          <w:color w:val="000000" w:themeColor="text1"/>
          <w:szCs w:val="21"/>
        </w:rPr>
        <w:t xml:space="preserve">月 </w:t>
      </w:r>
      <w:r>
        <w:rPr>
          <w:rFonts w:hint="eastAsia"/>
          <w:b/>
          <w:color w:val="000000" w:themeColor="text1"/>
          <w:szCs w:val="21"/>
          <w:lang w:val="en-US" w:eastAsia="zh-CN"/>
        </w:rPr>
        <w:t>2</w:t>
      </w:r>
      <w:bookmarkStart w:id="23" w:name="_GoBack"/>
      <w:bookmarkEnd w:id="23"/>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7F12E2"/>
    <w:rsid w:val="331D6F34"/>
    <w:rsid w:val="76C16A99"/>
    <w:rsid w:val="793A1D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4</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2020-12-09T05:51:27Z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