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杨珍全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2018-N1OHSMS-1230067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2018-N1QMS-1230067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2018-N1EMS-1230067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O:17.10.02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Q:17.10.02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E:17.10.02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ISC-230067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宋明珠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组员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2020-N1QMS-1247783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2019-N1EMS-1247783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ISC-247783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陈伟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组员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E:实习审核员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2020-N1QMS-1265256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2020-N0EMS-1265256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ISC-265256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■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江西天晟金属设备有限公司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江西省宜春市樟树市洋湖工业园东阁粮库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331200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江西省樟树市杏佛路88号曼哈顿国际都会31栋一单元906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331200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江西省樟树市杏佛路88号曼哈顿国际都会31栋一单元906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331200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汪建香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0795-7869869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黄海辉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黄海红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2020年12月05日 上午至2020年12月05日 上午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O：17.10.02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Q：17.10.02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E：17.10.02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