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江西天晟金属设备有限公司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江西省樟树市杏佛路88号曼哈顿国际都会31栋一单元906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汪建香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0795-7869869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黄海红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0111-2018-QEO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O:补充,Q:补充,E:补充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O：骨灰盒存放架的制造所涉及的相关职业健康安全管理活动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Q：骨灰盒存放架的制造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E：骨灰盒存放架的制造所涉及的相关环境管理活动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O：17.10.02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Q：17.10.02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E：17.10.02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2020年12月05日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2020年12月05日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O:17.10.02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2020-N0EMS-1265256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