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06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2"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276"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涉及条款</w:t>
            </w:r>
          </w:p>
        </w:tc>
        <w:tc>
          <w:tcPr>
            <w:tcW w:w="10606"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val="en-US" w:eastAsia="zh-CN"/>
              </w:rPr>
              <w:t>行政部</w:t>
            </w:r>
            <w:r>
              <w:rPr>
                <w:rFonts w:hint="eastAsia" w:ascii="宋体" w:hAnsi="宋体" w:eastAsia="宋体" w:cs="宋体"/>
                <w:sz w:val="21"/>
                <w:szCs w:val="21"/>
              </w:rPr>
              <w:t xml:space="preserve">     主管领导：</w:t>
            </w:r>
            <w:r>
              <w:rPr>
                <w:rFonts w:hint="eastAsia" w:ascii="宋体" w:hAnsi="宋体" w:eastAsia="宋体" w:cs="宋体"/>
                <w:sz w:val="21"/>
                <w:szCs w:val="21"/>
                <w:lang w:val="en-US" w:eastAsia="zh-CN"/>
              </w:rPr>
              <w:t>唐娜</w:t>
            </w:r>
            <w:r>
              <w:rPr>
                <w:rFonts w:hint="eastAsia" w:ascii="宋体" w:hAnsi="宋体" w:eastAsia="宋体" w:cs="宋体"/>
                <w:sz w:val="21"/>
                <w:szCs w:val="21"/>
              </w:rPr>
              <w:t xml:space="preserve">    陪同人员：</w:t>
            </w:r>
            <w:r>
              <w:rPr>
                <w:rFonts w:hint="eastAsia" w:ascii="宋体" w:hAnsi="宋体" w:eastAsia="宋体" w:cs="宋体"/>
                <w:sz w:val="21"/>
                <w:szCs w:val="21"/>
                <w:lang w:val="en-US" w:eastAsia="zh-CN"/>
              </w:rPr>
              <w:t>朱丽丽</w:t>
            </w:r>
          </w:p>
        </w:tc>
        <w:tc>
          <w:tcPr>
            <w:tcW w:w="158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spacing w:line="360" w:lineRule="auto"/>
              <w:rPr>
                <w:rFonts w:hint="eastAsia" w:ascii="宋体" w:hAnsi="宋体" w:eastAsia="宋体" w:cs="宋体"/>
                <w:sz w:val="21"/>
                <w:szCs w:val="21"/>
              </w:rPr>
            </w:pPr>
          </w:p>
        </w:tc>
        <w:tc>
          <w:tcPr>
            <w:tcW w:w="1276" w:type="dxa"/>
            <w:vMerge w:val="continue"/>
            <w:vAlign w:val="center"/>
          </w:tcPr>
          <w:p>
            <w:pPr>
              <w:spacing w:line="360" w:lineRule="auto"/>
              <w:rPr>
                <w:rFonts w:hint="eastAsia" w:ascii="宋体" w:hAnsi="宋体" w:eastAsia="宋体" w:cs="宋体"/>
                <w:sz w:val="21"/>
                <w:szCs w:val="21"/>
              </w:rPr>
            </w:pPr>
          </w:p>
        </w:tc>
        <w:tc>
          <w:tcPr>
            <w:tcW w:w="10606" w:type="dxa"/>
            <w:vAlign w:val="center"/>
          </w:tcPr>
          <w:p>
            <w:pPr>
              <w:spacing w:before="120" w:line="360" w:lineRule="auto"/>
              <w:rPr>
                <w:rFonts w:hint="eastAsia" w:ascii="宋体" w:hAnsi="宋体" w:eastAsia="宋体" w:cs="宋体"/>
                <w:sz w:val="21"/>
                <w:szCs w:val="21"/>
                <w:lang w:eastAsia="zh-CN"/>
              </w:rPr>
            </w:pPr>
            <w:r>
              <w:rPr>
                <w:rFonts w:hint="eastAsia" w:ascii="宋体" w:hAnsi="宋体" w:eastAsia="宋体" w:cs="宋体"/>
                <w:sz w:val="21"/>
                <w:szCs w:val="21"/>
              </w:rPr>
              <w:t xml:space="preserve">审核员：  </w:t>
            </w:r>
            <w:r>
              <w:rPr>
                <w:rFonts w:hint="eastAsia" w:ascii="宋体" w:hAnsi="宋体" w:eastAsia="宋体" w:cs="宋体"/>
                <w:sz w:val="21"/>
                <w:szCs w:val="21"/>
                <w:lang w:val="en-US" w:eastAsia="zh-CN"/>
              </w:rPr>
              <w:t>李俐</w:t>
            </w:r>
            <w:r>
              <w:rPr>
                <w:rFonts w:hint="eastAsia" w:ascii="宋体" w:hAnsi="宋体" w:eastAsia="宋体" w:cs="宋体"/>
                <w:sz w:val="21"/>
                <w:szCs w:val="21"/>
              </w:rPr>
              <w:t xml:space="preserve">      审核时间：20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12</w:t>
            </w:r>
            <w:r>
              <w:rPr>
                <w:rFonts w:hint="eastAsia" w:ascii="宋体" w:hAnsi="宋体" w:eastAsia="宋体" w:cs="宋体"/>
                <w:sz w:val="21"/>
                <w:szCs w:val="21"/>
              </w:rPr>
              <w:t>.</w:t>
            </w:r>
            <w:r>
              <w:rPr>
                <w:rFonts w:hint="eastAsia" w:ascii="宋体" w:hAnsi="宋体" w:eastAsia="宋体" w:cs="宋体"/>
                <w:sz w:val="21"/>
                <w:szCs w:val="21"/>
                <w:lang w:val="en-US" w:eastAsia="zh-CN"/>
              </w:rPr>
              <w:t>10</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Merge w:val="continue"/>
            <w:vAlign w:val="center"/>
          </w:tcPr>
          <w:p>
            <w:pPr>
              <w:spacing w:line="360" w:lineRule="auto"/>
              <w:rPr>
                <w:rFonts w:hint="eastAsia" w:ascii="宋体" w:hAnsi="宋体" w:eastAsia="宋体" w:cs="宋体"/>
                <w:sz w:val="21"/>
                <w:szCs w:val="21"/>
              </w:rPr>
            </w:pPr>
          </w:p>
        </w:tc>
        <w:tc>
          <w:tcPr>
            <w:tcW w:w="1276" w:type="dxa"/>
            <w:vMerge w:val="continue"/>
            <w:vAlign w:val="center"/>
          </w:tcPr>
          <w:p>
            <w:pPr>
              <w:spacing w:line="360" w:lineRule="auto"/>
              <w:rPr>
                <w:rFonts w:hint="eastAsia" w:ascii="宋体" w:hAnsi="宋体" w:eastAsia="宋体" w:cs="宋体"/>
                <w:sz w:val="21"/>
                <w:szCs w:val="21"/>
              </w:rPr>
            </w:pPr>
          </w:p>
        </w:tc>
        <w:tc>
          <w:tcPr>
            <w:tcW w:w="1060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spacing w:line="360" w:lineRule="auto"/>
              <w:rPr>
                <w:rFonts w:hint="eastAsia" w:ascii="宋体" w:hAnsi="宋体" w:eastAsia="宋体" w:cs="宋体"/>
                <w:sz w:val="21"/>
                <w:szCs w:val="21"/>
              </w:rPr>
            </w:pPr>
            <w:r>
              <w:rPr>
                <w:rFonts w:hint="eastAsia" w:ascii="宋体" w:hAnsi="宋体" w:eastAsia="宋体" w:cs="宋体"/>
                <w:b w:val="0"/>
                <w:bCs w:val="0"/>
                <w:kern w:val="0"/>
                <w:sz w:val="21"/>
                <w:szCs w:val="21"/>
                <w:u w:val="none"/>
              </w:rPr>
              <w:t>5.3</w:t>
            </w:r>
            <w:r>
              <w:rPr>
                <w:rFonts w:hint="eastAsia" w:ascii="宋体" w:hAnsi="宋体" w:eastAsia="宋体" w:cs="宋体"/>
                <w:b w:val="0"/>
                <w:bCs w:val="0"/>
                <w:kern w:val="0"/>
                <w:sz w:val="21"/>
                <w:szCs w:val="21"/>
                <w:u w:val="none"/>
                <w:lang w:eastAsia="zh-CN"/>
              </w:rPr>
              <w:t>、</w:t>
            </w:r>
            <w:r>
              <w:rPr>
                <w:rFonts w:hint="eastAsia" w:ascii="宋体" w:hAnsi="宋体" w:eastAsia="宋体" w:cs="宋体"/>
                <w:b w:val="0"/>
                <w:bCs w:val="0"/>
                <w:kern w:val="0"/>
                <w:sz w:val="21"/>
                <w:szCs w:val="21"/>
                <w:u w:val="none"/>
              </w:rPr>
              <w:t>6.1.2</w:t>
            </w:r>
            <w:r>
              <w:rPr>
                <w:rFonts w:hint="eastAsia" w:ascii="宋体" w:hAnsi="宋体" w:eastAsia="宋体" w:cs="宋体"/>
                <w:b w:val="0"/>
                <w:bCs w:val="0"/>
                <w:kern w:val="0"/>
                <w:sz w:val="21"/>
                <w:szCs w:val="21"/>
                <w:u w:val="none"/>
                <w:lang w:eastAsia="zh-CN"/>
              </w:rPr>
              <w:t>、</w:t>
            </w:r>
            <w:r>
              <w:rPr>
                <w:rFonts w:hint="eastAsia" w:ascii="宋体" w:hAnsi="宋体" w:eastAsia="宋体" w:cs="宋体"/>
                <w:b w:val="0"/>
                <w:bCs w:val="0"/>
                <w:kern w:val="0"/>
                <w:sz w:val="21"/>
                <w:szCs w:val="21"/>
                <w:u w:val="none"/>
              </w:rPr>
              <w:t>6.1.3、6.2.1、6.2.2、6.1.4、7.2、7.3、7.5.1、7.5.2、7.5.3、8.1、8.2、9.1、（9.1.1、9.1.2）、9.2 、10.2，</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1242"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组织的岗位、职责和权限</w:t>
            </w:r>
          </w:p>
        </w:tc>
        <w:tc>
          <w:tcPr>
            <w:tcW w:w="1276" w:type="dxa"/>
          </w:tcPr>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5.3</w:t>
            </w:r>
          </w:p>
        </w:tc>
        <w:tc>
          <w:tcPr>
            <w:tcW w:w="10606" w:type="dxa"/>
            <w:vAlign w:val="top"/>
          </w:tcPr>
          <w:p>
            <w:pPr>
              <w:spacing w:before="215" w:beforeLines="69" w:line="360" w:lineRule="auto"/>
              <w:rPr>
                <w:rFonts w:hint="eastAsia" w:ascii="宋体" w:hAnsi="宋体" w:eastAsia="宋体" w:cs="宋体"/>
                <w:sz w:val="21"/>
                <w:szCs w:val="21"/>
              </w:rPr>
            </w:pPr>
            <w:r>
              <w:rPr>
                <w:rFonts w:hint="eastAsia" w:ascii="宋体" w:hAnsi="宋体" w:eastAsia="宋体" w:cs="宋体"/>
                <w:sz w:val="21"/>
                <w:szCs w:val="21"/>
                <w:lang w:val="en-US" w:eastAsia="zh-CN"/>
              </w:rPr>
              <w:t>行政部</w:t>
            </w:r>
            <w:r>
              <w:rPr>
                <w:rFonts w:hint="eastAsia" w:ascii="宋体" w:hAnsi="宋体" w:eastAsia="宋体" w:cs="宋体"/>
                <w:sz w:val="21"/>
                <w:szCs w:val="21"/>
              </w:rPr>
              <w:t>主要负责：环境目标方案的制定实施，办公用品的管理，信息交流与沟通，人力资源配备，员工招聘、绩效考核管理；劳动合同保险管理及员工职业健康体检；后勤事务管理；企业知识的识别更新传递；文件记录的管理控制；环境因素识别和控制；体系运行检查、内审、法律法规收集及合规性评价，应急准备和相应控制，不符合纠正与预防，事故事件调查处理等。</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目标和方案</w:t>
            </w:r>
          </w:p>
        </w:tc>
        <w:tc>
          <w:tcPr>
            <w:tcW w:w="1276" w:type="dxa"/>
            <w:vAlign w:val="center"/>
          </w:tcPr>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 xml:space="preserve"> 6.2</w:t>
            </w:r>
          </w:p>
        </w:tc>
        <w:tc>
          <w:tcPr>
            <w:tcW w:w="10606" w:type="dxa"/>
            <w:vAlign w:val="center"/>
          </w:tcPr>
          <w:p>
            <w:pPr>
              <w:autoSpaceDE w:val="0"/>
              <w:autoSpaceDN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查办公室目标：</w:t>
            </w:r>
          </w:p>
          <w:tbl>
            <w:tblPr>
              <w:tblStyle w:val="11"/>
              <w:tblW w:w="8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906"/>
              <w:gridCol w:w="2082"/>
              <w:gridCol w:w="1150"/>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部门</w:t>
                  </w:r>
                </w:p>
              </w:tc>
              <w:tc>
                <w:tcPr>
                  <w:tcW w:w="290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目标</w:t>
                  </w:r>
                </w:p>
              </w:tc>
              <w:tc>
                <w:tcPr>
                  <w:tcW w:w="2082"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考核方式</w:t>
                  </w:r>
                </w:p>
              </w:tc>
              <w:tc>
                <w:tcPr>
                  <w:tcW w:w="1150"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考核结果</w:t>
                  </w:r>
                </w:p>
              </w:tc>
              <w:tc>
                <w:tcPr>
                  <w:tcW w:w="2030"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6" w:type="dxa"/>
                  <w:vMerge w:val="restart"/>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办公室</w:t>
                  </w:r>
                </w:p>
              </w:tc>
              <w:tc>
                <w:tcPr>
                  <w:tcW w:w="2906" w:type="dxa"/>
                  <w:vAlign w:val="center"/>
                </w:tcPr>
                <w:p>
                  <w:pPr>
                    <w:tabs>
                      <w:tab w:val="left" w:pos="10080"/>
                    </w:tabs>
                    <w:spacing w:line="360" w:lineRule="auto"/>
                    <w:rPr>
                      <w:rFonts w:hint="eastAsia" w:ascii="宋体" w:hAnsi="宋体" w:eastAsia="宋体" w:cs="宋体"/>
                      <w:sz w:val="21"/>
                      <w:szCs w:val="21"/>
                    </w:rPr>
                  </w:pPr>
                  <w:r>
                    <w:rPr>
                      <w:rFonts w:hint="eastAsia" w:ascii="宋体" w:hAnsi="宋体" w:eastAsia="宋体" w:cs="宋体"/>
                      <w:color w:val="000000"/>
                      <w:sz w:val="21"/>
                      <w:szCs w:val="21"/>
                    </w:rPr>
                    <w:t>1.落实E管理体系正常运行的财力保障；</w:t>
                  </w:r>
                </w:p>
              </w:tc>
              <w:tc>
                <w:tcPr>
                  <w:tcW w:w="2082"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半年</w:t>
                  </w:r>
                  <w:r>
                    <w:rPr>
                      <w:rFonts w:hint="eastAsia" w:ascii="宋体" w:hAnsi="宋体" w:eastAsia="宋体" w:cs="宋体"/>
                      <w:sz w:val="21"/>
                      <w:szCs w:val="21"/>
                      <w:lang w:val="en-US" w:eastAsia="zh-CN"/>
                    </w:rPr>
                    <w:t>考核</w:t>
                  </w:r>
                </w:p>
              </w:tc>
              <w:tc>
                <w:tcPr>
                  <w:tcW w:w="115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100%</w:t>
                  </w:r>
                </w:p>
              </w:tc>
              <w:tc>
                <w:tcPr>
                  <w:tcW w:w="2030"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已经完成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66" w:type="dxa"/>
                  <w:vMerge w:val="continue"/>
                </w:tcPr>
                <w:p>
                  <w:pPr>
                    <w:spacing w:line="360" w:lineRule="auto"/>
                    <w:jc w:val="center"/>
                    <w:rPr>
                      <w:rFonts w:hint="eastAsia" w:ascii="宋体" w:hAnsi="宋体" w:eastAsia="宋体" w:cs="宋体"/>
                      <w:sz w:val="21"/>
                      <w:szCs w:val="21"/>
                    </w:rPr>
                  </w:pPr>
                </w:p>
              </w:tc>
              <w:tc>
                <w:tcPr>
                  <w:tcW w:w="2906" w:type="dxa"/>
                  <w:vAlign w:val="center"/>
                </w:tcPr>
                <w:p>
                  <w:pPr>
                    <w:tabs>
                      <w:tab w:val="left" w:pos="10080"/>
                    </w:tabs>
                    <w:spacing w:line="360" w:lineRule="auto"/>
                    <w:rPr>
                      <w:rFonts w:hint="eastAsia" w:ascii="宋体" w:hAnsi="宋体" w:eastAsia="宋体" w:cs="宋体"/>
                      <w:sz w:val="21"/>
                      <w:szCs w:val="21"/>
                    </w:rPr>
                  </w:pPr>
                  <w:r>
                    <w:rPr>
                      <w:rFonts w:hint="eastAsia" w:ascii="宋体" w:hAnsi="宋体" w:eastAsia="宋体" w:cs="宋体"/>
                      <w:color w:val="000000"/>
                      <w:sz w:val="21"/>
                      <w:szCs w:val="21"/>
                    </w:rPr>
                    <w:t>2.办公垃圾分类排放，检查合格率100%；</w:t>
                  </w:r>
                </w:p>
              </w:tc>
              <w:tc>
                <w:tcPr>
                  <w:tcW w:w="2082"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半年考核</w:t>
                  </w:r>
                </w:p>
              </w:tc>
              <w:tc>
                <w:tcPr>
                  <w:tcW w:w="115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100% </w:t>
                  </w:r>
                </w:p>
              </w:tc>
              <w:tc>
                <w:tcPr>
                  <w:tcW w:w="2030"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已经完成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66" w:type="dxa"/>
                  <w:vMerge w:val="continue"/>
                </w:tcPr>
                <w:p>
                  <w:pPr>
                    <w:spacing w:line="360" w:lineRule="auto"/>
                    <w:jc w:val="center"/>
                    <w:rPr>
                      <w:rFonts w:hint="eastAsia" w:ascii="宋体" w:hAnsi="宋体" w:eastAsia="宋体" w:cs="宋体"/>
                      <w:sz w:val="21"/>
                      <w:szCs w:val="21"/>
                    </w:rPr>
                  </w:pPr>
                </w:p>
              </w:tc>
              <w:tc>
                <w:tcPr>
                  <w:tcW w:w="2906" w:type="dxa"/>
                  <w:vAlign w:val="center"/>
                </w:tcPr>
                <w:p>
                  <w:pPr>
                    <w:tabs>
                      <w:tab w:val="left" w:pos="10080"/>
                    </w:tabs>
                    <w:spacing w:line="360" w:lineRule="auto"/>
                    <w:rPr>
                      <w:rFonts w:hint="eastAsia" w:ascii="宋体" w:hAnsi="宋体" w:eastAsia="宋体" w:cs="宋体"/>
                      <w:sz w:val="21"/>
                      <w:szCs w:val="21"/>
                      <w:lang w:val="en-US" w:eastAsia="zh-CN"/>
                    </w:rPr>
                  </w:pPr>
                  <w:r>
                    <w:rPr>
                      <w:rFonts w:hint="eastAsia" w:ascii="宋体" w:hAnsi="宋体" w:eastAsia="宋体" w:cs="宋体"/>
                      <w:color w:val="000000"/>
                      <w:sz w:val="21"/>
                      <w:szCs w:val="21"/>
                    </w:rPr>
                    <w:t>3、无火灾事故发生</w:t>
                  </w:r>
                </w:p>
              </w:tc>
              <w:tc>
                <w:tcPr>
                  <w:tcW w:w="2082"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半年考核</w:t>
                  </w:r>
                </w:p>
              </w:tc>
              <w:tc>
                <w:tcPr>
                  <w:tcW w:w="1150"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w:t>
                  </w:r>
                </w:p>
              </w:tc>
              <w:tc>
                <w:tcPr>
                  <w:tcW w:w="2030"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已经完成</w:t>
                  </w:r>
                </w:p>
              </w:tc>
            </w:tr>
          </w:tbl>
          <w:p>
            <w:pPr>
              <w:tabs>
                <w:tab w:val="left" w:pos="10080"/>
              </w:tabs>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经20</w:t>
            </w:r>
            <w:r>
              <w:rPr>
                <w:rFonts w:hint="eastAsia" w:ascii="宋体" w:hAnsi="宋体" w:eastAsia="宋体" w:cs="宋体"/>
                <w:color w:val="000000"/>
                <w:sz w:val="21"/>
                <w:szCs w:val="21"/>
                <w:lang w:eastAsia="zh-CN"/>
              </w:rPr>
              <w:t>20</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7</w:t>
            </w:r>
            <w:r>
              <w:rPr>
                <w:rFonts w:hint="eastAsia" w:ascii="宋体" w:hAnsi="宋体" w:eastAsia="宋体" w:cs="宋体"/>
                <w:color w:val="000000"/>
                <w:sz w:val="21"/>
                <w:szCs w:val="21"/>
              </w:rPr>
              <w:t>考核</w:t>
            </w:r>
            <w:r>
              <w:rPr>
                <w:rFonts w:hint="eastAsia" w:ascii="宋体" w:hAnsi="宋体" w:eastAsia="宋体" w:cs="宋体"/>
                <w:color w:val="000000"/>
                <w:sz w:val="21"/>
                <w:szCs w:val="21"/>
                <w:lang w:val="en-US" w:eastAsia="zh-CN"/>
              </w:rPr>
              <w:t>均</w:t>
            </w:r>
            <w:r>
              <w:rPr>
                <w:rFonts w:hint="eastAsia" w:ascii="宋体" w:hAnsi="宋体" w:eastAsia="宋体" w:cs="宋体"/>
                <w:color w:val="000000"/>
                <w:sz w:val="21"/>
                <w:szCs w:val="21"/>
              </w:rPr>
              <w:t>已完成。</w:t>
            </w:r>
          </w:p>
          <w:p>
            <w:pPr>
              <w:spacing w:line="360" w:lineRule="auto"/>
              <w:rPr>
                <w:rFonts w:hint="eastAsia" w:ascii="宋体" w:hAnsi="宋体" w:eastAsia="宋体" w:cs="宋体"/>
                <w:sz w:val="21"/>
                <w:szCs w:val="21"/>
              </w:rPr>
            </w:pPr>
            <w:r>
              <w:rPr>
                <w:rFonts w:hint="eastAsia" w:ascii="宋体" w:hAnsi="宋体" w:eastAsia="宋体" w:cs="宋体"/>
                <w:sz w:val="21"/>
                <w:szCs w:val="21"/>
              </w:rPr>
              <w:t>抽环境安全管理方案，明确了措施、责任人、时间、资金投</w:t>
            </w:r>
            <w:bookmarkStart w:id="1" w:name="_GoBack"/>
            <w:bookmarkEnd w:id="1"/>
            <w:r>
              <w:rPr>
                <w:rFonts w:hint="eastAsia" w:ascii="宋体" w:hAnsi="宋体" w:eastAsia="宋体" w:cs="宋体"/>
                <w:sz w:val="21"/>
                <w:szCs w:val="21"/>
              </w:rPr>
              <w:t>入要求：</w:t>
            </w:r>
          </w:p>
          <w:tbl>
            <w:tblPr>
              <w:tblStyle w:val="10"/>
              <w:tblW w:w="10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392"/>
              <w:gridCol w:w="4170"/>
              <w:gridCol w:w="1400"/>
              <w:gridCol w:w="1210"/>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092" w:type="dxa"/>
                </w:tcPr>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环境</w:t>
                  </w:r>
                  <w:r>
                    <w:rPr>
                      <w:rFonts w:hint="eastAsia" w:ascii="宋体" w:hAnsi="宋体" w:eastAsia="宋体" w:cs="宋体"/>
                      <w:sz w:val="21"/>
                      <w:szCs w:val="21"/>
                    </w:rPr>
                    <w:t>目标</w:t>
                  </w:r>
                </w:p>
              </w:tc>
              <w:tc>
                <w:tcPr>
                  <w:tcW w:w="1392" w:type="dxa"/>
                </w:tcPr>
                <w:p>
                  <w:pPr>
                    <w:spacing w:line="240" w:lineRule="auto"/>
                    <w:rPr>
                      <w:rFonts w:hint="eastAsia" w:ascii="宋体" w:hAnsi="宋体" w:eastAsia="宋体" w:cs="宋体"/>
                      <w:sz w:val="21"/>
                      <w:szCs w:val="21"/>
                    </w:rPr>
                  </w:pPr>
                  <w:r>
                    <w:rPr>
                      <w:rFonts w:hint="eastAsia" w:ascii="宋体" w:hAnsi="宋体" w:eastAsia="宋体" w:cs="宋体"/>
                      <w:sz w:val="21"/>
                      <w:szCs w:val="21"/>
                    </w:rPr>
                    <w:t>指标</w:t>
                  </w:r>
                </w:p>
              </w:tc>
              <w:tc>
                <w:tcPr>
                  <w:tcW w:w="4170" w:type="dxa"/>
                </w:tcPr>
                <w:p>
                  <w:pPr>
                    <w:spacing w:line="240" w:lineRule="auto"/>
                    <w:rPr>
                      <w:rFonts w:hint="eastAsia" w:ascii="宋体" w:hAnsi="宋体" w:eastAsia="宋体" w:cs="宋体"/>
                      <w:sz w:val="21"/>
                      <w:szCs w:val="21"/>
                    </w:rPr>
                  </w:pPr>
                  <w:r>
                    <w:rPr>
                      <w:rFonts w:hint="eastAsia" w:ascii="宋体" w:hAnsi="宋体" w:eastAsia="宋体" w:cs="宋体"/>
                      <w:sz w:val="21"/>
                      <w:szCs w:val="21"/>
                    </w:rPr>
                    <w:t>措施</w:t>
                  </w:r>
                </w:p>
              </w:tc>
              <w:tc>
                <w:tcPr>
                  <w:tcW w:w="140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时间要求</w:t>
                  </w:r>
                </w:p>
              </w:tc>
              <w:tc>
                <w:tcPr>
                  <w:tcW w:w="121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责任部门</w:t>
                  </w:r>
                </w:p>
              </w:tc>
              <w:tc>
                <w:tcPr>
                  <w:tcW w:w="971"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8" w:hRule="atLeast"/>
              </w:trPr>
              <w:tc>
                <w:tcPr>
                  <w:tcW w:w="1092"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控制粉尘污染</w:t>
                  </w:r>
                </w:p>
              </w:tc>
              <w:tc>
                <w:tcPr>
                  <w:tcW w:w="1392"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不发生粉尘污染投诉</w:t>
                  </w:r>
                </w:p>
              </w:tc>
              <w:tc>
                <w:tcPr>
                  <w:tcW w:w="4170" w:type="dxa"/>
                </w:tcPr>
                <w:p>
                  <w:pPr>
                    <w:numPr>
                      <w:ilvl w:val="0"/>
                      <w:numId w:val="1"/>
                    </w:numPr>
                    <w:tabs>
                      <w:tab w:val="center" w:pos="4535"/>
                      <w:tab w:val="left" w:pos="7128"/>
                    </w:tabs>
                    <w:adjustRightInd w:val="0"/>
                    <w:spacing w:line="24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定期检查布袋除尘器的运行状况</w:t>
                  </w:r>
                </w:p>
                <w:p>
                  <w:pPr>
                    <w:tabs>
                      <w:tab w:val="center" w:pos="4535"/>
                      <w:tab w:val="left" w:pos="7128"/>
                    </w:tabs>
                    <w:adjustRightInd w:val="0"/>
                    <w:spacing w:line="240" w:lineRule="auto"/>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2、每年对布袋除尘效果进行第三方检验</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、预计费用</w:t>
                  </w:r>
                  <w:r>
                    <w:rPr>
                      <w:rFonts w:hint="eastAsia" w:ascii="宋体" w:hAnsi="宋体" w:eastAsia="宋体" w:cs="宋体"/>
                      <w:sz w:val="21"/>
                      <w:szCs w:val="21"/>
                      <w:lang w:eastAsia="zh-CN"/>
                    </w:rPr>
                    <w:t>3</w:t>
                  </w:r>
                  <w:r>
                    <w:rPr>
                      <w:rFonts w:hint="eastAsia" w:ascii="宋体" w:hAnsi="宋体" w:eastAsia="宋体" w:cs="宋体"/>
                      <w:sz w:val="21"/>
                      <w:szCs w:val="21"/>
                    </w:rPr>
                    <w:t>万元。</w:t>
                  </w:r>
                </w:p>
              </w:tc>
              <w:tc>
                <w:tcPr>
                  <w:tcW w:w="140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2020.12.30</w:t>
                  </w:r>
                </w:p>
              </w:tc>
              <w:tc>
                <w:tcPr>
                  <w:tcW w:w="1210"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行政部</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p>
              </w:tc>
              <w:tc>
                <w:tcPr>
                  <w:tcW w:w="971"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唐娜</w:t>
                  </w: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092"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降低电能消耗</w:t>
                  </w:r>
                </w:p>
              </w:tc>
              <w:tc>
                <w:tcPr>
                  <w:tcW w:w="1392"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单位产量电能消耗降低1%</w:t>
                  </w:r>
                </w:p>
              </w:tc>
              <w:tc>
                <w:tcPr>
                  <w:tcW w:w="4170" w:type="dxa"/>
                </w:tcPr>
                <w:p>
                  <w:pPr>
                    <w:tabs>
                      <w:tab w:val="center" w:pos="4535"/>
                      <w:tab w:val="left" w:pos="7128"/>
                    </w:tabs>
                    <w:adjustRightInd w:val="0"/>
                    <w:spacing w:line="240" w:lineRule="auto"/>
                    <w:textAlignment w:val="baseline"/>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制定设备节电措施</w:t>
                  </w:r>
                  <w:r>
                    <w:rPr>
                      <w:rFonts w:hint="eastAsia" w:ascii="宋体" w:hAnsi="宋体" w:eastAsia="宋体" w:cs="宋体"/>
                      <w:sz w:val="21"/>
                      <w:szCs w:val="21"/>
                    </w:rPr>
                    <w:t>。</w:t>
                  </w:r>
                </w:p>
                <w:p>
                  <w:pPr>
                    <w:tabs>
                      <w:tab w:val="center" w:pos="4535"/>
                      <w:tab w:val="left" w:pos="7128"/>
                    </w:tabs>
                    <w:adjustRightInd w:val="0"/>
                    <w:spacing w:line="240" w:lineRule="auto"/>
                    <w:textAlignment w:val="baseline"/>
                    <w:rPr>
                      <w:rFonts w:hint="eastAsia" w:ascii="宋体" w:hAnsi="宋体" w:eastAsia="宋体" w:cs="宋体"/>
                      <w:sz w:val="21"/>
                      <w:szCs w:val="21"/>
                    </w:rPr>
                  </w:pPr>
                  <w:r>
                    <w:rPr>
                      <w:rFonts w:hint="eastAsia" w:ascii="宋体" w:hAnsi="宋体" w:eastAsia="宋体" w:cs="宋体"/>
                      <w:sz w:val="21"/>
                      <w:szCs w:val="21"/>
                    </w:rPr>
                    <w:t xml:space="preserve">2、 </w:t>
                  </w:r>
                  <w:r>
                    <w:rPr>
                      <w:rFonts w:hint="eastAsia" w:ascii="宋体" w:hAnsi="宋体" w:eastAsia="宋体" w:cs="宋体"/>
                      <w:sz w:val="21"/>
                      <w:szCs w:val="21"/>
                      <w:lang w:val="en-US" w:eastAsia="zh-CN"/>
                    </w:rPr>
                    <w:t>改进设备提高电能利用率</w:t>
                  </w:r>
                  <w:r>
                    <w:rPr>
                      <w:rFonts w:hint="eastAsia" w:ascii="宋体" w:hAnsi="宋体" w:eastAsia="宋体" w:cs="宋体"/>
                      <w:sz w:val="21"/>
                      <w:szCs w:val="21"/>
                    </w:rPr>
                    <w:t>。</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预计费用5千元。</w:t>
                  </w:r>
                </w:p>
              </w:tc>
              <w:tc>
                <w:tcPr>
                  <w:tcW w:w="1400"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2020.12.30</w:t>
                  </w:r>
                  <w:r>
                    <w:rPr>
                      <w:rFonts w:hint="eastAsia" w:ascii="宋体" w:hAnsi="宋体" w:eastAsia="宋体" w:cs="宋体"/>
                      <w:sz w:val="21"/>
                      <w:szCs w:val="21"/>
                    </w:rPr>
                    <w:t xml:space="preserve"> </w:t>
                  </w:r>
                </w:p>
              </w:tc>
              <w:tc>
                <w:tcPr>
                  <w:tcW w:w="1210"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行政部</w:t>
                  </w:r>
                </w:p>
                <w:p>
                  <w:pPr>
                    <w:spacing w:line="360" w:lineRule="auto"/>
                    <w:rPr>
                      <w:rFonts w:hint="eastAsia" w:ascii="宋体" w:hAnsi="宋体" w:eastAsia="宋体" w:cs="宋体"/>
                      <w:sz w:val="21"/>
                      <w:szCs w:val="21"/>
                    </w:rPr>
                  </w:pPr>
                </w:p>
              </w:tc>
              <w:tc>
                <w:tcPr>
                  <w:tcW w:w="971"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唐娜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trPr>
              <w:tc>
                <w:tcPr>
                  <w:tcW w:w="1092"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无火灾等环保污染事故</w:t>
                  </w:r>
                </w:p>
              </w:tc>
              <w:tc>
                <w:tcPr>
                  <w:tcW w:w="1392"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不发生火灾等环保污染事故</w:t>
                  </w:r>
                </w:p>
              </w:tc>
              <w:tc>
                <w:tcPr>
                  <w:tcW w:w="4170" w:type="dxa"/>
                </w:tcPr>
                <w:p>
                  <w:pPr>
                    <w:tabs>
                      <w:tab w:val="center" w:pos="4535"/>
                      <w:tab w:val="left" w:pos="7128"/>
                    </w:tabs>
                    <w:adjustRightInd w:val="0"/>
                    <w:spacing w:line="24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组织公司人员实施应急演练，使公司员工和相关作业人员掌握火灾预防和救治方法及自我防护知识。</w:t>
                  </w:r>
                </w:p>
                <w:p>
                  <w:pPr>
                    <w:tabs>
                      <w:tab w:val="center" w:pos="4535"/>
                      <w:tab w:val="left" w:pos="7128"/>
                    </w:tabs>
                    <w:adjustRightInd w:val="0"/>
                    <w:spacing w:line="24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rPr>
                    <w:t xml:space="preserve">2、 </w:t>
                  </w:r>
                  <w:r>
                    <w:rPr>
                      <w:rFonts w:hint="eastAsia" w:ascii="宋体" w:hAnsi="宋体" w:eastAsia="宋体" w:cs="宋体"/>
                      <w:sz w:val="21"/>
                      <w:szCs w:val="21"/>
                      <w:lang w:val="en-US" w:eastAsia="zh-CN"/>
                    </w:rPr>
                    <w:t>制定设备检修计划，定期检查设备线路。</w:t>
                  </w:r>
                </w:p>
                <w:p>
                  <w:pPr>
                    <w:tabs>
                      <w:tab w:val="center" w:pos="4535"/>
                      <w:tab w:val="left" w:pos="7128"/>
                    </w:tabs>
                    <w:adjustRightInd w:val="0"/>
                    <w:spacing w:line="24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制定消除设施检查制度，定期检查消除设施有效性。</w:t>
                  </w:r>
                </w:p>
                <w:p>
                  <w:pPr>
                    <w:spacing w:line="240" w:lineRule="auto"/>
                    <w:rPr>
                      <w:rFonts w:hint="eastAsia" w:ascii="宋体" w:hAnsi="宋体" w:eastAsia="宋体" w:cs="宋体"/>
                      <w:sz w:val="21"/>
                      <w:szCs w:val="21"/>
                    </w:rPr>
                  </w:pPr>
                  <w:r>
                    <w:rPr>
                      <w:rFonts w:hint="eastAsia" w:ascii="宋体" w:hAnsi="宋体" w:eastAsia="宋体" w:cs="宋体"/>
                      <w:sz w:val="21"/>
                      <w:szCs w:val="21"/>
                    </w:rPr>
                    <w:t>4、预计费用</w:t>
                  </w:r>
                  <w:r>
                    <w:rPr>
                      <w:rFonts w:hint="eastAsia" w:ascii="宋体" w:hAnsi="宋体" w:eastAsia="宋体" w:cs="宋体"/>
                      <w:sz w:val="21"/>
                      <w:szCs w:val="21"/>
                      <w:lang w:eastAsia="zh-CN"/>
                    </w:rPr>
                    <w:t>2</w:t>
                  </w:r>
                  <w:r>
                    <w:rPr>
                      <w:rFonts w:hint="eastAsia" w:ascii="宋体" w:hAnsi="宋体" w:eastAsia="宋体" w:cs="宋体"/>
                      <w:sz w:val="21"/>
                      <w:szCs w:val="21"/>
                    </w:rPr>
                    <w:t>万元。</w:t>
                  </w:r>
                </w:p>
              </w:tc>
              <w:tc>
                <w:tcPr>
                  <w:tcW w:w="1400"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2020.12.30</w:t>
                  </w:r>
                  <w:r>
                    <w:rPr>
                      <w:rFonts w:hint="eastAsia" w:ascii="宋体" w:hAnsi="宋体" w:eastAsia="宋体" w:cs="宋体"/>
                      <w:sz w:val="21"/>
                      <w:szCs w:val="21"/>
                    </w:rPr>
                    <w:t xml:space="preserve"> </w:t>
                  </w:r>
                </w:p>
              </w:tc>
              <w:tc>
                <w:tcPr>
                  <w:tcW w:w="1210" w:type="dxa"/>
                  <w:vAlign w:val="top"/>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行政部</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p>
              </w:tc>
              <w:tc>
                <w:tcPr>
                  <w:tcW w:w="971"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唐娜</w:t>
                  </w:r>
                </w:p>
              </w:tc>
            </w:tr>
          </w:tbl>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管理方案由责任部门组织实施，目前在实施中，部分已完成。</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6" w:hRule="atLeast"/>
        </w:trPr>
        <w:tc>
          <w:tcPr>
            <w:tcW w:w="1242" w:type="dxa"/>
            <w:vAlign w:val="center"/>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人力资源、能力、意识</w:t>
            </w:r>
          </w:p>
        </w:tc>
        <w:tc>
          <w:tcPr>
            <w:tcW w:w="1276"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7.2、7.3</w:t>
            </w:r>
          </w:p>
        </w:tc>
        <w:tc>
          <w:tcPr>
            <w:tcW w:w="10606"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企业配置了适宜的人员：如管理人员、技术人员、销售人员、生产操作工、检验人员、库管员等；人员配置基本满足日常管理体系运行要求。</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lang w:val="en-US" w:eastAsia="zh-CN"/>
              </w:rPr>
              <w:t>行政部</w:t>
            </w:r>
            <w:r>
              <w:rPr>
                <w:rFonts w:hint="eastAsia" w:ascii="宋体" w:hAnsi="宋体" w:eastAsia="宋体" w:cs="宋体"/>
                <w:sz w:val="21"/>
                <w:szCs w:val="21"/>
              </w:rPr>
              <w:t>对各岗位人员进行能力考核，根据结果采取措施，通常是采取培训方式。</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查到“20</w:t>
            </w:r>
            <w:r>
              <w:rPr>
                <w:rFonts w:hint="eastAsia" w:ascii="宋体" w:hAnsi="宋体" w:cs="宋体"/>
                <w:sz w:val="21"/>
                <w:szCs w:val="21"/>
                <w:lang w:val="en-US" w:eastAsia="zh-CN"/>
              </w:rPr>
              <w:t>20</w:t>
            </w:r>
            <w:r>
              <w:rPr>
                <w:rFonts w:hint="eastAsia" w:ascii="宋体" w:hAnsi="宋体" w:eastAsia="宋体" w:cs="宋体"/>
                <w:sz w:val="21"/>
                <w:szCs w:val="21"/>
              </w:rPr>
              <w:t>年度培训计划”，编制</w:t>
            </w:r>
            <w:r>
              <w:rPr>
                <w:rFonts w:hint="eastAsia" w:ascii="宋体" w:hAnsi="宋体" w:eastAsia="宋体" w:cs="宋体"/>
                <w:sz w:val="21"/>
                <w:szCs w:val="21"/>
                <w:lang w:val="en-US" w:eastAsia="zh-CN"/>
              </w:rPr>
              <w:t>唐娜</w:t>
            </w:r>
            <w:r>
              <w:rPr>
                <w:rFonts w:hint="eastAsia" w:ascii="宋体" w:hAnsi="宋体" w:eastAsia="宋体" w:cs="宋体"/>
                <w:sz w:val="21"/>
                <w:szCs w:val="21"/>
              </w:rPr>
              <w:t>，批准</w:t>
            </w:r>
            <w:r>
              <w:rPr>
                <w:rFonts w:hint="eastAsia" w:ascii="宋体" w:hAnsi="宋体" w:eastAsia="宋体" w:cs="宋体"/>
                <w:sz w:val="21"/>
                <w:szCs w:val="21"/>
                <w:lang w:val="en-US" w:eastAsia="zh-CN"/>
              </w:rPr>
              <w:t>郭会军</w:t>
            </w:r>
            <w:r>
              <w:rPr>
                <w:rFonts w:hint="eastAsia" w:ascii="宋体" w:hAnsi="宋体" w:eastAsia="宋体" w:cs="宋体"/>
                <w:sz w:val="21"/>
                <w:szCs w:val="21"/>
              </w:rPr>
              <w:t>，日期20</w:t>
            </w:r>
            <w:r>
              <w:rPr>
                <w:rFonts w:hint="eastAsia" w:ascii="宋体" w:hAnsi="宋体" w:cs="宋体"/>
                <w:sz w:val="21"/>
                <w:szCs w:val="21"/>
                <w:lang w:val="en-US" w:eastAsia="zh-CN"/>
              </w:rPr>
              <w:t>20</w:t>
            </w:r>
            <w:r>
              <w:rPr>
                <w:rFonts w:hint="eastAsia" w:ascii="宋体" w:hAnsi="宋体" w:eastAsia="宋体" w:cs="宋体"/>
                <w:sz w:val="21"/>
                <w:szCs w:val="21"/>
              </w:rPr>
              <w:t>.</w:t>
            </w: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日。培训内容涉及：标准、体系文件、内审员、岗位技能、作业指导书、相关法规、</w:t>
            </w:r>
            <w:r>
              <w:rPr>
                <w:rFonts w:hint="eastAsia" w:ascii="宋体" w:hAnsi="宋体" w:eastAsia="宋体" w:cs="宋体"/>
                <w:sz w:val="21"/>
                <w:szCs w:val="21"/>
                <w:lang w:val="en-US" w:eastAsia="zh-CN"/>
              </w:rPr>
              <w:t>环境因素评价</w:t>
            </w:r>
            <w:r>
              <w:rPr>
                <w:rFonts w:hint="eastAsia" w:ascii="宋体" w:hAnsi="宋体" w:eastAsia="宋体" w:cs="宋体"/>
                <w:sz w:val="21"/>
                <w:szCs w:val="21"/>
              </w:rPr>
              <w:t>等。</w:t>
            </w:r>
          </w:p>
          <w:p>
            <w:pPr>
              <w:spacing w:line="360" w:lineRule="auto"/>
              <w:rPr>
                <w:rFonts w:hint="eastAsia" w:ascii="宋体" w:hAnsi="宋体" w:eastAsia="宋体" w:cs="宋体"/>
                <w:sz w:val="21"/>
                <w:szCs w:val="21"/>
              </w:rPr>
            </w:pPr>
            <w:r>
              <w:rPr>
                <w:rFonts w:hint="eastAsia" w:ascii="宋体" w:hAnsi="宋体" w:eastAsia="宋体" w:cs="宋体"/>
                <w:sz w:val="21"/>
                <w:szCs w:val="21"/>
              </w:rPr>
              <w:t>查到：</w:t>
            </w:r>
            <w:r>
              <w:rPr>
                <w:rFonts w:hint="eastAsia" w:ascii="宋体" w:hAnsi="宋体" w:cs="宋体"/>
                <w:sz w:val="21"/>
                <w:szCs w:val="21"/>
                <w:lang w:val="en-US" w:eastAsia="zh-CN"/>
              </w:rPr>
              <w:t>1</w:t>
            </w:r>
            <w:r>
              <w:rPr>
                <w:rFonts w:hint="eastAsia" w:ascii="宋体" w:hAnsi="宋体" w:eastAsia="宋体" w:cs="宋体"/>
                <w:sz w:val="21"/>
                <w:szCs w:val="21"/>
              </w:rPr>
              <w:t>、20</w:t>
            </w:r>
            <w:r>
              <w:rPr>
                <w:rFonts w:hint="eastAsia" w:ascii="宋体" w:hAnsi="宋体" w:cs="宋体"/>
                <w:sz w:val="21"/>
                <w:szCs w:val="21"/>
                <w:lang w:val="en-US" w:eastAsia="zh-CN"/>
              </w:rPr>
              <w:t>20</w:t>
            </w:r>
            <w:r>
              <w:rPr>
                <w:rFonts w:hint="eastAsia" w:ascii="宋体" w:hAnsi="宋体" w:eastAsia="宋体" w:cs="宋体"/>
                <w:sz w:val="21"/>
                <w:szCs w:val="21"/>
              </w:rPr>
              <w:t>.</w:t>
            </w:r>
            <w:r>
              <w:rPr>
                <w:rFonts w:hint="eastAsia" w:ascii="宋体" w:hAnsi="宋体" w:cs="宋体"/>
                <w:sz w:val="21"/>
                <w:szCs w:val="21"/>
                <w:lang w:val="en-US" w:eastAsia="zh-CN"/>
              </w:rPr>
              <w:t>3</w:t>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日环境</w:t>
            </w:r>
            <w:r>
              <w:rPr>
                <w:rFonts w:hint="eastAsia" w:ascii="宋体" w:hAnsi="宋体" w:eastAsia="宋体" w:cs="宋体"/>
                <w:sz w:val="21"/>
                <w:szCs w:val="21"/>
                <w:lang w:val="en-US" w:eastAsia="zh-CN"/>
              </w:rPr>
              <w:t>管理体系标准</w:t>
            </w:r>
            <w:r>
              <w:rPr>
                <w:rFonts w:hint="eastAsia" w:ascii="宋体" w:hAnsi="宋体" w:eastAsia="宋体" w:cs="宋体"/>
                <w:sz w:val="21"/>
                <w:szCs w:val="21"/>
              </w:rPr>
              <w:t>培训，培训方式授课，有培训内容摘要，经现场讨论考核合格率100%。</w:t>
            </w:r>
          </w:p>
          <w:p>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、20</w:t>
            </w:r>
            <w:r>
              <w:rPr>
                <w:rFonts w:hint="eastAsia" w:ascii="宋体" w:hAnsi="宋体" w:cs="宋体"/>
                <w:sz w:val="21"/>
                <w:szCs w:val="21"/>
                <w:lang w:val="en-US" w:eastAsia="zh-CN"/>
              </w:rPr>
              <w:t>20</w:t>
            </w:r>
            <w:r>
              <w:rPr>
                <w:rFonts w:hint="eastAsia" w:ascii="宋体" w:hAnsi="宋体" w:eastAsia="宋体" w:cs="宋体"/>
                <w:sz w:val="21"/>
                <w:szCs w:val="21"/>
              </w:rPr>
              <w:t>.</w:t>
            </w:r>
            <w:r>
              <w:rPr>
                <w:rFonts w:hint="eastAsia" w:ascii="宋体" w:hAnsi="宋体" w:cs="宋体"/>
                <w:sz w:val="21"/>
                <w:szCs w:val="21"/>
                <w:lang w:val="en-US" w:eastAsia="zh-CN"/>
              </w:rPr>
              <w:t>5</w:t>
            </w:r>
            <w:r>
              <w:rPr>
                <w:rFonts w:hint="eastAsia" w:ascii="宋体" w:hAnsi="宋体" w:eastAsia="宋体" w:cs="宋体"/>
                <w:sz w:val="21"/>
                <w:szCs w:val="21"/>
              </w:rPr>
              <w:t>.2</w:t>
            </w:r>
            <w:r>
              <w:rPr>
                <w:rFonts w:hint="eastAsia" w:ascii="宋体" w:hAnsi="宋体" w:eastAsia="宋体" w:cs="宋体"/>
                <w:sz w:val="21"/>
                <w:szCs w:val="21"/>
                <w:lang w:val="en-US" w:eastAsia="zh-CN"/>
              </w:rPr>
              <w:t>1</w:t>
            </w:r>
            <w:r>
              <w:rPr>
                <w:rFonts w:hint="eastAsia" w:ascii="宋体" w:hAnsi="宋体" w:eastAsia="宋体" w:cs="宋体"/>
                <w:sz w:val="21"/>
                <w:szCs w:val="21"/>
              </w:rPr>
              <w:t>日</w:t>
            </w:r>
            <w:r>
              <w:rPr>
                <w:rFonts w:hint="eastAsia" w:ascii="宋体" w:hAnsi="宋体" w:eastAsia="宋体" w:cs="宋体"/>
                <w:sz w:val="21"/>
                <w:szCs w:val="21"/>
                <w:lang w:val="en-US" w:eastAsia="zh-CN"/>
              </w:rPr>
              <w:t>目标指标及环境因素</w:t>
            </w:r>
            <w:r>
              <w:rPr>
                <w:rFonts w:hint="eastAsia" w:ascii="宋体" w:hAnsi="宋体" w:eastAsia="宋体" w:cs="宋体"/>
                <w:sz w:val="21"/>
                <w:szCs w:val="21"/>
              </w:rPr>
              <w:t>培训，培训方式授课，有培训内容摘要，经现场讨论考核合格率100%。</w:t>
            </w:r>
          </w:p>
          <w:p>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w:t>
            </w:r>
            <w:r>
              <w:rPr>
                <w:rFonts w:hint="eastAsia" w:ascii="宋体" w:hAnsi="宋体" w:eastAsia="宋体" w:cs="宋体"/>
                <w:sz w:val="21"/>
                <w:szCs w:val="21"/>
              </w:rPr>
              <w:t>20</w:t>
            </w:r>
            <w:r>
              <w:rPr>
                <w:rFonts w:hint="eastAsia" w:ascii="宋体" w:hAnsi="宋体" w:cs="宋体"/>
                <w:sz w:val="21"/>
                <w:szCs w:val="21"/>
                <w:lang w:val="en-US" w:eastAsia="zh-CN"/>
              </w:rPr>
              <w:t>20</w:t>
            </w:r>
            <w:r>
              <w:rPr>
                <w:rFonts w:hint="eastAsia" w:ascii="宋体" w:hAnsi="宋体" w:eastAsia="宋体" w:cs="宋体"/>
                <w:sz w:val="21"/>
                <w:szCs w:val="21"/>
              </w:rPr>
              <w:t>.</w:t>
            </w:r>
            <w:r>
              <w:rPr>
                <w:rFonts w:hint="eastAsia" w:ascii="宋体" w:hAnsi="宋体" w:cs="宋体"/>
                <w:sz w:val="21"/>
                <w:szCs w:val="21"/>
                <w:lang w:val="en-US" w:eastAsia="zh-CN"/>
              </w:rPr>
              <w:t>7</w:t>
            </w:r>
            <w:r>
              <w:rPr>
                <w:rFonts w:hint="eastAsia" w:ascii="宋体" w:hAnsi="宋体" w:eastAsia="宋体" w:cs="宋体"/>
                <w:sz w:val="21"/>
                <w:szCs w:val="21"/>
              </w:rPr>
              <w:t>.</w:t>
            </w:r>
            <w:r>
              <w:rPr>
                <w:rFonts w:hint="eastAsia" w:ascii="宋体" w:hAnsi="宋体" w:cs="宋体"/>
                <w:sz w:val="21"/>
                <w:szCs w:val="21"/>
                <w:lang w:val="en-US" w:eastAsia="zh-CN"/>
              </w:rPr>
              <w:t>15</w:t>
            </w:r>
            <w:r>
              <w:rPr>
                <w:rFonts w:hint="eastAsia" w:ascii="宋体" w:hAnsi="宋体" w:eastAsia="宋体" w:cs="宋体"/>
                <w:sz w:val="21"/>
                <w:szCs w:val="21"/>
              </w:rPr>
              <w:t>日</w:t>
            </w:r>
            <w:r>
              <w:rPr>
                <w:rFonts w:hint="eastAsia" w:ascii="宋体" w:hAnsi="宋体" w:eastAsia="宋体" w:cs="宋体"/>
                <w:sz w:val="21"/>
                <w:szCs w:val="21"/>
                <w:lang w:val="en-US" w:eastAsia="zh-CN"/>
              </w:rPr>
              <w:t>内审员</w:t>
            </w:r>
            <w:r>
              <w:rPr>
                <w:rFonts w:hint="eastAsia" w:ascii="宋体" w:hAnsi="宋体" w:eastAsia="宋体" w:cs="宋体"/>
                <w:sz w:val="21"/>
                <w:szCs w:val="21"/>
              </w:rPr>
              <w:t>培训，培训方式授课，有培训内容摘要，经现场讨论考核合格率100%。</w:t>
            </w:r>
          </w:p>
          <w:p>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w:t>
            </w:r>
            <w:r>
              <w:rPr>
                <w:rFonts w:hint="eastAsia" w:ascii="宋体" w:hAnsi="宋体" w:eastAsia="宋体" w:cs="宋体"/>
                <w:sz w:val="21"/>
                <w:szCs w:val="21"/>
              </w:rPr>
              <w:t>20</w:t>
            </w:r>
            <w:r>
              <w:rPr>
                <w:rFonts w:hint="eastAsia" w:ascii="宋体" w:hAnsi="宋体" w:cs="宋体"/>
                <w:sz w:val="21"/>
                <w:szCs w:val="21"/>
                <w:lang w:val="en-US" w:eastAsia="zh-CN"/>
              </w:rPr>
              <w:t>20</w:t>
            </w:r>
            <w:r>
              <w:rPr>
                <w:rFonts w:hint="eastAsia" w:ascii="宋体" w:hAnsi="宋体" w:eastAsia="宋体" w:cs="宋体"/>
                <w:sz w:val="21"/>
                <w:szCs w:val="21"/>
              </w:rPr>
              <w:t>.</w:t>
            </w:r>
            <w:r>
              <w:rPr>
                <w:rFonts w:hint="eastAsia" w:ascii="宋体" w:hAnsi="宋体" w:cs="宋体"/>
                <w:sz w:val="21"/>
                <w:szCs w:val="21"/>
                <w:lang w:val="en-US" w:eastAsia="zh-CN"/>
              </w:rPr>
              <w:t>10</w:t>
            </w:r>
            <w:r>
              <w:rPr>
                <w:rFonts w:hint="eastAsia" w:ascii="宋体" w:hAnsi="宋体" w:eastAsia="宋体" w:cs="宋体"/>
                <w:sz w:val="21"/>
                <w:szCs w:val="21"/>
              </w:rPr>
              <w:t>.</w:t>
            </w:r>
            <w:r>
              <w:rPr>
                <w:rFonts w:hint="eastAsia" w:ascii="宋体" w:hAnsi="宋体" w:eastAsia="宋体" w:cs="宋体"/>
                <w:sz w:val="21"/>
                <w:szCs w:val="21"/>
                <w:lang w:val="en-US" w:eastAsia="zh-CN"/>
              </w:rPr>
              <w:t>12</w:t>
            </w:r>
            <w:r>
              <w:rPr>
                <w:rFonts w:hint="eastAsia" w:ascii="宋体" w:hAnsi="宋体" w:eastAsia="宋体" w:cs="宋体"/>
                <w:sz w:val="21"/>
                <w:szCs w:val="21"/>
              </w:rPr>
              <w:t>日</w:t>
            </w:r>
            <w:r>
              <w:rPr>
                <w:rFonts w:hint="eastAsia" w:ascii="宋体" w:hAnsi="宋体" w:eastAsia="宋体" w:cs="宋体"/>
                <w:sz w:val="21"/>
                <w:szCs w:val="21"/>
                <w:lang w:val="en-US" w:eastAsia="zh-CN"/>
              </w:rPr>
              <w:t>作业文件</w:t>
            </w:r>
            <w:r>
              <w:rPr>
                <w:rFonts w:hint="eastAsia" w:ascii="宋体" w:hAnsi="宋体" w:eastAsia="宋体" w:cs="宋体"/>
                <w:sz w:val="21"/>
                <w:szCs w:val="21"/>
              </w:rPr>
              <w:t>培训，培训方式授课，有培训内容摘要，经现场讨论考核合格率100%。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pPr>
              <w:autoSpaceDE w:val="0"/>
              <w:autoSpaceDN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查特种作业人员：提供叉车工资格证，</w:t>
            </w:r>
            <w:r>
              <w:rPr>
                <w:rFonts w:hint="eastAsia" w:ascii="宋体" w:hAnsi="宋体"/>
                <w:b w:val="0"/>
                <w:bCs/>
                <w:sz w:val="21"/>
                <w:szCs w:val="21"/>
              </w:rPr>
              <w:t>姓名</w:t>
            </w:r>
            <w:r>
              <w:rPr>
                <w:rFonts w:hint="eastAsia" w:ascii="宋体" w:hAnsi="宋体"/>
                <w:b w:val="0"/>
                <w:bCs/>
                <w:sz w:val="21"/>
                <w:szCs w:val="21"/>
                <w:lang w:val="en-US" w:eastAsia="zh-CN"/>
              </w:rPr>
              <w:t>苟海龙</w:t>
            </w:r>
            <w:r>
              <w:rPr>
                <w:rFonts w:hint="eastAsia" w:ascii="宋体" w:hAnsi="宋体"/>
                <w:b w:val="0"/>
                <w:bCs/>
                <w:sz w:val="21"/>
                <w:szCs w:val="21"/>
              </w:rPr>
              <w:t>，证件编号</w:t>
            </w:r>
            <w:r>
              <w:rPr>
                <w:rFonts w:hint="eastAsia" w:ascii="宋体" w:hAnsi="宋体"/>
                <w:b w:val="0"/>
                <w:bCs/>
                <w:sz w:val="21"/>
                <w:szCs w:val="21"/>
                <w:lang w:eastAsia="zh-CN"/>
              </w:rPr>
              <w:t>：</w:t>
            </w:r>
            <w:r>
              <w:rPr>
                <w:rFonts w:hint="eastAsia" w:ascii="宋体" w:hAnsi="宋体"/>
                <w:b w:val="0"/>
                <w:bCs/>
                <w:sz w:val="21"/>
                <w:szCs w:val="21"/>
                <w:lang w:val="en-US" w:eastAsia="zh-CN"/>
              </w:rPr>
              <w:t>610321198008242513</w:t>
            </w:r>
            <w:r>
              <w:rPr>
                <w:rFonts w:hint="eastAsia" w:ascii="宋体" w:hAnsi="宋体"/>
                <w:b w:val="0"/>
                <w:bCs/>
                <w:sz w:val="21"/>
                <w:szCs w:val="21"/>
              </w:rPr>
              <w:t>，有效期至20</w:t>
            </w:r>
            <w:r>
              <w:rPr>
                <w:rFonts w:hint="eastAsia" w:ascii="宋体" w:hAnsi="宋体"/>
                <w:b w:val="0"/>
                <w:bCs/>
                <w:sz w:val="21"/>
                <w:szCs w:val="21"/>
                <w:lang w:val="en-US" w:eastAsia="zh-CN"/>
              </w:rPr>
              <w:t>23</w:t>
            </w:r>
            <w:r>
              <w:rPr>
                <w:rFonts w:hint="eastAsia" w:ascii="宋体" w:hAnsi="宋体"/>
                <w:b w:val="0"/>
                <w:bCs/>
                <w:sz w:val="21"/>
                <w:szCs w:val="21"/>
              </w:rPr>
              <w:t>.</w:t>
            </w:r>
            <w:r>
              <w:rPr>
                <w:rFonts w:hint="eastAsia" w:ascii="宋体" w:hAnsi="宋体"/>
                <w:b w:val="0"/>
                <w:bCs/>
                <w:sz w:val="21"/>
                <w:szCs w:val="21"/>
                <w:lang w:val="en-US" w:eastAsia="zh-CN"/>
              </w:rPr>
              <w:t>12月</w:t>
            </w:r>
            <w:r>
              <w:rPr>
                <w:rFonts w:hint="eastAsia" w:ascii="宋体" w:hAnsi="宋体"/>
                <w:b w:val="0"/>
                <w:bCs/>
                <w:sz w:val="21"/>
                <w:szCs w:val="21"/>
              </w:rPr>
              <w:t>，发证</w:t>
            </w:r>
            <w:r>
              <w:rPr>
                <w:rFonts w:hint="eastAsia" w:ascii="宋体" w:hAnsi="宋体"/>
                <w:b w:val="0"/>
                <w:bCs/>
                <w:sz w:val="21"/>
                <w:szCs w:val="21"/>
                <w:lang w:val="en-US" w:eastAsia="zh-CN"/>
              </w:rPr>
              <w:t>国家安全生产监督管理总局</w:t>
            </w:r>
            <w:r>
              <w:rPr>
                <w:rFonts w:hint="eastAsia" w:ascii="宋体" w:hAnsi="宋体"/>
                <w:b w:val="0"/>
                <w:bCs/>
                <w:sz w:val="21"/>
                <w:szCs w:val="21"/>
              </w:rPr>
              <w:t>。</w:t>
            </w:r>
          </w:p>
          <w:p>
            <w:pPr>
              <w:autoSpaceDE w:val="0"/>
              <w:autoSpaceDN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w:t>
            </w:r>
            <w:r>
              <w:rPr>
                <w:rFonts w:hint="eastAsia" w:ascii="宋体" w:hAnsi="宋体" w:eastAsia="宋体" w:cs="宋体"/>
                <w:sz w:val="21"/>
                <w:szCs w:val="21"/>
                <w:lang w:val="en-US" w:eastAsia="zh-CN"/>
              </w:rPr>
              <w:t>非高危企业安全管理人员培训证书</w:t>
            </w:r>
            <w:r>
              <w:rPr>
                <w:rFonts w:hint="eastAsia" w:ascii="宋体" w:hAnsi="宋体" w:eastAsia="宋体" w:cs="宋体"/>
                <w:sz w:val="21"/>
                <w:szCs w:val="21"/>
              </w:rPr>
              <w:t>，姓名</w:t>
            </w:r>
            <w:r>
              <w:rPr>
                <w:rFonts w:hint="eastAsia" w:ascii="宋体" w:hAnsi="宋体" w:eastAsia="宋体" w:cs="宋体"/>
                <w:sz w:val="21"/>
                <w:szCs w:val="21"/>
                <w:lang w:val="en-US" w:eastAsia="zh-CN"/>
              </w:rPr>
              <w:t>郭龙瑞</w:t>
            </w:r>
            <w:r>
              <w:rPr>
                <w:rFonts w:hint="eastAsia" w:ascii="宋体" w:hAnsi="宋体" w:eastAsia="宋体" w:cs="宋体"/>
                <w:sz w:val="21"/>
                <w:szCs w:val="21"/>
              </w:rPr>
              <w:t>，证件编号</w:t>
            </w:r>
            <w:r>
              <w:rPr>
                <w:rFonts w:hint="eastAsia" w:ascii="宋体" w:hAnsi="宋体" w:eastAsia="宋体" w:cs="宋体"/>
                <w:sz w:val="21"/>
                <w:szCs w:val="21"/>
                <w:lang w:val="en-US" w:eastAsia="zh-CN"/>
              </w:rPr>
              <w:t>610321199912112113</w:t>
            </w:r>
            <w:r>
              <w:rPr>
                <w:rFonts w:hint="eastAsia" w:ascii="宋体" w:hAnsi="宋体" w:eastAsia="宋体" w:cs="宋体"/>
                <w:sz w:val="21"/>
                <w:szCs w:val="21"/>
              </w:rPr>
              <w:t>，有效期至20</w:t>
            </w:r>
            <w:r>
              <w:rPr>
                <w:rFonts w:hint="eastAsia" w:ascii="宋体" w:hAnsi="宋体" w:eastAsia="宋体" w:cs="宋体"/>
                <w:sz w:val="21"/>
                <w:szCs w:val="21"/>
                <w:lang w:val="en-US" w:eastAsia="zh-CN"/>
              </w:rPr>
              <w:t>21</w:t>
            </w: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.2</w:t>
            </w:r>
            <w:r>
              <w:rPr>
                <w:rFonts w:hint="eastAsia" w:ascii="宋体" w:hAnsi="宋体" w:eastAsia="宋体" w:cs="宋体"/>
                <w:sz w:val="21"/>
                <w:szCs w:val="21"/>
                <w:lang w:val="en-US" w:eastAsia="zh-CN"/>
              </w:rPr>
              <w:t>5</w:t>
            </w:r>
            <w:r>
              <w:rPr>
                <w:rFonts w:hint="eastAsia" w:ascii="宋体" w:hAnsi="宋体" w:eastAsia="宋体" w:cs="宋体"/>
                <w:sz w:val="21"/>
                <w:szCs w:val="21"/>
              </w:rPr>
              <w:t>日，发证机关</w:t>
            </w:r>
            <w:r>
              <w:rPr>
                <w:rFonts w:hint="eastAsia" w:ascii="宋体" w:hAnsi="宋体" w:eastAsia="宋体" w:cs="宋体"/>
                <w:sz w:val="21"/>
                <w:szCs w:val="21"/>
                <w:lang w:val="en-US" w:eastAsia="zh-CN"/>
              </w:rPr>
              <w:t>宝鸡</w:t>
            </w:r>
            <w:r>
              <w:rPr>
                <w:rFonts w:hint="eastAsia" w:ascii="宋体" w:hAnsi="宋体" w:eastAsia="宋体" w:cs="宋体"/>
                <w:sz w:val="21"/>
                <w:szCs w:val="21"/>
              </w:rPr>
              <w:t>安监局。</w:t>
            </w:r>
          </w:p>
          <w:p>
            <w:pPr>
              <w:autoSpaceDE w:val="0"/>
              <w:autoSpaceDN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w:t>
            </w:r>
            <w:r>
              <w:rPr>
                <w:rFonts w:hint="eastAsia" w:ascii="宋体" w:hAnsi="宋体" w:eastAsia="宋体" w:cs="宋体"/>
                <w:sz w:val="21"/>
                <w:szCs w:val="21"/>
                <w:lang w:val="en-US" w:eastAsia="zh-CN"/>
              </w:rPr>
              <w:t>非高危企业安全管理人员培训证书</w:t>
            </w:r>
            <w:r>
              <w:rPr>
                <w:rFonts w:hint="eastAsia" w:ascii="宋体" w:hAnsi="宋体" w:eastAsia="宋体" w:cs="宋体"/>
                <w:sz w:val="21"/>
                <w:szCs w:val="21"/>
              </w:rPr>
              <w:t>，姓名</w:t>
            </w:r>
            <w:r>
              <w:rPr>
                <w:rFonts w:hint="eastAsia" w:ascii="宋体" w:hAnsi="宋体" w:eastAsia="宋体" w:cs="宋体"/>
                <w:sz w:val="21"/>
                <w:szCs w:val="21"/>
                <w:lang w:val="en-US" w:eastAsia="zh-CN"/>
              </w:rPr>
              <w:t>苟海龙</w:t>
            </w:r>
            <w:r>
              <w:rPr>
                <w:rFonts w:hint="eastAsia" w:ascii="宋体" w:hAnsi="宋体" w:eastAsia="宋体" w:cs="宋体"/>
                <w:sz w:val="21"/>
                <w:szCs w:val="21"/>
              </w:rPr>
              <w:t>，证件编号</w:t>
            </w:r>
            <w:r>
              <w:rPr>
                <w:rFonts w:hint="eastAsia" w:ascii="宋体" w:hAnsi="宋体" w:eastAsia="宋体" w:cs="宋体"/>
                <w:sz w:val="21"/>
                <w:szCs w:val="21"/>
                <w:lang w:val="en-US" w:eastAsia="zh-CN"/>
              </w:rPr>
              <w:t>610321198008242513</w:t>
            </w:r>
            <w:r>
              <w:rPr>
                <w:rFonts w:hint="eastAsia" w:ascii="宋体" w:hAnsi="宋体" w:eastAsia="宋体" w:cs="宋体"/>
                <w:sz w:val="21"/>
                <w:szCs w:val="21"/>
              </w:rPr>
              <w:t>，有效期至20</w:t>
            </w:r>
            <w:r>
              <w:rPr>
                <w:rFonts w:hint="eastAsia" w:ascii="宋体" w:hAnsi="宋体" w:eastAsia="宋体" w:cs="宋体"/>
                <w:sz w:val="21"/>
                <w:szCs w:val="21"/>
                <w:lang w:val="en-US" w:eastAsia="zh-CN"/>
              </w:rPr>
              <w:t>21</w:t>
            </w:r>
            <w:r>
              <w:rPr>
                <w:rFonts w:hint="eastAsia" w:ascii="宋体" w:hAnsi="宋体" w:eastAsia="宋体" w:cs="宋体"/>
                <w:sz w:val="21"/>
                <w:szCs w:val="21"/>
              </w:rPr>
              <w:t>.</w:t>
            </w:r>
            <w:r>
              <w:rPr>
                <w:rFonts w:hint="eastAsia" w:ascii="宋体" w:hAnsi="宋体" w:eastAsia="宋体" w:cs="宋体"/>
                <w:sz w:val="21"/>
                <w:szCs w:val="21"/>
                <w:lang w:val="en-US" w:eastAsia="zh-CN"/>
              </w:rPr>
              <w:t>9</w:t>
            </w:r>
            <w:r>
              <w:rPr>
                <w:rFonts w:hint="eastAsia" w:ascii="宋体" w:hAnsi="宋体" w:eastAsia="宋体" w:cs="宋体"/>
                <w:sz w:val="21"/>
                <w:szCs w:val="21"/>
              </w:rPr>
              <w:t>.2</w:t>
            </w:r>
            <w:r>
              <w:rPr>
                <w:rFonts w:hint="eastAsia" w:ascii="宋体" w:hAnsi="宋体" w:eastAsia="宋体" w:cs="宋体"/>
                <w:sz w:val="21"/>
                <w:szCs w:val="21"/>
                <w:lang w:val="en-US" w:eastAsia="zh-CN"/>
              </w:rPr>
              <w:t>0</w:t>
            </w:r>
            <w:r>
              <w:rPr>
                <w:rFonts w:hint="eastAsia" w:ascii="宋体" w:hAnsi="宋体" w:eastAsia="宋体" w:cs="宋体"/>
                <w:sz w:val="21"/>
                <w:szCs w:val="21"/>
              </w:rPr>
              <w:t>日，发证机关</w:t>
            </w:r>
            <w:r>
              <w:rPr>
                <w:rFonts w:hint="eastAsia" w:ascii="宋体" w:hAnsi="宋体" w:eastAsia="宋体" w:cs="宋体"/>
                <w:sz w:val="21"/>
                <w:szCs w:val="21"/>
                <w:lang w:val="en-US" w:eastAsia="zh-CN"/>
              </w:rPr>
              <w:t>宝鸡</w:t>
            </w:r>
            <w:r>
              <w:rPr>
                <w:rFonts w:hint="eastAsia" w:ascii="宋体" w:hAnsi="宋体" w:eastAsia="宋体" w:cs="宋体"/>
                <w:sz w:val="21"/>
                <w:szCs w:val="21"/>
              </w:rPr>
              <w:t>安监局。</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企业已对人力资源的管理、控制进行了策划，并已实施控制，针对体系知识的系统深入学习进行了现场交流。</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形成文件的信息</w:t>
            </w:r>
          </w:p>
        </w:tc>
        <w:tc>
          <w:tcPr>
            <w:tcW w:w="1276"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7.5</w:t>
            </w:r>
          </w:p>
        </w:tc>
        <w:tc>
          <w:tcPr>
            <w:tcW w:w="10606"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提供:环境管理体系</w:t>
            </w:r>
            <w:r>
              <w:rPr>
                <w:rFonts w:hint="eastAsia" w:ascii="宋体" w:hAnsi="宋体" w:eastAsia="宋体" w:cs="宋体"/>
                <w:sz w:val="21"/>
                <w:szCs w:val="21"/>
              </w:rPr>
              <w:t>手册</w:t>
            </w:r>
            <w:r>
              <w:rPr>
                <w:rFonts w:hint="eastAsia" w:ascii="宋体" w:hAnsi="宋体" w:eastAsia="宋体" w:cs="宋体"/>
                <w:sz w:val="21"/>
                <w:szCs w:val="21"/>
                <w:lang w:val="en-US" w:eastAsia="zh-CN"/>
              </w:rPr>
              <w:t>ES/RY</w:t>
            </w:r>
            <w:r>
              <w:rPr>
                <w:rFonts w:hint="eastAsia" w:ascii="宋体" w:hAnsi="宋体" w:eastAsia="宋体" w:cs="宋体"/>
                <w:sz w:val="21"/>
                <w:szCs w:val="21"/>
              </w:rPr>
              <w:t xml:space="preserve">-2019 A </w:t>
            </w:r>
            <w:r>
              <w:rPr>
                <w:rFonts w:hint="eastAsia" w:ascii="宋体" w:hAnsi="宋体" w:eastAsia="宋体" w:cs="宋体"/>
                <w:sz w:val="21"/>
                <w:szCs w:val="21"/>
                <w:lang w:val="en-US" w:eastAsia="zh-CN"/>
              </w:rPr>
              <w:t>/0</w:t>
            </w:r>
            <w:r>
              <w:rPr>
                <w:rFonts w:hint="eastAsia" w:ascii="宋体" w:hAnsi="宋体" w:eastAsia="宋体" w:cs="宋体"/>
                <w:sz w:val="21"/>
                <w:szCs w:val="21"/>
              </w:rPr>
              <w:t>版，发布时间：2019.</w:t>
            </w: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     实施时间：2019.</w:t>
            </w: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程序文件，含</w:t>
            </w:r>
            <w:r>
              <w:rPr>
                <w:rFonts w:hint="eastAsia" w:ascii="宋体" w:hAnsi="宋体" w:eastAsia="宋体" w:cs="宋体"/>
                <w:sz w:val="21"/>
                <w:szCs w:val="21"/>
                <w:lang w:val="en-US" w:eastAsia="zh-CN"/>
              </w:rPr>
              <w:t>19</w:t>
            </w:r>
            <w:r>
              <w:rPr>
                <w:rFonts w:hint="eastAsia" w:ascii="宋体" w:hAnsi="宋体" w:eastAsia="宋体" w:cs="宋体"/>
                <w:sz w:val="21"/>
                <w:szCs w:val="21"/>
              </w:rPr>
              <w:t>个文件，包括标准要求的形成文件的信息。</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管理制度汇编包括管理制度、合同管理制定、作业指导书等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体系运行一年，没有更改</w:t>
            </w:r>
            <w:r>
              <w:rPr>
                <w:rFonts w:hint="eastAsia" w:ascii="宋体" w:hAnsi="宋体" w:eastAsia="宋体" w:cs="宋体"/>
                <w:sz w:val="21"/>
                <w:szCs w:val="21"/>
              </w:rPr>
              <w:t>。</w:t>
            </w:r>
          </w:p>
          <w:p>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查见《外来、受控清单》，登录有手册、程序、管理规定、生产现场管理制度、组装作业指导书等受控文件，包含了体系要求的成文信息，文件规定基本符合组织实际，满足标准要求。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抽查：《应急准备和响应程序》、《合规性评价程序》、《纠正措施和预防措施控制程序》等体系文件，均有编制、审批人员签名，符合要求。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查文件发放情况：</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提供了《文件发放/回收记录》，所有文件均由办公室发放，录有管理手册、程序、作业文件及标准、法律法规等外来文件。显示文件发放均有文件名称、编号、分发号、版本，发放/回收日期等。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查外来文件管理：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公司对外来文件及法律法规进行了收集、识别、分发、控制。外来文件采用了统一保管、借阅使用的方法进行控制。由</w:t>
            </w:r>
            <w:r>
              <w:rPr>
                <w:rFonts w:hint="eastAsia" w:ascii="宋体" w:hAnsi="宋体" w:eastAsia="宋体" w:cs="宋体"/>
                <w:sz w:val="21"/>
                <w:szCs w:val="21"/>
                <w:lang w:val="en-US" w:eastAsia="zh-CN"/>
              </w:rPr>
              <w:t>行政部</w:t>
            </w:r>
            <w:r>
              <w:rPr>
                <w:rFonts w:hint="eastAsia" w:ascii="宋体" w:hAnsi="宋体" w:eastAsia="宋体" w:cs="宋体"/>
                <w:sz w:val="21"/>
                <w:szCs w:val="21"/>
              </w:rPr>
              <w:t>负责通过到主管部门、网上收集、标准发布部门进行购买，并对外来文件的识别、跟踪、控制。查到：《法律法规清单》，有：</w:t>
            </w:r>
            <w:r>
              <w:rPr>
                <w:rFonts w:hint="eastAsia" w:ascii="宋体" w:hAnsi="宋体" w:eastAsia="宋体" w:cs="宋体"/>
                <w:sz w:val="21"/>
                <w:szCs w:val="21"/>
                <w:u w:val="none"/>
              </w:rPr>
              <w:t>环保法、消防法、节约能源法、危险废物贮存污染控制标准</w:t>
            </w:r>
            <w:r>
              <w:rPr>
                <w:rFonts w:hint="eastAsia" w:ascii="宋体" w:hAnsi="宋体" w:eastAsia="宋体" w:cs="宋体"/>
                <w:sz w:val="21"/>
                <w:szCs w:val="21"/>
              </w:rPr>
              <w:t>等法律法规和执行标准，外来文件管理符合要求。</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总体来说，公司文件化信息控制基本有效。</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trPr>
        <w:tc>
          <w:tcPr>
            <w:tcW w:w="1242"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环境因素</w:t>
            </w:r>
          </w:p>
        </w:tc>
        <w:tc>
          <w:tcPr>
            <w:tcW w:w="1276"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sz w:val="21"/>
                <w:szCs w:val="21"/>
              </w:rPr>
            </w:pP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 xml:space="preserve">6.1.2 </w:t>
            </w:r>
          </w:p>
          <w:p>
            <w:pPr>
              <w:spacing w:line="360" w:lineRule="auto"/>
              <w:rPr>
                <w:rFonts w:hint="eastAsia" w:ascii="宋体" w:hAnsi="宋体" w:eastAsia="宋体" w:cs="宋体"/>
                <w:sz w:val="21"/>
                <w:szCs w:val="21"/>
              </w:rPr>
            </w:pPr>
          </w:p>
        </w:tc>
        <w:tc>
          <w:tcPr>
            <w:tcW w:w="10606"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lang w:val="en-US" w:eastAsia="zh-CN"/>
              </w:rPr>
              <w:t>行政部</w:t>
            </w:r>
            <w:r>
              <w:rPr>
                <w:rFonts w:hint="eastAsia" w:ascii="宋体" w:hAnsi="宋体" w:eastAsia="宋体" w:cs="宋体"/>
                <w:bCs/>
                <w:sz w:val="21"/>
                <w:szCs w:val="21"/>
              </w:rPr>
              <w:t>作为环境管理体系的推进</w:t>
            </w:r>
            <w:r>
              <w:rPr>
                <w:rFonts w:hint="eastAsia" w:ascii="宋体" w:hAnsi="宋体" w:eastAsia="宋体" w:cs="宋体"/>
                <w:sz w:val="21"/>
                <w:szCs w:val="21"/>
              </w:rPr>
              <w:t>部门，识别评价</w:t>
            </w:r>
            <w:r>
              <w:rPr>
                <w:rFonts w:hint="eastAsia" w:ascii="宋体" w:hAnsi="宋体" w:cs="宋体"/>
                <w:sz w:val="21"/>
                <w:szCs w:val="21"/>
                <w:lang w:val="en-US" w:eastAsia="zh-CN"/>
              </w:rPr>
              <w:t>了</w:t>
            </w:r>
            <w:r>
              <w:rPr>
                <w:rFonts w:hint="eastAsia" w:ascii="宋体" w:hAnsi="宋体" w:eastAsia="宋体" w:cs="宋体"/>
                <w:sz w:val="21"/>
                <w:szCs w:val="21"/>
              </w:rPr>
              <w:t>相关的环境因素。根据各部门识别及各办公、采购、生产、质检、销售过程环节识别，由</w:t>
            </w:r>
            <w:r>
              <w:rPr>
                <w:rFonts w:hint="eastAsia" w:ascii="宋体" w:hAnsi="宋体" w:eastAsia="宋体" w:cs="宋体"/>
                <w:sz w:val="21"/>
                <w:szCs w:val="21"/>
                <w:lang w:val="en-US" w:eastAsia="zh-CN"/>
              </w:rPr>
              <w:t>行政部</w:t>
            </w:r>
            <w:r>
              <w:rPr>
                <w:rFonts w:hint="eastAsia" w:ascii="宋体" w:hAnsi="宋体" w:eastAsia="宋体" w:cs="宋体"/>
                <w:sz w:val="21"/>
                <w:szCs w:val="21"/>
              </w:rPr>
              <w:t>汇总。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环境因素登记及评价表”，识别考虑了正常、异常、紧急，过去、现在、未来三种时态，能考虑到产品生命周期观点。涉及办公室的环境因素有办公活动中生活垃圾排放、纸张等办公废品排放、废水排放、空调排放热气、汽车尾气排放、火灾事故发生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采取多因子评价法进行了评价，查到“重要环境因素清单”，评价出固体废弃物排放、火灾事故的发生、废气排放、噪声排放等4项重要环境因素。</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经评价</w:t>
            </w:r>
            <w:r>
              <w:rPr>
                <w:rFonts w:hint="eastAsia" w:ascii="宋体" w:hAnsi="宋体" w:eastAsia="宋体" w:cs="宋体"/>
                <w:sz w:val="21"/>
                <w:szCs w:val="21"/>
                <w:lang w:val="en-US" w:eastAsia="zh-CN"/>
              </w:rPr>
              <w:t>行政部</w:t>
            </w:r>
            <w:r>
              <w:rPr>
                <w:rFonts w:hint="eastAsia" w:ascii="宋体" w:hAnsi="宋体" w:eastAsia="宋体" w:cs="宋体"/>
                <w:sz w:val="21"/>
                <w:szCs w:val="21"/>
              </w:rPr>
              <w:t>的重要环境因素为：日常办公过程中固体废弃物排放、火灾事故的发生。</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主要控制措施：生活垃圾分类存放、办公危废交耗材供应公司，垃圾由环卫部门拉走，加强日常培训，日常检查，配备消防器材等措施。</w:t>
            </w:r>
          </w:p>
          <w:p>
            <w:pPr>
              <w:spacing w:line="360" w:lineRule="auto"/>
              <w:rPr>
                <w:rFonts w:hint="eastAsia" w:ascii="宋体" w:hAnsi="宋体" w:eastAsia="宋体" w:cs="宋体"/>
                <w:sz w:val="21"/>
                <w:szCs w:val="21"/>
              </w:rPr>
            </w:pPr>
            <w:r>
              <w:rPr>
                <w:rFonts w:hint="eastAsia" w:ascii="宋体" w:hAnsi="宋体" w:eastAsia="宋体" w:cs="宋体"/>
                <w:sz w:val="21"/>
                <w:szCs w:val="21"/>
              </w:rPr>
              <w:t>具体控制措施见E8.1审核记录。</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42"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合规义务、法律法规和其他要求</w:t>
            </w:r>
          </w:p>
        </w:tc>
        <w:tc>
          <w:tcPr>
            <w:tcW w:w="1276" w:type="dxa"/>
            <w:vAlign w:val="center"/>
          </w:tcPr>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 xml:space="preserve">6.1.3 </w:t>
            </w:r>
          </w:p>
        </w:tc>
        <w:tc>
          <w:tcPr>
            <w:tcW w:w="10606" w:type="dxa"/>
            <w:vAlign w:val="center"/>
          </w:tcPr>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主要通过网络、报纸杂志电视等新闻媒体、购买、上级下发等多种形式收集本公司适用的法律法规。提供了《适用的法律法规及其他要求一览表》，识别了企业相关环境法律法规、标准和其他要求。如《中华人民共和国环境影响评价法》、《中华人民共和国环境噪声污染防治法》、《中华人民共和国消防法》、《中华人民共和国大气污染防治法》、《国家危险废物名录》、《城市生活垃圾管理办法》、《</w:t>
            </w:r>
            <w:r>
              <w:rPr>
                <w:rFonts w:hint="eastAsia" w:ascii="宋体" w:hAnsi="宋体" w:eastAsia="宋体" w:cs="宋体"/>
                <w:sz w:val="21"/>
                <w:szCs w:val="21"/>
                <w:lang w:val="en-US" w:eastAsia="zh-CN"/>
              </w:rPr>
              <w:t>宝鸡</w:t>
            </w:r>
            <w:r>
              <w:rPr>
                <w:rFonts w:hint="eastAsia" w:ascii="宋体" w:hAnsi="宋体" w:eastAsia="宋体" w:cs="宋体"/>
                <w:sz w:val="21"/>
                <w:szCs w:val="21"/>
              </w:rPr>
              <w:t>市建设工程消防管理规定》、《</w:t>
            </w:r>
            <w:r>
              <w:rPr>
                <w:rFonts w:hint="eastAsia" w:ascii="宋体" w:hAnsi="宋体" w:eastAsia="宋体" w:cs="宋体"/>
                <w:sz w:val="21"/>
                <w:szCs w:val="21"/>
                <w:lang w:val="en-US" w:eastAsia="zh-CN"/>
              </w:rPr>
              <w:t>陕西</w:t>
            </w:r>
            <w:r>
              <w:rPr>
                <w:rFonts w:hint="eastAsia" w:ascii="宋体" w:hAnsi="宋体" w:eastAsia="宋体" w:cs="宋体"/>
                <w:sz w:val="21"/>
                <w:szCs w:val="21"/>
              </w:rPr>
              <w:t>省大气污染防治条例》等。</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已识别法律法规及其它要求的适用条款，并与环境因素进行了对应。</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公司法律、法规及其它要求都有现行文本，大部分为电子版本。各部门如有需要到</w:t>
            </w:r>
            <w:r>
              <w:rPr>
                <w:rFonts w:hint="eastAsia" w:ascii="宋体" w:hAnsi="宋体" w:eastAsia="宋体" w:cs="宋体"/>
                <w:sz w:val="21"/>
                <w:szCs w:val="21"/>
                <w:lang w:val="en-US" w:eastAsia="zh-CN"/>
              </w:rPr>
              <w:t>行政部</w:t>
            </w:r>
            <w:r>
              <w:rPr>
                <w:rFonts w:hint="eastAsia" w:ascii="宋体" w:hAnsi="宋体" w:eastAsia="宋体" w:cs="宋体"/>
                <w:sz w:val="21"/>
                <w:szCs w:val="21"/>
              </w:rPr>
              <w:t>查阅。公司通过培训、会议等方式向有关员工传达法律、法规及其它要求的相关要求。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措施的策划</w:t>
            </w:r>
          </w:p>
        </w:tc>
        <w:tc>
          <w:tcPr>
            <w:tcW w:w="1276" w:type="dxa"/>
            <w:vAlign w:val="center"/>
          </w:tcPr>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6.1.4</w:t>
            </w:r>
          </w:p>
        </w:tc>
        <w:tc>
          <w:tcPr>
            <w:tcW w:w="10606"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根据环境因素和危险源的风险辨识结果，分别制定出《重要环境因素清单》，清单内明确了控制措施计划，通过具体的措施进行有效控制：目标、管理方案、管理制度运行控制、应急预案、日常检查、日常培训。</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每年对公司适用的合规义务进行识别更新并定期评价、检查。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经组织评价，组织策划的措施基本能够满足风险和机遇应对需要，能够与识别的风险和机遇对产品符合性的潜在影响相适应，基本满足标准要求。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6"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合规性评价</w:t>
            </w:r>
          </w:p>
        </w:tc>
        <w:tc>
          <w:tcPr>
            <w:tcW w:w="1276" w:type="dxa"/>
            <w:vAlign w:val="center"/>
          </w:tcPr>
          <w:p>
            <w:pPr>
              <w:spacing w:line="360" w:lineRule="auto"/>
              <w:rPr>
                <w:rFonts w:hint="eastAsia" w:ascii="宋体" w:hAnsi="宋体" w:eastAsia="宋体" w:cs="宋体"/>
                <w:bCs/>
                <w:sz w:val="21"/>
                <w:szCs w:val="21"/>
              </w:rPr>
            </w:pPr>
            <w:r>
              <w:rPr>
                <w:rFonts w:hint="eastAsia" w:ascii="宋体" w:hAnsi="宋体" w:eastAsia="宋体" w:cs="宋体"/>
                <w:sz w:val="21"/>
                <w:szCs w:val="21"/>
              </w:rPr>
              <w:t>9.1.2</w:t>
            </w:r>
            <w:r>
              <w:rPr>
                <w:rFonts w:hint="eastAsia" w:ascii="宋体" w:hAnsi="宋体" w:eastAsia="宋体" w:cs="宋体"/>
                <w:bCs/>
                <w:sz w:val="21"/>
                <w:szCs w:val="21"/>
              </w:rPr>
              <w:t xml:space="preserve"> </w:t>
            </w:r>
          </w:p>
        </w:tc>
        <w:tc>
          <w:tcPr>
            <w:tcW w:w="10606" w:type="dxa"/>
            <w:vAlign w:val="center"/>
          </w:tcPr>
          <w:p>
            <w:pPr>
              <w:snapToGrid w:val="0"/>
              <w:spacing w:line="360" w:lineRule="auto"/>
              <w:ind w:right="392" w:firstLine="420" w:firstLineChars="200"/>
              <w:rPr>
                <w:rFonts w:hint="eastAsia" w:ascii="宋体" w:hAnsi="宋体" w:eastAsia="宋体" w:cs="宋体"/>
                <w:sz w:val="21"/>
                <w:szCs w:val="21"/>
              </w:rPr>
            </w:pPr>
            <w:r>
              <w:rPr>
                <w:rFonts w:hint="eastAsia" w:ascii="宋体" w:hAnsi="宋体" w:eastAsia="宋体" w:cs="宋体"/>
                <w:sz w:val="21"/>
                <w:szCs w:val="21"/>
              </w:rPr>
              <w:t>编制了《合规性评价程序》，其中规定了对本公司法规及其他要求的合规性评价的要求。</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现场提供了《法律、法规和其他要求符合性评价记录》、《合规性评价报告》,对公司适用的法律法规及其他要求的遵守情况进行了评价，评价结论：评价结果说明我公司对适用的法律、法规均已遵守。自公司建立管理体系以来，未发生任何破坏环境的现象；未发生任何顾客、周边居民因环境事故而投诉的现象。</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评价人：</w:t>
            </w:r>
            <w:r>
              <w:rPr>
                <w:rFonts w:hint="eastAsia" w:ascii="宋体" w:hAnsi="宋体" w:eastAsia="宋体" w:cs="宋体"/>
                <w:sz w:val="21"/>
                <w:szCs w:val="21"/>
                <w:lang w:val="en-US" w:eastAsia="zh-CN"/>
              </w:rPr>
              <w:t>朱莉莉、姜宝云、姜宝萍、苟海龙</w:t>
            </w:r>
            <w:r>
              <w:rPr>
                <w:rFonts w:hint="eastAsia" w:ascii="宋体" w:hAnsi="宋体" w:eastAsia="宋体" w:cs="宋体"/>
                <w:sz w:val="21"/>
                <w:szCs w:val="21"/>
              </w:rPr>
              <w:t>等，</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评价日期：20</w:t>
            </w:r>
            <w:r>
              <w:rPr>
                <w:rFonts w:hint="eastAsia" w:ascii="宋体" w:hAnsi="宋体" w:cs="宋体"/>
                <w:sz w:val="21"/>
                <w:szCs w:val="21"/>
                <w:lang w:val="en-US" w:eastAsia="zh-CN"/>
              </w:rPr>
              <w:t>20</w:t>
            </w:r>
            <w:r>
              <w:rPr>
                <w:rFonts w:hint="eastAsia" w:ascii="宋体" w:hAnsi="宋体" w:eastAsia="宋体" w:cs="宋体"/>
                <w:sz w:val="21"/>
                <w:szCs w:val="21"/>
              </w:rPr>
              <w:t>年</w:t>
            </w:r>
            <w:r>
              <w:rPr>
                <w:rFonts w:hint="eastAsia" w:ascii="宋体" w:hAnsi="宋体" w:cs="宋体"/>
                <w:sz w:val="21"/>
                <w:szCs w:val="21"/>
                <w:lang w:val="en-US" w:eastAsia="zh-CN"/>
              </w:rPr>
              <w:t>1</w:t>
            </w:r>
            <w:r>
              <w:rPr>
                <w:rFonts w:hint="eastAsia" w:ascii="宋体" w:hAnsi="宋体" w:eastAsia="宋体" w:cs="宋体"/>
                <w:sz w:val="21"/>
                <w:szCs w:val="21"/>
              </w:rPr>
              <w:t>月</w:t>
            </w:r>
            <w:r>
              <w:rPr>
                <w:rFonts w:hint="eastAsia" w:ascii="宋体" w:hAnsi="宋体" w:eastAsia="宋体" w:cs="宋体"/>
                <w:sz w:val="21"/>
                <w:szCs w:val="21"/>
                <w:lang w:val="en-US" w:eastAsia="zh-CN"/>
              </w:rPr>
              <w:t>5</w:t>
            </w:r>
            <w:r>
              <w:rPr>
                <w:rFonts w:hint="eastAsia" w:ascii="宋体" w:hAnsi="宋体" w:eastAsia="宋体" w:cs="宋体"/>
                <w:sz w:val="21"/>
                <w:szCs w:val="21"/>
              </w:rPr>
              <w:t>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部门已对有关法规及其他要求进行识别、评价，满足要求。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9"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监视、测量、分析和评价</w:t>
            </w:r>
          </w:p>
        </w:tc>
        <w:tc>
          <w:tcPr>
            <w:tcW w:w="1276" w:type="dxa"/>
            <w:vAlign w:val="center"/>
          </w:tcPr>
          <w:p>
            <w:pPr>
              <w:tabs>
                <w:tab w:val="left" w:pos="6597"/>
              </w:tabs>
              <w:spacing w:line="360" w:lineRule="auto"/>
              <w:rPr>
                <w:rFonts w:hint="eastAsia" w:ascii="宋体" w:hAnsi="宋体" w:eastAsia="宋体" w:cs="宋体"/>
                <w:bCs/>
                <w:sz w:val="21"/>
                <w:szCs w:val="21"/>
              </w:rPr>
            </w:pPr>
            <w:r>
              <w:rPr>
                <w:rFonts w:hint="eastAsia" w:ascii="宋体" w:hAnsi="宋体" w:eastAsia="宋体" w:cs="宋体"/>
                <w:sz w:val="21"/>
                <w:szCs w:val="21"/>
              </w:rPr>
              <w:t>9.1.1</w:t>
            </w:r>
            <w:r>
              <w:rPr>
                <w:rFonts w:hint="eastAsia" w:ascii="宋体" w:hAnsi="宋体" w:eastAsia="宋体" w:cs="宋体"/>
                <w:bCs/>
                <w:sz w:val="21"/>
                <w:szCs w:val="21"/>
              </w:rPr>
              <w:t xml:space="preserve"> </w:t>
            </w:r>
          </w:p>
        </w:tc>
        <w:tc>
          <w:tcPr>
            <w:tcW w:w="10606" w:type="dxa"/>
            <w:vAlign w:val="center"/>
          </w:tcPr>
          <w:p>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管理体系目标考核按季度进行，抽查到20</w:t>
            </w:r>
            <w:r>
              <w:rPr>
                <w:rFonts w:hint="eastAsia" w:ascii="宋体" w:hAnsi="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7</w:t>
            </w:r>
            <w:r>
              <w:rPr>
                <w:rFonts w:hint="eastAsia" w:ascii="宋体" w:hAnsi="宋体" w:eastAsia="宋体" w:cs="宋体"/>
                <w:sz w:val="21"/>
                <w:szCs w:val="21"/>
              </w:rPr>
              <w:t>月</w:t>
            </w:r>
            <w:r>
              <w:rPr>
                <w:rFonts w:hint="eastAsia" w:ascii="宋体" w:hAnsi="宋体" w:eastAsia="宋体" w:cs="宋体"/>
                <w:sz w:val="21"/>
                <w:szCs w:val="21"/>
                <w:lang w:val="en-US" w:eastAsia="zh-CN"/>
              </w:rPr>
              <w:t>30</w:t>
            </w:r>
            <w:r>
              <w:rPr>
                <w:rFonts w:hint="eastAsia" w:ascii="宋体" w:hAnsi="宋体" w:eastAsia="宋体" w:cs="宋体"/>
                <w:sz w:val="21"/>
                <w:szCs w:val="21"/>
              </w:rPr>
              <w:t>日目标考核记录，经考核公司和分解各部门管理目标均已完成。</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查到20</w:t>
            </w:r>
            <w:r>
              <w:rPr>
                <w:rFonts w:hint="eastAsia" w:ascii="宋体" w:hAnsi="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7</w:t>
            </w:r>
            <w:r>
              <w:rPr>
                <w:rFonts w:hint="eastAsia" w:ascii="宋体" w:hAnsi="宋体" w:eastAsia="宋体" w:cs="宋体"/>
                <w:sz w:val="21"/>
                <w:szCs w:val="21"/>
              </w:rPr>
              <w:t>月</w:t>
            </w:r>
            <w:r>
              <w:rPr>
                <w:rFonts w:hint="eastAsia" w:ascii="宋体" w:hAnsi="宋体" w:eastAsia="宋体" w:cs="宋体"/>
                <w:sz w:val="21"/>
                <w:szCs w:val="21"/>
                <w:lang w:val="en-US" w:eastAsia="zh-CN"/>
              </w:rPr>
              <w:t>30</w:t>
            </w:r>
            <w:r>
              <w:rPr>
                <w:rFonts w:hint="eastAsia" w:ascii="宋体" w:hAnsi="宋体" w:eastAsia="宋体" w:cs="宋体"/>
                <w:sz w:val="21"/>
                <w:szCs w:val="21"/>
              </w:rPr>
              <w:t>日“环境目标、指标目标与管理方案及实施情况一览表”，检查考核</w:t>
            </w:r>
            <w:r>
              <w:rPr>
                <w:rFonts w:hint="eastAsia" w:ascii="宋体" w:hAnsi="宋体" w:eastAsia="宋体" w:cs="宋体"/>
                <w:sz w:val="21"/>
                <w:szCs w:val="21"/>
                <w:lang w:val="en-US" w:eastAsia="zh-CN"/>
              </w:rPr>
              <w:t>部分</w:t>
            </w:r>
            <w:r>
              <w:rPr>
                <w:rFonts w:hint="eastAsia" w:ascii="宋体" w:hAnsi="宋体" w:eastAsia="宋体" w:cs="宋体"/>
                <w:sz w:val="21"/>
                <w:szCs w:val="21"/>
              </w:rPr>
              <w:t>已完成，</w:t>
            </w:r>
            <w:r>
              <w:rPr>
                <w:rFonts w:hint="eastAsia" w:ascii="宋体" w:hAnsi="宋体" w:eastAsia="宋体" w:cs="宋体"/>
                <w:sz w:val="21"/>
                <w:szCs w:val="21"/>
                <w:lang w:val="en-US" w:eastAsia="zh-CN"/>
              </w:rPr>
              <w:t>其他的正在实施，</w:t>
            </w:r>
            <w:r>
              <w:rPr>
                <w:rFonts w:hint="eastAsia" w:ascii="宋体" w:hAnsi="宋体" w:eastAsia="宋体" w:cs="宋体"/>
                <w:sz w:val="21"/>
                <w:szCs w:val="21"/>
              </w:rPr>
              <w:t>考核人</w:t>
            </w:r>
            <w:r>
              <w:rPr>
                <w:rFonts w:hint="eastAsia" w:ascii="宋体" w:hAnsi="宋体" w:eastAsia="宋体" w:cs="宋体"/>
                <w:sz w:val="21"/>
                <w:szCs w:val="21"/>
                <w:lang w:val="en-US" w:eastAsia="zh-CN"/>
              </w:rPr>
              <w:t>朱莉莉</w:t>
            </w:r>
            <w:r>
              <w:rPr>
                <w:rFonts w:hint="eastAsia" w:ascii="宋体" w:hAnsi="宋体" w:eastAsia="宋体" w:cs="宋体"/>
                <w:sz w:val="21"/>
                <w:szCs w:val="21"/>
              </w:rPr>
              <w:t>。</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查到《环境、安全检查记录》，检查项目内容涉及：</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车间</w:t>
            </w:r>
            <w:r>
              <w:rPr>
                <w:rFonts w:hint="eastAsia" w:ascii="宋体" w:hAnsi="宋体" w:eastAsia="宋体" w:cs="宋体"/>
                <w:sz w:val="21"/>
                <w:szCs w:val="21"/>
              </w:rPr>
              <w:t>/办公/生活区域卫生是否清理干净，危废收集情况；操作工是否配戴劳保用品情况；设备操作工是否按设备操作规程作业；</w:t>
            </w:r>
            <w:r>
              <w:rPr>
                <w:rFonts w:hint="eastAsia" w:ascii="宋体" w:hAnsi="宋体" w:eastAsia="宋体" w:cs="宋体"/>
                <w:sz w:val="21"/>
                <w:szCs w:val="21"/>
                <w:lang w:val="en-US" w:eastAsia="zh-CN"/>
              </w:rPr>
              <w:t>特殊</w:t>
            </w:r>
            <w:r>
              <w:rPr>
                <w:rFonts w:hint="eastAsia" w:ascii="宋体" w:hAnsi="宋体" w:eastAsia="宋体" w:cs="宋体"/>
                <w:sz w:val="21"/>
                <w:szCs w:val="21"/>
              </w:rPr>
              <w:t>工</w:t>
            </w:r>
            <w:r>
              <w:rPr>
                <w:rFonts w:hint="eastAsia" w:ascii="宋体" w:hAnsi="宋体" w:eastAsia="宋体" w:cs="宋体"/>
                <w:sz w:val="21"/>
                <w:szCs w:val="21"/>
                <w:lang w:val="en-US" w:eastAsia="zh-CN"/>
              </w:rPr>
              <w:t>种</w:t>
            </w:r>
            <w:r>
              <w:rPr>
                <w:rFonts w:hint="eastAsia" w:ascii="宋体" w:hAnsi="宋体" w:eastAsia="宋体" w:cs="宋体"/>
                <w:sz w:val="21"/>
                <w:szCs w:val="21"/>
              </w:rPr>
              <w:t>是否持证上岗；生产安全用电情况：消防设施是否完好，消防通道是否畅通等。</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查到“</w:t>
            </w:r>
            <w:r>
              <w:rPr>
                <w:rFonts w:hint="eastAsia" w:ascii="宋体" w:hAnsi="宋体" w:eastAsia="宋体" w:cs="宋体"/>
                <w:sz w:val="21"/>
                <w:szCs w:val="21"/>
                <w:lang w:val="en-US" w:eastAsia="zh-CN"/>
              </w:rPr>
              <w:t>灭火器点检</w:t>
            </w:r>
            <w:r>
              <w:rPr>
                <w:rFonts w:hint="eastAsia" w:ascii="宋体" w:hAnsi="宋体" w:eastAsia="宋体" w:cs="宋体"/>
                <w:sz w:val="21"/>
                <w:szCs w:val="21"/>
              </w:rPr>
              <w:t>表”，检查项目内容涉及：</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消防安全制度的建立、消防安全管理、建筑物消防管理、建筑消防设施管理（灭火器、报警系统）、现场管理、火灾隐患的整改情况等。</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抽查20</w:t>
            </w:r>
            <w:r>
              <w:rPr>
                <w:rFonts w:hint="eastAsia" w:ascii="宋体" w:hAnsi="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10</w:t>
            </w:r>
            <w:r>
              <w:rPr>
                <w:rFonts w:hint="eastAsia" w:ascii="宋体" w:hAnsi="宋体" w:eastAsia="宋体" w:cs="宋体"/>
                <w:sz w:val="21"/>
                <w:szCs w:val="21"/>
                <w:lang w:val="en-US" w:eastAsia="zh-CN"/>
              </w:rPr>
              <w:t>月</w:t>
            </w:r>
            <w:r>
              <w:rPr>
                <w:rFonts w:hint="eastAsia" w:ascii="宋体" w:hAnsi="宋体" w:eastAsia="宋体" w:cs="宋体"/>
                <w:sz w:val="21"/>
                <w:szCs w:val="21"/>
              </w:rPr>
              <w:t>检查结果均正常。</w:t>
            </w:r>
          </w:p>
          <w:p>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未有上级主管部门的监督检查。</w:t>
            </w:r>
          </w:p>
          <w:p>
            <w:pPr>
              <w:pStyle w:val="8"/>
              <w:pBdr>
                <w:bottom w:val="none" w:color="auto" w:sz="0" w:space="0"/>
              </w:pBdr>
              <w:tabs>
                <w:tab w:val="center" w:pos="5737"/>
                <w:tab w:val="clear" w:pos="4153"/>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提供20</w:t>
            </w:r>
            <w:r>
              <w:rPr>
                <w:rFonts w:hint="eastAsia" w:ascii="宋体" w:hAnsi="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0</w:t>
            </w:r>
            <w:r>
              <w:rPr>
                <w:rFonts w:hint="eastAsia" w:ascii="宋体" w:hAnsi="宋体" w:eastAsia="宋体" w:cs="宋体"/>
                <w:sz w:val="21"/>
                <w:szCs w:val="21"/>
              </w:rPr>
              <w:t>.</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1</w:t>
            </w:r>
            <w:r>
              <w:rPr>
                <w:rFonts w:hint="eastAsia" w:ascii="宋体" w:hAnsi="宋体" w:eastAsia="宋体" w:cs="宋体"/>
                <w:sz w:val="21"/>
                <w:szCs w:val="21"/>
              </w:rPr>
              <w:t>日</w:t>
            </w:r>
            <w:r>
              <w:rPr>
                <w:rFonts w:hint="eastAsia" w:ascii="宋体" w:hAnsi="宋体" w:eastAsia="宋体" w:cs="宋体"/>
                <w:sz w:val="21"/>
                <w:szCs w:val="21"/>
                <w:lang w:val="en-US" w:eastAsia="zh-CN"/>
              </w:rPr>
              <w:t>陕西正为</w:t>
            </w:r>
            <w:r>
              <w:rPr>
                <w:rFonts w:hint="eastAsia" w:ascii="宋体" w:hAnsi="宋体" w:eastAsia="宋体" w:cs="宋体"/>
                <w:sz w:val="21"/>
                <w:szCs w:val="21"/>
              </w:rPr>
              <w:t>检测有限公司</w:t>
            </w:r>
            <w:r>
              <w:rPr>
                <w:rFonts w:hint="eastAsia" w:ascii="宋体" w:hAnsi="宋体" w:eastAsia="宋体" w:cs="宋体"/>
                <w:sz w:val="21"/>
                <w:szCs w:val="21"/>
                <w:lang w:val="en-US" w:eastAsia="zh-CN"/>
              </w:rPr>
              <w:t>正为监（综）字（20</w:t>
            </w:r>
            <w:r>
              <w:rPr>
                <w:rFonts w:hint="eastAsia" w:ascii="宋体" w:hAnsi="宋体" w:cs="宋体"/>
                <w:sz w:val="21"/>
                <w:szCs w:val="21"/>
                <w:lang w:val="en-US" w:eastAsia="zh-CN"/>
              </w:rPr>
              <w:t>20</w:t>
            </w:r>
            <w:r>
              <w:rPr>
                <w:rFonts w:hint="eastAsia" w:ascii="宋体" w:hAnsi="宋体" w:eastAsia="宋体" w:cs="宋体"/>
                <w:sz w:val="21"/>
                <w:szCs w:val="21"/>
                <w:lang w:val="en-US" w:eastAsia="zh-CN"/>
              </w:rPr>
              <w:t>）第</w:t>
            </w:r>
            <w:r>
              <w:rPr>
                <w:rFonts w:hint="eastAsia" w:ascii="宋体" w:hAnsi="宋体" w:cs="宋体"/>
                <w:sz w:val="21"/>
                <w:szCs w:val="21"/>
                <w:lang w:val="en-US" w:eastAsia="zh-CN"/>
              </w:rPr>
              <w:t>1041</w:t>
            </w:r>
            <w:r>
              <w:rPr>
                <w:rFonts w:hint="eastAsia" w:ascii="宋体" w:hAnsi="宋体" w:eastAsia="宋体" w:cs="宋体"/>
                <w:sz w:val="21"/>
                <w:szCs w:val="21"/>
              </w:rPr>
              <w:t>号</w:t>
            </w:r>
            <w:r>
              <w:rPr>
                <w:rFonts w:hint="eastAsia" w:ascii="宋体" w:hAnsi="宋体" w:eastAsia="宋体" w:cs="宋体"/>
                <w:sz w:val="21"/>
                <w:szCs w:val="21"/>
                <w:lang w:val="en-US" w:eastAsia="zh-CN"/>
              </w:rPr>
              <w:t>监</w:t>
            </w:r>
            <w:r>
              <w:rPr>
                <w:rFonts w:hint="eastAsia" w:ascii="宋体" w:hAnsi="宋体" w:eastAsia="宋体" w:cs="宋体"/>
                <w:sz w:val="21"/>
                <w:szCs w:val="21"/>
              </w:rPr>
              <w:t>测报告，检测项目：废气、噪声，检测结果：合格。</w:t>
            </w:r>
          </w:p>
          <w:p>
            <w:pPr>
              <w:spacing w:line="360" w:lineRule="auto"/>
              <w:rPr>
                <w:rFonts w:hint="eastAsia" w:ascii="宋体" w:hAnsi="宋体" w:eastAsia="宋体" w:cs="宋体"/>
                <w:sz w:val="21"/>
                <w:szCs w:val="21"/>
              </w:rPr>
            </w:pPr>
            <w:r>
              <w:rPr>
                <w:rFonts w:hint="eastAsia" w:ascii="宋体" w:hAnsi="宋体" w:eastAsia="宋体" w:cs="宋体"/>
                <w:sz w:val="21"/>
                <w:szCs w:val="21"/>
              </w:rPr>
              <w:t>公司经营能遵守相关的法律法规，没有违反环境法律法规现象，近期没有发生环境事故。</w:t>
            </w:r>
          </w:p>
          <w:p>
            <w:pPr>
              <w:pStyle w:val="24"/>
              <w:widowControl/>
              <w:spacing w:line="360" w:lineRule="auto"/>
              <w:ind w:left="240" w:firstLine="210" w:firstLineChars="100"/>
              <w:jc w:val="left"/>
              <w:rPr>
                <w:rFonts w:hint="eastAsia" w:ascii="宋体" w:hAnsi="宋体" w:eastAsia="宋体" w:cs="宋体"/>
                <w:sz w:val="21"/>
                <w:szCs w:val="21"/>
              </w:rPr>
            </w:pP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运行策划和控制</w:t>
            </w:r>
          </w:p>
        </w:tc>
        <w:tc>
          <w:tcPr>
            <w:tcW w:w="1276" w:type="dxa"/>
            <w:vAlign w:val="center"/>
          </w:tcPr>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 xml:space="preserve">8.1 </w:t>
            </w:r>
          </w:p>
          <w:p>
            <w:pPr>
              <w:spacing w:line="360" w:lineRule="auto"/>
              <w:rPr>
                <w:rFonts w:hint="eastAsia" w:ascii="宋体" w:hAnsi="宋体" w:eastAsia="宋体" w:cs="宋体"/>
                <w:sz w:val="21"/>
                <w:szCs w:val="21"/>
              </w:rPr>
            </w:pPr>
          </w:p>
        </w:tc>
        <w:tc>
          <w:tcPr>
            <w:tcW w:w="10606" w:type="dxa"/>
            <w:vAlign w:val="center"/>
          </w:tcPr>
          <w:p>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制定并实施了运行控制程序、废弃物控制程序、噪声控制程序、消防控制程序、资源能源控制程序、应急准备和响应控制程序、生产生活固废垃圾处理/利用作业指导书、应急预案等环境控制程序和管理制度。</w:t>
            </w:r>
          </w:p>
          <w:p>
            <w:p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企业位于</w:t>
            </w:r>
            <w:bookmarkStart w:id="0" w:name="生产地址"/>
            <w:r>
              <w:rPr>
                <w:rFonts w:hint="eastAsia" w:ascii="宋体" w:hAnsi="宋体" w:eastAsia="宋体" w:cs="宋体"/>
                <w:sz w:val="21"/>
                <w:szCs w:val="21"/>
                <w:lang w:val="en-US" w:eastAsia="zh-CN"/>
              </w:rPr>
              <w:t>陕西省宝鸡市高新开发区钓渭镇朱家滩村</w:t>
            </w:r>
            <w:bookmarkEnd w:id="0"/>
            <w:r>
              <w:rPr>
                <w:rFonts w:hint="eastAsia" w:ascii="宋体" w:hAnsi="宋体" w:eastAsia="宋体" w:cs="宋体"/>
                <w:sz w:val="21"/>
                <w:szCs w:val="21"/>
                <w:lang w:val="en-US" w:eastAsia="zh-CN"/>
              </w:rPr>
              <w:t>，公司四周是其他企业或居民，无重大敏感区，根据体系运行的需要设置了车间、仓库、办公楼。</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提供201</w:t>
            </w:r>
            <w:r>
              <w:rPr>
                <w:rFonts w:hint="eastAsia" w:ascii="宋体" w:hAnsi="宋体" w:eastAsia="宋体" w:cs="宋体"/>
                <w:sz w:val="21"/>
                <w:szCs w:val="21"/>
                <w:lang w:val="en-US" w:eastAsia="zh-CN"/>
              </w:rPr>
              <w:t>7</w:t>
            </w:r>
            <w:r>
              <w:rPr>
                <w:rFonts w:hint="eastAsia" w:ascii="宋体" w:hAnsi="宋体" w:eastAsia="宋体" w:cs="宋体"/>
                <w:sz w:val="21"/>
                <w:szCs w:val="21"/>
              </w:rPr>
              <w:t>年</w:t>
            </w:r>
            <w:r>
              <w:rPr>
                <w:rFonts w:hint="eastAsia" w:ascii="宋体" w:hAnsi="宋体" w:eastAsia="宋体" w:cs="宋体"/>
                <w:sz w:val="21"/>
                <w:szCs w:val="21"/>
                <w:lang w:val="en-US" w:eastAsia="zh-CN"/>
              </w:rPr>
              <w:t>9</w:t>
            </w:r>
            <w:r>
              <w:rPr>
                <w:rFonts w:hint="eastAsia" w:ascii="宋体" w:hAnsi="宋体" w:eastAsia="宋体" w:cs="宋体"/>
                <w:sz w:val="21"/>
                <w:szCs w:val="21"/>
              </w:rPr>
              <w:t>月公司新建</w:t>
            </w:r>
            <w:r>
              <w:rPr>
                <w:rFonts w:hint="eastAsia" w:ascii="宋体" w:hAnsi="宋体" w:eastAsia="宋体" w:cs="宋体"/>
                <w:sz w:val="21"/>
                <w:szCs w:val="21"/>
                <w:lang w:val="en-US" w:eastAsia="zh-CN"/>
              </w:rPr>
              <w:t>汽车变速器配件加工</w:t>
            </w:r>
            <w:r>
              <w:rPr>
                <w:rFonts w:hint="eastAsia" w:ascii="宋体" w:hAnsi="宋体" w:eastAsia="宋体" w:cs="宋体"/>
                <w:sz w:val="21"/>
                <w:szCs w:val="21"/>
              </w:rPr>
              <w:t>项目环境影响报告表，</w:t>
            </w:r>
            <w:r>
              <w:rPr>
                <w:rFonts w:hint="eastAsia" w:ascii="宋体" w:hAnsi="宋体" w:eastAsia="宋体" w:cs="宋体"/>
                <w:sz w:val="21"/>
                <w:szCs w:val="21"/>
                <w:lang w:val="en-US" w:eastAsia="zh-CN"/>
              </w:rPr>
              <w:t>宝鸡市环境保护局高新分局高新环函（2017）193号“关于宝鸡市瑞焱金属磨料有限责任公司汽车变速器配件加工项目环境影响报告表的批复”</w:t>
            </w:r>
            <w:r>
              <w:rPr>
                <w:rFonts w:hint="eastAsia" w:ascii="宋体" w:hAnsi="宋体" w:eastAsia="宋体" w:cs="宋体"/>
                <w:sz w:val="21"/>
                <w:szCs w:val="21"/>
              </w:rPr>
              <w:t>，提供201</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sz w:val="21"/>
                <w:szCs w:val="21"/>
                <w:lang w:val="en-US" w:eastAsia="zh-CN"/>
              </w:rPr>
              <w:t>10项目竣工环境保护验收监测报告表</w:t>
            </w:r>
            <w:r>
              <w:rPr>
                <w:rFonts w:hint="eastAsia" w:ascii="宋体" w:hAnsi="宋体" w:eastAsia="宋体" w:cs="宋体"/>
                <w:sz w:val="21"/>
                <w:szCs w:val="21"/>
              </w:rPr>
              <w:t>。企业环评已经过验收。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行政部</w:t>
            </w:r>
            <w:r>
              <w:rPr>
                <w:rFonts w:hint="eastAsia" w:ascii="宋体" w:hAnsi="宋体" w:eastAsia="宋体" w:cs="宋体"/>
                <w:sz w:val="21"/>
                <w:szCs w:val="21"/>
              </w:rPr>
              <w:t>定期组织环保知识培训，员工具备了基本的环保意识，见7.3条款审核记录。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按公司要求人走关灯，办公室电脑要求人走后电源切断。</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办公内主要是电的使用，电器有漏电保护器，经常对电路、电源进行检查，没有露电现象发生。</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办公室垃圾主要包含可回收垃圾、硒鼓、废纸。公司配置了垃圾箱，</w:t>
            </w:r>
            <w:r>
              <w:rPr>
                <w:rFonts w:hint="eastAsia" w:ascii="宋体" w:hAnsi="宋体" w:eastAsia="宋体" w:cs="宋体"/>
                <w:sz w:val="21"/>
                <w:szCs w:val="21"/>
                <w:lang w:val="en-US" w:eastAsia="zh-CN"/>
              </w:rPr>
              <w:t>行政部</w:t>
            </w:r>
            <w:r>
              <w:rPr>
                <w:rFonts w:hint="eastAsia" w:ascii="宋体" w:hAnsi="宋体" w:eastAsia="宋体" w:cs="宋体"/>
                <w:sz w:val="21"/>
                <w:szCs w:val="21"/>
              </w:rPr>
              <w:t>统一处理。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对可回收的固体废弃物，一部分由厂家回收，厂家不回收的公司统一回收再利用或由物资回收公司处理。不可回收的废弃物由公司办公室统一处理，各部门不得单独处理。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为满足环境的运行，公司投入了环保资金，主要是购买消防设施、环保设施等，运行至今支出约</w:t>
            </w:r>
            <w:r>
              <w:rPr>
                <w:rFonts w:hint="eastAsia" w:ascii="宋体" w:hAnsi="宋体" w:cs="宋体"/>
                <w:sz w:val="21"/>
                <w:szCs w:val="21"/>
                <w:lang w:val="en-US" w:eastAsia="zh-CN"/>
              </w:rPr>
              <w:t>6左右</w:t>
            </w:r>
            <w:r>
              <w:rPr>
                <w:rFonts w:hint="eastAsia" w:ascii="宋体" w:hAnsi="宋体" w:eastAsia="宋体" w:cs="宋体"/>
                <w:sz w:val="21"/>
                <w:szCs w:val="21"/>
              </w:rPr>
              <w:t>万元。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办公纸张尽量采取双面打印，人走灯灭，定期检查水管跑冒滴漏。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现场巡视办公区域配备了消防栓和灭火器，状况正常。</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部门运行控制基本符合要求。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应急准备和响应</w:t>
            </w:r>
          </w:p>
        </w:tc>
        <w:tc>
          <w:tcPr>
            <w:tcW w:w="1276" w:type="dxa"/>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sz w:val="21"/>
                <w:szCs w:val="21"/>
              </w:rPr>
            </w:pPr>
          </w:p>
          <w:p>
            <w:pPr>
              <w:spacing w:line="360" w:lineRule="auto"/>
              <w:ind w:firstLine="210" w:firstLineChars="100"/>
              <w:rPr>
                <w:rFonts w:hint="eastAsia" w:ascii="宋体" w:hAnsi="宋体" w:eastAsia="宋体" w:cs="宋体"/>
                <w:sz w:val="21"/>
                <w:szCs w:val="21"/>
              </w:rPr>
            </w:pPr>
          </w:p>
          <w:p>
            <w:pPr>
              <w:spacing w:line="360" w:lineRule="auto"/>
              <w:ind w:firstLine="210" w:firstLineChars="100"/>
              <w:rPr>
                <w:rFonts w:hint="eastAsia" w:ascii="宋体" w:hAnsi="宋体" w:eastAsia="宋体" w:cs="宋体"/>
                <w:bCs/>
                <w:sz w:val="21"/>
                <w:szCs w:val="21"/>
              </w:rPr>
            </w:pPr>
            <w:r>
              <w:rPr>
                <w:rFonts w:hint="eastAsia" w:ascii="宋体" w:hAnsi="宋体" w:eastAsia="宋体" w:cs="宋体"/>
                <w:sz w:val="21"/>
                <w:szCs w:val="21"/>
              </w:rPr>
              <w:t>8.2</w:t>
            </w:r>
            <w:r>
              <w:rPr>
                <w:rFonts w:hint="eastAsia" w:ascii="宋体" w:hAnsi="宋体" w:eastAsia="宋体" w:cs="宋体"/>
                <w:bCs/>
                <w:sz w:val="21"/>
                <w:szCs w:val="21"/>
              </w:rPr>
              <w:t xml:space="preserve"> </w:t>
            </w: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tc>
        <w:tc>
          <w:tcPr>
            <w:tcW w:w="10606" w:type="dxa"/>
          </w:tcPr>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编制了《应急准备和响应控制程序》，确定的紧急情况有：火灾、</w:t>
            </w:r>
            <w:r>
              <w:rPr>
                <w:rFonts w:hint="eastAsia" w:ascii="宋体" w:hAnsi="宋体" w:eastAsia="宋体" w:cs="宋体"/>
                <w:sz w:val="21"/>
                <w:szCs w:val="21"/>
                <w:lang w:val="en-US" w:eastAsia="zh-CN"/>
              </w:rPr>
              <w:t>机械伤害</w:t>
            </w:r>
            <w:r>
              <w:rPr>
                <w:rFonts w:hint="eastAsia" w:ascii="宋体" w:hAnsi="宋体" w:eastAsia="宋体" w:cs="宋体"/>
                <w:bCs/>
                <w:sz w:val="21"/>
                <w:szCs w:val="21"/>
              </w:rPr>
              <w:t>等。</w:t>
            </w:r>
            <w:r>
              <w:rPr>
                <w:rFonts w:hint="eastAsia" w:ascii="宋体" w:hAnsi="宋体" w:eastAsia="宋体" w:cs="宋体"/>
                <w:sz w:val="21"/>
                <w:szCs w:val="21"/>
              </w:rPr>
              <w:t>提供了火灾应急</w:t>
            </w:r>
            <w:r>
              <w:rPr>
                <w:rFonts w:hint="eastAsia" w:ascii="宋体" w:hAnsi="宋体" w:eastAsia="宋体" w:cs="宋体"/>
                <w:sz w:val="21"/>
                <w:szCs w:val="21"/>
                <w:lang w:val="en-US" w:eastAsia="zh-CN"/>
              </w:rPr>
              <w:t>专项</w:t>
            </w:r>
            <w:r>
              <w:rPr>
                <w:rFonts w:hint="eastAsia" w:ascii="宋体" w:hAnsi="宋体" w:eastAsia="宋体" w:cs="宋体"/>
                <w:sz w:val="21"/>
                <w:szCs w:val="21"/>
              </w:rPr>
              <w:t>预案，其中包括目的、适用范围、职责、应急处理细则、演习、必备资料等，相关内容基本充分。</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应急设施配置：在院内、办公场所内、车间内、仓库内均配备了灭火器、消防栓等消防设施，均在有效期内，状态良好。</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color w:val="000000"/>
                <w:kern w:val="0"/>
                <w:sz w:val="21"/>
                <w:szCs w:val="21"/>
                <w:lang w:val="en-US" w:eastAsia="zh-CN" w:bidi="ar"/>
              </w:rPr>
              <w:t>2020.7.15</w:t>
            </w:r>
            <w:r>
              <w:rPr>
                <w:rFonts w:hint="eastAsia" w:ascii="宋体" w:hAnsi="宋体" w:eastAsia="宋体" w:cs="宋体"/>
                <w:sz w:val="21"/>
                <w:szCs w:val="21"/>
              </w:rPr>
              <w:t>的《火灾事故应急救援预案演练记录》，参加人员各岗位人员；记录演练过程、急救措施等内容。</w:t>
            </w:r>
          </w:p>
          <w:p>
            <w:pPr>
              <w:spacing w:line="360" w:lineRule="auto"/>
              <w:rPr>
                <w:rFonts w:hint="eastAsia" w:ascii="宋体" w:hAnsi="宋体" w:eastAsia="宋体" w:cs="宋体"/>
                <w:sz w:val="21"/>
                <w:szCs w:val="21"/>
              </w:rPr>
            </w:pPr>
            <w:r>
              <w:rPr>
                <w:rFonts w:hint="eastAsia" w:ascii="宋体" w:hAnsi="宋体" w:eastAsia="宋体" w:cs="宋体"/>
                <w:sz w:val="21"/>
                <w:szCs w:val="21"/>
              </w:rPr>
              <w:t>评价：组织指挥有序，项目岗位配合较好，达到了预定目标，演练的效果较好。人员的速度较快，及时按照预定方案对事故处理人员进行保护。</w:t>
            </w:r>
          </w:p>
          <w:p>
            <w:pPr>
              <w:spacing w:line="360" w:lineRule="auto"/>
              <w:ind w:firstLine="525" w:firstLineChars="250"/>
              <w:rPr>
                <w:rFonts w:hint="eastAsia" w:ascii="宋体" w:hAnsi="宋体" w:eastAsia="宋体" w:cs="宋体"/>
                <w:sz w:val="21"/>
                <w:szCs w:val="21"/>
              </w:rPr>
            </w:pPr>
            <w:r>
              <w:rPr>
                <w:rFonts w:hint="eastAsia" w:ascii="宋体" w:hAnsi="宋体" w:eastAsia="宋体" w:cs="宋体"/>
                <w:sz w:val="21"/>
                <w:szCs w:val="21"/>
              </w:rPr>
              <w:t>现场巡视办公区有灭火器，均有效；车间配有多个灭火器和消防栓，均有效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环保设施运行正常</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生产车间内配有消防栓、水龙带、有干粉灭火器等消防设施。</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自体系运行以来尚未发生紧急情况。</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内部审核</w:t>
            </w:r>
          </w:p>
        </w:tc>
        <w:tc>
          <w:tcPr>
            <w:tcW w:w="1276"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9.2</w:t>
            </w:r>
          </w:p>
        </w:tc>
        <w:tc>
          <w:tcPr>
            <w:tcW w:w="10606"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由组长</w:t>
            </w:r>
            <w:r>
              <w:rPr>
                <w:rFonts w:hint="eastAsia" w:ascii="宋体" w:hAnsi="宋体" w:eastAsia="宋体" w:cs="宋体"/>
                <w:sz w:val="21"/>
                <w:szCs w:val="21"/>
                <w:lang w:val="en-US" w:eastAsia="zh-CN"/>
              </w:rPr>
              <w:t>朱莉莉</w:t>
            </w:r>
            <w:r>
              <w:rPr>
                <w:rFonts w:hint="eastAsia" w:ascii="宋体" w:hAnsi="宋体" w:eastAsia="宋体" w:cs="宋体"/>
                <w:sz w:val="21"/>
                <w:szCs w:val="21"/>
              </w:rPr>
              <w:t>组织内部审核，查年度审核计划：提供《内部审核计划》，其内容已包括了审核目的、范围、依据。</w:t>
            </w:r>
          </w:p>
          <w:p>
            <w:pPr>
              <w:spacing w:line="360" w:lineRule="auto"/>
              <w:rPr>
                <w:rFonts w:hint="eastAsia" w:ascii="宋体" w:hAnsi="宋体" w:eastAsia="宋体" w:cs="宋体"/>
                <w:sz w:val="21"/>
                <w:szCs w:val="21"/>
              </w:rPr>
            </w:pPr>
            <w:r>
              <w:rPr>
                <w:rFonts w:hint="eastAsia" w:ascii="宋体" w:hAnsi="宋体" w:eastAsia="宋体" w:cs="宋体"/>
                <w:sz w:val="21"/>
                <w:szCs w:val="21"/>
              </w:rPr>
              <w:t>审核组构成：组长</w:t>
            </w:r>
            <w:r>
              <w:rPr>
                <w:rFonts w:hint="eastAsia" w:ascii="宋体" w:hAnsi="宋体" w:eastAsia="宋体" w:cs="宋体"/>
                <w:sz w:val="21"/>
                <w:szCs w:val="21"/>
                <w:lang w:val="en-US" w:eastAsia="zh-CN"/>
              </w:rPr>
              <w:t>朱莉莉</w:t>
            </w:r>
            <w:r>
              <w:rPr>
                <w:rFonts w:hint="eastAsia" w:ascii="宋体" w:hAnsi="宋体" w:eastAsia="宋体" w:cs="宋体"/>
                <w:sz w:val="21"/>
                <w:szCs w:val="21"/>
              </w:rPr>
              <w:t>、组员</w:t>
            </w:r>
            <w:r>
              <w:rPr>
                <w:rFonts w:hint="eastAsia" w:ascii="宋体" w:hAnsi="宋体" w:eastAsia="宋体" w:cs="宋体"/>
                <w:sz w:val="21"/>
                <w:szCs w:val="21"/>
                <w:lang w:val="en-US" w:eastAsia="zh-CN"/>
              </w:rPr>
              <w:t>郭龙瑞</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1. 审核时间</w:t>
            </w:r>
            <w:r>
              <w:rPr>
                <w:rFonts w:hint="eastAsia" w:asciiTheme="minorEastAsia" w:hAnsiTheme="minorEastAsia" w:eastAsiaTheme="minorEastAsia"/>
                <w:sz w:val="21"/>
                <w:szCs w:val="21"/>
              </w:rPr>
              <w:t>2020.</w:t>
            </w:r>
            <w:r>
              <w:rPr>
                <w:rFonts w:hint="eastAsia" w:asciiTheme="minorEastAsia" w:hAnsiTheme="minorEastAsia" w:eastAsiaTheme="minorEastAsia"/>
                <w:sz w:val="21"/>
                <w:szCs w:val="21"/>
                <w:lang w:val="en-US" w:eastAsia="zh-CN"/>
              </w:rPr>
              <w:t>7</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28-29</w:t>
            </w:r>
            <w:r>
              <w:rPr>
                <w:rFonts w:hint="eastAsia" w:asciiTheme="minorEastAsia" w:hAnsiTheme="minorEastAsia" w:eastAsiaTheme="minorEastAsia"/>
                <w:sz w:val="21"/>
                <w:szCs w:val="21"/>
              </w:rPr>
              <w:t>日</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2.审核按计划进行，抽查检查表</w:t>
            </w:r>
            <w:r>
              <w:rPr>
                <w:rFonts w:hint="eastAsia" w:ascii="宋体" w:hAnsi="宋体" w:eastAsia="宋体" w:cs="宋体"/>
                <w:sz w:val="21"/>
                <w:szCs w:val="21"/>
                <w:lang w:val="en-US" w:eastAsia="zh-CN"/>
              </w:rPr>
              <w:t>行政部</w:t>
            </w:r>
            <w:r>
              <w:rPr>
                <w:rFonts w:hint="eastAsia" w:ascii="宋体" w:hAnsi="宋体" w:eastAsia="宋体" w:cs="宋体"/>
                <w:sz w:val="21"/>
                <w:szCs w:val="21"/>
              </w:rPr>
              <w:t>、</w:t>
            </w:r>
            <w:r>
              <w:rPr>
                <w:rFonts w:hint="eastAsia" w:ascii="宋体" w:hAnsi="宋体" w:eastAsia="宋体" w:cs="宋体"/>
                <w:sz w:val="21"/>
                <w:szCs w:val="21"/>
                <w:lang w:val="en-US" w:eastAsia="zh-CN"/>
              </w:rPr>
              <w:t>品质</w:t>
            </w:r>
            <w:r>
              <w:rPr>
                <w:rFonts w:hint="eastAsia" w:ascii="宋体" w:hAnsi="宋体" w:eastAsia="宋体" w:cs="宋体"/>
                <w:sz w:val="21"/>
                <w:szCs w:val="21"/>
              </w:rPr>
              <w:t>部、</w:t>
            </w:r>
            <w:r>
              <w:rPr>
                <w:rFonts w:hint="eastAsia" w:ascii="宋体" w:hAnsi="宋体" w:eastAsia="宋体" w:cs="宋体"/>
                <w:sz w:val="21"/>
                <w:szCs w:val="21"/>
                <w:lang w:val="en-US" w:eastAsia="zh-CN"/>
              </w:rPr>
              <w:t>业务</w:t>
            </w:r>
            <w:r>
              <w:rPr>
                <w:rFonts w:hint="eastAsia" w:ascii="宋体" w:hAnsi="宋体" w:eastAsia="宋体" w:cs="宋体"/>
                <w:sz w:val="21"/>
                <w:szCs w:val="21"/>
              </w:rPr>
              <w:t>部、生产部审核记录与计划相一致，内审员经内部培训合格，能力还需加强；</w:t>
            </w:r>
          </w:p>
          <w:p>
            <w:pPr>
              <w:spacing w:line="360" w:lineRule="auto"/>
              <w:rPr>
                <w:rFonts w:hint="eastAsia" w:ascii="宋体" w:hAnsi="宋体" w:eastAsia="宋体" w:cs="宋体"/>
                <w:sz w:val="21"/>
                <w:szCs w:val="21"/>
              </w:rPr>
            </w:pPr>
            <w:r>
              <w:rPr>
                <w:rFonts w:hint="eastAsia" w:ascii="宋体" w:hAnsi="宋体" w:eastAsia="宋体" w:cs="宋体"/>
                <w:sz w:val="21"/>
                <w:szCs w:val="21"/>
              </w:rPr>
              <w:t>审核计划已考虑到互查的公正性，无审核员审核本部门的工作，计划内容涉及各部门，条款覆盖整个体系。本次内审发现1个一般不符合项，针对不合格，责任部门已分析了原因并采取了纠正措施，按要求进行了整改，最后内审员进行了验证，纠正措施实施有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内部审核结论：提供了《内部审核报告》，对现场审核进行了综述，对质量环境安全管理体系进行了符合性的综合评价，最后结论为：公司的质量环境安全管理体系基本符合标准要求，运行有效。</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不合格和纠正措施</w:t>
            </w:r>
          </w:p>
        </w:tc>
        <w:tc>
          <w:tcPr>
            <w:tcW w:w="1276"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10.2</w:t>
            </w:r>
          </w:p>
          <w:p>
            <w:pPr>
              <w:spacing w:line="360" w:lineRule="auto"/>
              <w:rPr>
                <w:rFonts w:hint="eastAsia" w:ascii="宋体" w:hAnsi="宋体" w:eastAsia="宋体" w:cs="宋体"/>
                <w:sz w:val="21"/>
                <w:szCs w:val="21"/>
              </w:rPr>
            </w:pPr>
          </w:p>
        </w:tc>
        <w:tc>
          <w:tcPr>
            <w:tcW w:w="10606"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保持实施《纠正措施和预防措施控制程序》、《事故调查处置控制程序》，对纠正预防措施识别、评审、验证，事故事件报告、调查、处理等作了规定，其内容符合组织实际及标准要求。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内审中提出不合格项进行了原因分析,并制定、实施了纠正措施，并由内审员对所采取的纠正措施进行了验证，纠正措施有效，管理评审中发现的薄弱环节，分析了原因，采取了纠正措施（参见管理评审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企业纠正和预防措施的管理符合标准规定要求。</w:t>
            </w:r>
          </w:p>
        </w:tc>
        <w:tc>
          <w:tcPr>
            <w:tcW w:w="1585" w:type="dxa"/>
          </w:tcPr>
          <w:p>
            <w:pPr>
              <w:spacing w:line="360" w:lineRule="auto"/>
              <w:rPr>
                <w:rFonts w:hint="eastAsia" w:ascii="宋体" w:hAnsi="宋体" w:eastAsia="宋体" w:cs="宋体"/>
                <w:sz w:val="21"/>
                <w:szCs w:val="21"/>
              </w:rPr>
            </w:pP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7"/>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ISC-B-II-31 管理体系审核记录表(03版)</w:t>
                </w:r>
              </w:p>
            </w:txbxContent>
          </v:textbox>
        </v:shape>
      </w:pict>
    </w:r>
    <w:r>
      <w:rPr>
        <w:rStyle w:val="16"/>
        <w:rFonts w:hint="default"/>
      </w:rPr>
      <w:t xml:space="preserve">        </w:t>
    </w:r>
    <w:r>
      <w:rPr>
        <w:rStyle w:val="16"/>
        <w:rFonts w:hint="default"/>
        <w:w w:val="90"/>
      </w:rPr>
      <w:t>Beijing International Standard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86FC1A"/>
    <w:multiLevelType w:val="singleLevel"/>
    <w:tmpl w:val="AE86FC1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05351"/>
    <w:rsid w:val="000146B2"/>
    <w:rsid w:val="00014A12"/>
    <w:rsid w:val="000214B6"/>
    <w:rsid w:val="00023EF2"/>
    <w:rsid w:val="00024498"/>
    <w:rsid w:val="0002531E"/>
    <w:rsid w:val="000277D0"/>
    <w:rsid w:val="0003138C"/>
    <w:rsid w:val="000313D2"/>
    <w:rsid w:val="0003373A"/>
    <w:rsid w:val="00035EE6"/>
    <w:rsid w:val="00035FB9"/>
    <w:rsid w:val="000412F6"/>
    <w:rsid w:val="0005199E"/>
    <w:rsid w:val="00052202"/>
    <w:rsid w:val="00053F56"/>
    <w:rsid w:val="0005697E"/>
    <w:rsid w:val="000579CF"/>
    <w:rsid w:val="00060270"/>
    <w:rsid w:val="00061F6E"/>
    <w:rsid w:val="00082216"/>
    <w:rsid w:val="00082398"/>
    <w:rsid w:val="000849D2"/>
    <w:rsid w:val="00084DAD"/>
    <w:rsid w:val="000870FB"/>
    <w:rsid w:val="00094791"/>
    <w:rsid w:val="000A067A"/>
    <w:rsid w:val="000A30F9"/>
    <w:rsid w:val="000A5E44"/>
    <w:rsid w:val="000B1394"/>
    <w:rsid w:val="000B2F9B"/>
    <w:rsid w:val="000B40BD"/>
    <w:rsid w:val="000B69C3"/>
    <w:rsid w:val="000B6EAD"/>
    <w:rsid w:val="000C123B"/>
    <w:rsid w:val="000C2D5B"/>
    <w:rsid w:val="000D4F09"/>
    <w:rsid w:val="000D5401"/>
    <w:rsid w:val="000D697A"/>
    <w:rsid w:val="000D7C2E"/>
    <w:rsid w:val="000E2B69"/>
    <w:rsid w:val="000E355F"/>
    <w:rsid w:val="000E4402"/>
    <w:rsid w:val="000E7EF7"/>
    <w:rsid w:val="000F35F1"/>
    <w:rsid w:val="000F7D53"/>
    <w:rsid w:val="000F7DB7"/>
    <w:rsid w:val="001022F1"/>
    <w:rsid w:val="001037D5"/>
    <w:rsid w:val="001068A0"/>
    <w:rsid w:val="00106F20"/>
    <w:rsid w:val="00110E50"/>
    <w:rsid w:val="0011531E"/>
    <w:rsid w:val="00123A35"/>
    <w:rsid w:val="00126D95"/>
    <w:rsid w:val="00132572"/>
    <w:rsid w:val="00135F92"/>
    <w:rsid w:val="00145688"/>
    <w:rsid w:val="001456CB"/>
    <w:rsid w:val="00147EDB"/>
    <w:rsid w:val="001677C1"/>
    <w:rsid w:val="00170B6A"/>
    <w:rsid w:val="00174C08"/>
    <w:rsid w:val="00176B5D"/>
    <w:rsid w:val="001825AD"/>
    <w:rsid w:val="00187C5A"/>
    <w:rsid w:val="001918ED"/>
    <w:rsid w:val="00192A7F"/>
    <w:rsid w:val="00194D96"/>
    <w:rsid w:val="00194E5B"/>
    <w:rsid w:val="001972C0"/>
    <w:rsid w:val="001A2D7F"/>
    <w:rsid w:val="001A3DF8"/>
    <w:rsid w:val="001A572D"/>
    <w:rsid w:val="001B1B11"/>
    <w:rsid w:val="001B324E"/>
    <w:rsid w:val="001B6887"/>
    <w:rsid w:val="001B6E5E"/>
    <w:rsid w:val="001B700E"/>
    <w:rsid w:val="001C0776"/>
    <w:rsid w:val="001C2BC9"/>
    <w:rsid w:val="001C39CB"/>
    <w:rsid w:val="001C3F50"/>
    <w:rsid w:val="001C51A9"/>
    <w:rsid w:val="001C7693"/>
    <w:rsid w:val="001D1D7C"/>
    <w:rsid w:val="001D4AD8"/>
    <w:rsid w:val="001D54FF"/>
    <w:rsid w:val="001D5787"/>
    <w:rsid w:val="001E1974"/>
    <w:rsid w:val="001E72C1"/>
    <w:rsid w:val="001F71E8"/>
    <w:rsid w:val="00202BC2"/>
    <w:rsid w:val="0021168C"/>
    <w:rsid w:val="00214113"/>
    <w:rsid w:val="00215081"/>
    <w:rsid w:val="00222532"/>
    <w:rsid w:val="00235ED5"/>
    <w:rsid w:val="00237445"/>
    <w:rsid w:val="00245047"/>
    <w:rsid w:val="002555AC"/>
    <w:rsid w:val="002651A6"/>
    <w:rsid w:val="002715B5"/>
    <w:rsid w:val="002760CB"/>
    <w:rsid w:val="0027659A"/>
    <w:rsid w:val="002769EB"/>
    <w:rsid w:val="0029464B"/>
    <w:rsid w:val="002973F0"/>
    <w:rsid w:val="002975C1"/>
    <w:rsid w:val="002A0E6E"/>
    <w:rsid w:val="002A33CC"/>
    <w:rsid w:val="002B1808"/>
    <w:rsid w:val="002C1ACE"/>
    <w:rsid w:val="002C3E0D"/>
    <w:rsid w:val="002D41FB"/>
    <w:rsid w:val="002E0587"/>
    <w:rsid w:val="002E1E1D"/>
    <w:rsid w:val="002F030C"/>
    <w:rsid w:val="002F1DCE"/>
    <w:rsid w:val="003002BB"/>
    <w:rsid w:val="003120F5"/>
    <w:rsid w:val="00313F8D"/>
    <w:rsid w:val="00317401"/>
    <w:rsid w:val="00317FAF"/>
    <w:rsid w:val="0032112D"/>
    <w:rsid w:val="00325BFD"/>
    <w:rsid w:val="003264F9"/>
    <w:rsid w:val="00326FC1"/>
    <w:rsid w:val="00327EB6"/>
    <w:rsid w:val="00330DBC"/>
    <w:rsid w:val="00337922"/>
    <w:rsid w:val="00340867"/>
    <w:rsid w:val="00341CA5"/>
    <w:rsid w:val="00342857"/>
    <w:rsid w:val="003504E8"/>
    <w:rsid w:val="00351CD4"/>
    <w:rsid w:val="003608CB"/>
    <w:rsid w:val="003627B6"/>
    <w:rsid w:val="003675FE"/>
    <w:rsid w:val="003708D5"/>
    <w:rsid w:val="0037587D"/>
    <w:rsid w:val="0038061A"/>
    <w:rsid w:val="0038063B"/>
    <w:rsid w:val="00380837"/>
    <w:rsid w:val="00382EDD"/>
    <w:rsid w:val="003836CA"/>
    <w:rsid w:val="00386171"/>
    <w:rsid w:val="00386A98"/>
    <w:rsid w:val="00392D5A"/>
    <w:rsid w:val="003A1E9C"/>
    <w:rsid w:val="003A57BB"/>
    <w:rsid w:val="003A5B31"/>
    <w:rsid w:val="003B4391"/>
    <w:rsid w:val="003B63F4"/>
    <w:rsid w:val="003B686D"/>
    <w:rsid w:val="003B6EB8"/>
    <w:rsid w:val="003C7699"/>
    <w:rsid w:val="003D1723"/>
    <w:rsid w:val="003D470D"/>
    <w:rsid w:val="003D6BE3"/>
    <w:rsid w:val="003E0907"/>
    <w:rsid w:val="003E0E52"/>
    <w:rsid w:val="003E2C93"/>
    <w:rsid w:val="003F20A5"/>
    <w:rsid w:val="003F6B8B"/>
    <w:rsid w:val="00400B96"/>
    <w:rsid w:val="00405D5F"/>
    <w:rsid w:val="00410914"/>
    <w:rsid w:val="00415AA3"/>
    <w:rsid w:val="00420650"/>
    <w:rsid w:val="00420C60"/>
    <w:rsid w:val="00430432"/>
    <w:rsid w:val="00432E49"/>
    <w:rsid w:val="00433759"/>
    <w:rsid w:val="0043494E"/>
    <w:rsid w:val="004414A5"/>
    <w:rsid w:val="00441B50"/>
    <w:rsid w:val="0044209C"/>
    <w:rsid w:val="004428CE"/>
    <w:rsid w:val="00450792"/>
    <w:rsid w:val="00456697"/>
    <w:rsid w:val="00463AD4"/>
    <w:rsid w:val="00463F22"/>
    <w:rsid w:val="00465FE1"/>
    <w:rsid w:val="00475491"/>
    <w:rsid w:val="004869FB"/>
    <w:rsid w:val="00487DDC"/>
    <w:rsid w:val="00491735"/>
    <w:rsid w:val="00493760"/>
    <w:rsid w:val="00494A46"/>
    <w:rsid w:val="00497CEF"/>
    <w:rsid w:val="004A1070"/>
    <w:rsid w:val="004A38FC"/>
    <w:rsid w:val="004A4739"/>
    <w:rsid w:val="004A7106"/>
    <w:rsid w:val="004B217F"/>
    <w:rsid w:val="004B3E7F"/>
    <w:rsid w:val="004C07FE"/>
    <w:rsid w:val="004C3A73"/>
    <w:rsid w:val="004C5731"/>
    <w:rsid w:val="004C5BFE"/>
    <w:rsid w:val="004C5C5A"/>
    <w:rsid w:val="004C78A9"/>
    <w:rsid w:val="004D3E4C"/>
    <w:rsid w:val="004D55E7"/>
    <w:rsid w:val="004D62EF"/>
    <w:rsid w:val="004D7A97"/>
    <w:rsid w:val="004E5609"/>
    <w:rsid w:val="004E61BC"/>
    <w:rsid w:val="004F185D"/>
    <w:rsid w:val="005052B3"/>
    <w:rsid w:val="005056ED"/>
    <w:rsid w:val="00505819"/>
    <w:rsid w:val="005064D2"/>
    <w:rsid w:val="00515C94"/>
    <w:rsid w:val="00517E4C"/>
    <w:rsid w:val="00521CF0"/>
    <w:rsid w:val="00527341"/>
    <w:rsid w:val="0053208B"/>
    <w:rsid w:val="0053404C"/>
    <w:rsid w:val="00534814"/>
    <w:rsid w:val="00535EB3"/>
    <w:rsid w:val="00536930"/>
    <w:rsid w:val="00541AE2"/>
    <w:rsid w:val="00546D5F"/>
    <w:rsid w:val="00552785"/>
    <w:rsid w:val="00552BDE"/>
    <w:rsid w:val="005571F6"/>
    <w:rsid w:val="005577AD"/>
    <w:rsid w:val="00560A2A"/>
    <w:rsid w:val="00564E53"/>
    <w:rsid w:val="005652DC"/>
    <w:rsid w:val="005675B7"/>
    <w:rsid w:val="005706CE"/>
    <w:rsid w:val="00576C70"/>
    <w:rsid w:val="00580B9E"/>
    <w:rsid w:val="00583277"/>
    <w:rsid w:val="00592C3E"/>
    <w:rsid w:val="005978E6"/>
    <w:rsid w:val="005A000F"/>
    <w:rsid w:val="005A5268"/>
    <w:rsid w:val="005B173D"/>
    <w:rsid w:val="005B6888"/>
    <w:rsid w:val="005D1D88"/>
    <w:rsid w:val="005D59EB"/>
    <w:rsid w:val="005F6C65"/>
    <w:rsid w:val="00600F02"/>
    <w:rsid w:val="00604098"/>
    <w:rsid w:val="0060444D"/>
    <w:rsid w:val="00611393"/>
    <w:rsid w:val="00615924"/>
    <w:rsid w:val="006223EE"/>
    <w:rsid w:val="00624222"/>
    <w:rsid w:val="00633AC5"/>
    <w:rsid w:val="00642776"/>
    <w:rsid w:val="00644FE2"/>
    <w:rsid w:val="00645FB8"/>
    <w:rsid w:val="00651986"/>
    <w:rsid w:val="006545E8"/>
    <w:rsid w:val="006629CC"/>
    <w:rsid w:val="00664736"/>
    <w:rsid w:val="00665980"/>
    <w:rsid w:val="006676DD"/>
    <w:rsid w:val="0067640C"/>
    <w:rsid w:val="00681DFF"/>
    <w:rsid w:val="006836D9"/>
    <w:rsid w:val="00683914"/>
    <w:rsid w:val="0068548D"/>
    <w:rsid w:val="00686182"/>
    <w:rsid w:val="00690528"/>
    <w:rsid w:val="00692812"/>
    <w:rsid w:val="006946B4"/>
    <w:rsid w:val="00695256"/>
    <w:rsid w:val="00695570"/>
    <w:rsid w:val="006969F1"/>
    <w:rsid w:val="00696AF1"/>
    <w:rsid w:val="006A3B31"/>
    <w:rsid w:val="006A68F3"/>
    <w:rsid w:val="006A7352"/>
    <w:rsid w:val="006B182C"/>
    <w:rsid w:val="006B4127"/>
    <w:rsid w:val="006C058B"/>
    <w:rsid w:val="006C24BF"/>
    <w:rsid w:val="006C36AB"/>
    <w:rsid w:val="006C40B9"/>
    <w:rsid w:val="006C4CFB"/>
    <w:rsid w:val="006D265F"/>
    <w:rsid w:val="006D4DF7"/>
    <w:rsid w:val="006D5BDA"/>
    <w:rsid w:val="006E678B"/>
    <w:rsid w:val="006F2682"/>
    <w:rsid w:val="0070367F"/>
    <w:rsid w:val="00710655"/>
    <w:rsid w:val="00712F3C"/>
    <w:rsid w:val="007170AA"/>
    <w:rsid w:val="007175F5"/>
    <w:rsid w:val="0072638A"/>
    <w:rsid w:val="00726642"/>
    <w:rsid w:val="00732B66"/>
    <w:rsid w:val="007378E4"/>
    <w:rsid w:val="00737C8F"/>
    <w:rsid w:val="007406DE"/>
    <w:rsid w:val="00743E79"/>
    <w:rsid w:val="00744BEA"/>
    <w:rsid w:val="00751532"/>
    <w:rsid w:val="00751C37"/>
    <w:rsid w:val="00754C46"/>
    <w:rsid w:val="0075769B"/>
    <w:rsid w:val="007618BC"/>
    <w:rsid w:val="00772340"/>
    <w:rsid w:val="007757F3"/>
    <w:rsid w:val="007815DC"/>
    <w:rsid w:val="007839F5"/>
    <w:rsid w:val="00783C4A"/>
    <w:rsid w:val="00787C80"/>
    <w:rsid w:val="00790D5E"/>
    <w:rsid w:val="00790FC6"/>
    <w:rsid w:val="00794D01"/>
    <w:rsid w:val="00795FA6"/>
    <w:rsid w:val="007A2C5A"/>
    <w:rsid w:val="007A47FB"/>
    <w:rsid w:val="007A6299"/>
    <w:rsid w:val="007B106B"/>
    <w:rsid w:val="007B275D"/>
    <w:rsid w:val="007C24A1"/>
    <w:rsid w:val="007E03E9"/>
    <w:rsid w:val="007E6AEB"/>
    <w:rsid w:val="007E7C11"/>
    <w:rsid w:val="007F01EC"/>
    <w:rsid w:val="007F0EA0"/>
    <w:rsid w:val="007F1DD4"/>
    <w:rsid w:val="007F3AD5"/>
    <w:rsid w:val="007F6A62"/>
    <w:rsid w:val="007F7DF2"/>
    <w:rsid w:val="00803706"/>
    <w:rsid w:val="0080433F"/>
    <w:rsid w:val="008079FA"/>
    <w:rsid w:val="00810D58"/>
    <w:rsid w:val="00812C6B"/>
    <w:rsid w:val="00815AF5"/>
    <w:rsid w:val="008160E3"/>
    <w:rsid w:val="00827CD6"/>
    <w:rsid w:val="008343CB"/>
    <w:rsid w:val="00834F70"/>
    <w:rsid w:val="00835B31"/>
    <w:rsid w:val="00850591"/>
    <w:rsid w:val="008638DE"/>
    <w:rsid w:val="00863B20"/>
    <w:rsid w:val="008646DE"/>
    <w:rsid w:val="00864902"/>
    <w:rsid w:val="00864BE7"/>
    <w:rsid w:val="00865200"/>
    <w:rsid w:val="00871695"/>
    <w:rsid w:val="0088174B"/>
    <w:rsid w:val="00881C64"/>
    <w:rsid w:val="00885631"/>
    <w:rsid w:val="00886006"/>
    <w:rsid w:val="00891C25"/>
    <w:rsid w:val="00894200"/>
    <w:rsid w:val="008973EE"/>
    <w:rsid w:val="008A4AC0"/>
    <w:rsid w:val="008A7C7E"/>
    <w:rsid w:val="008B028C"/>
    <w:rsid w:val="008B21BA"/>
    <w:rsid w:val="008B4EE2"/>
    <w:rsid w:val="008B7990"/>
    <w:rsid w:val="008C199E"/>
    <w:rsid w:val="008C1CA5"/>
    <w:rsid w:val="008C53BD"/>
    <w:rsid w:val="008D089D"/>
    <w:rsid w:val="008E792C"/>
    <w:rsid w:val="008F0B04"/>
    <w:rsid w:val="008F6DB9"/>
    <w:rsid w:val="008F7C55"/>
    <w:rsid w:val="00901BAF"/>
    <w:rsid w:val="0091272B"/>
    <w:rsid w:val="00930694"/>
    <w:rsid w:val="00932193"/>
    <w:rsid w:val="0093521F"/>
    <w:rsid w:val="0093786C"/>
    <w:rsid w:val="00945677"/>
    <w:rsid w:val="0095571F"/>
    <w:rsid w:val="00955B84"/>
    <w:rsid w:val="0095689B"/>
    <w:rsid w:val="00962F78"/>
    <w:rsid w:val="00965A0E"/>
    <w:rsid w:val="0096609F"/>
    <w:rsid w:val="00971600"/>
    <w:rsid w:val="00984342"/>
    <w:rsid w:val="00993632"/>
    <w:rsid w:val="00996B0D"/>
    <w:rsid w:val="009973B4"/>
    <w:rsid w:val="009A1279"/>
    <w:rsid w:val="009A4B5C"/>
    <w:rsid w:val="009A6F79"/>
    <w:rsid w:val="009B16F4"/>
    <w:rsid w:val="009B4D68"/>
    <w:rsid w:val="009B6785"/>
    <w:rsid w:val="009B6AB3"/>
    <w:rsid w:val="009B7EB8"/>
    <w:rsid w:val="009C131F"/>
    <w:rsid w:val="009D1075"/>
    <w:rsid w:val="009D1A3F"/>
    <w:rsid w:val="009D2F66"/>
    <w:rsid w:val="009D57CF"/>
    <w:rsid w:val="009E2238"/>
    <w:rsid w:val="009E30DA"/>
    <w:rsid w:val="009E3D68"/>
    <w:rsid w:val="009E3FDC"/>
    <w:rsid w:val="009E6193"/>
    <w:rsid w:val="009E7DD1"/>
    <w:rsid w:val="009F6386"/>
    <w:rsid w:val="009F7BFC"/>
    <w:rsid w:val="009F7EED"/>
    <w:rsid w:val="00A0721A"/>
    <w:rsid w:val="00A138EC"/>
    <w:rsid w:val="00A378F6"/>
    <w:rsid w:val="00A41F32"/>
    <w:rsid w:val="00A50B4B"/>
    <w:rsid w:val="00A57E86"/>
    <w:rsid w:val="00A64722"/>
    <w:rsid w:val="00A743CD"/>
    <w:rsid w:val="00A801DE"/>
    <w:rsid w:val="00A80C1F"/>
    <w:rsid w:val="00A81FD7"/>
    <w:rsid w:val="00A86BDD"/>
    <w:rsid w:val="00A90A22"/>
    <w:rsid w:val="00A969B9"/>
    <w:rsid w:val="00A97734"/>
    <w:rsid w:val="00AA1858"/>
    <w:rsid w:val="00AA5451"/>
    <w:rsid w:val="00AA6131"/>
    <w:rsid w:val="00AA6A45"/>
    <w:rsid w:val="00AA7F40"/>
    <w:rsid w:val="00AB41FC"/>
    <w:rsid w:val="00AB7D2F"/>
    <w:rsid w:val="00AC1D8B"/>
    <w:rsid w:val="00AC24B1"/>
    <w:rsid w:val="00AC260E"/>
    <w:rsid w:val="00AD145D"/>
    <w:rsid w:val="00AD20E6"/>
    <w:rsid w:val="00AD6F34"/>
    <w:rsid w:val="00AE020D"/>
    <w:rsid w:val="00AF0AAB"/>
    <w:rsid w:val="00AF156F"/>
    <w:rsid w:val="00AF616B"/>
    <w:rsid w:val="00B034AD"/>
    <w:rsid w:val="00B0685B"/>
    <w:rsid w:val="00B0721E"/>
    <w:rsid w:val="00B14B87"/>
    <w:rsid w:val="00B22D22"/>
    <w:rsid w:val="00B23030"/>
    <w:rsid w:val="00B237B9"/>
    <w:rsid w:val="00B23CAA"/>
    <w:rsid w:val="00B2489D"/>
    <w:rsid w:val="00B410EE"/>
    <w:rsid w:val="00B427EC"/>
    <w:rsid w:val="00B546C0"/>
    <w:rsid w:val="00B565BF"/>
    <w:rsid w:val="00B73843"/>
    <w:rsid w:val="00B73B0E"/>
    <w:rsid w:val="00B73EA8"/>
    <w:rsid w:val="00B8202D"/>
    <w:rsid w:val="00B91271"/>
    <w:rsid w:val="00B91605"/>
    <w:rsid w:val="00B929FD"/>
    <w:rsid w:val="00B95B99"/>
    <w:rsid w:val="00B95F69"/>
    <w:rsid w:val="00BA5B19"/>
    <w:rsid w:val="00BC0122"/>
    <w:rsid w:val="00BC2015"/>
    <w:rsid w:val="00BC71B0"/>
    <w:rsid w:val="00BD3E2B"/>
    <w:rsid w:val="00BD4E08"/>
    <w:rsid w:val="00BD6DBC"/>
    <w:rsid w:val="00BE512D"/>
    <w:rsid w:val="00BF597E"/>
    <w:rsid w:val="00C03098"/>
    <w:rsid w:val="00C10EF3"/>
    <w:rsid w:val="00C14685"/>
    <w:rsid w:val="00C31C73"/>
    <w:rsid w:val="00C31C8D"/>
    <w:rsid w:val="00C431C9"/>
    <w:rsid w:val="00C513CB"/>
    <w:rsid w:val="00C51A36"/>
    <w:rsid w:val="00C548BE"/>
    <w:rsid w:val="00C55228"/>
    <w:rsid w:val="00C619C1"/>
    <w:rsid w:val="00C62031"/>
    <w:rsid w:val="00C67E19"/>
    <w:rsid w:val="00C67E47"/>
    <w:rsid w:val="00C71E85"/>
    <w:rsid w:val="00C750BE"/>
    <w:rsid w:val="00C76A3E"/>
    <w:rsid w:val="00C85E49"/>
    <w:rsid w:val="00C86F9B"/>
    <w:rsid w:val="00C87FEE"/>
    <w:rsid w:val="00C90930"/>
    <w:rsid w:val="00C920A9"/>
    <w:rsid w:val="00C93340"/>
    <w:rsid w:val="00C9447D"/>
    <w:rsid w:val="00CB0154"/>
    <w:rsid w:val="00CB0D49"/>
    <w:rsid w:val="00CB127F"/>
    <w:rsid w:val="00CB1FBC"/>
    <w:rsid w:val="00CB260B"/>
    <w:rsid w:val="00CB3729"/>
    <w:rsid w:val="00CB43FE"/>
    <w:rsid w:val="00CC0969"/>
    <w:rsid w:val="00CC2A01"/>
    <w:rsid w:val="00CC3BF9"/>
    <w:rsid w:val="00CD394A"/>
    <w:rsid w:val="00CD68C2"/>
    <w:rsid w:val="00CD6C83"/>
    <w:rsid w:val="00CE0AA5"/>
    <w:rsid w:val="00CE2A9E"/>
    <w:rsid w:val="00CE315A"/>
    <w:rsid w:val="00CE4B8A"/>
    <w:rsid w:val="00CE7BE1"/>
    <w:rsid w:val="00CF147A"/>
    <w:rsid w:val="00CF1726"/>
    <w:rsid w:val="00CF5473"/>
    <w:rsid w:val="00CF6C5C"/>
    <w:rsid w:val="00D004F0"/>
    <w:rsid w:val="00D06F59"/>
    <w:rsid w:val="00D071AB"/>
    <w:rsid w:val="00D3392D"/>
    <w:rsid w:val="00D379ED"/>
    <w:rsid w:val="00D37D1B"/>
    <w:rsid w:val="00D41F5E"/>
    <w:rsid w:val="00D429D7"/>
    <w:rsid w:val="00D42D53"/>
    <w:rsid w:val="00D548EE"/>
    <w:rsid w:val="00D55E69"/>
    <w:rsid w:val="00D562F6"/>
    <w:rsid w:val="00D74FBF"/>
    <w:rsid w:val="00D75463"/>
    <w:rsid w:val="00D75EFF"/>
    <w:rsid w:val="00D80770"/>
    <w:rsid w:val="00D83050"/>
    <w:rsid w:val="00D8388C"/>
    <w:rsid w:val="00D97182"/>
    <w:rsid w:val="00DA0DF0"/>
    <w:rsid w:val="00DA657E"/>
    <w:rsid w:val="00DB2382"/>
    <w:rsid w:val="00DB756E"/>
    <w:rsid w:val="00DC330A"/>
    <w:rsid w:val="00DD10DC"/>
    <w:rsid w:val="00DD1C8E"/>
    <w:rsid w:val="00DD1D21"/>
    <w:rsid w:val="00DD48B3"/>
    <w:rsid w:val="00DE146D"/>
    <w:rsid w:val="00DE2D80"/>
    <w:rsid w:val="00DE33EC"/>
    <w:rsid w:val="00DE6FCE"/>
    <w:rsid w:val="00DF6570"/>
    <w:rsid w:val="00DF76DB"/>
    <w:rsid w:val="00DF7D02"/>
    <w:rsid w:val="00E01EE2"/>
    <w:rsid w:val="00E038E4"/>
    <w:rsid w:val="00E0521C"/>
    <w:rsid w:val="00E11CD7"/>
    <w:rsid w:val="00E13D9A"/>
    <w:rsid w:val="00E14BA9"/>
    <w:rsid w:val="00E221C3"/>
    <w:rsid w:val="00E32D13"/>
    <w:rsid w:val="00E34F47"/>
    <w:rsid w:val="00E420B7"/>
    <w:rsid w:val="00E43822"/>
    <w:rsid w:val="00E54035"/>
    <w:rsid w:val="00E5717A"/>
    <w:rsid w:val="00E62996"/>
    <w:rsid w:val="00E63714"/>
    <w:rsid w:val="00E64A51"/>
    <w:rsid w:val="00E676F9"/>
    <w:rsid w:val="00E7279B"/>
    <w:rsid w:val="00E84C02"/>
    <w:rsid w:val="00E90BBC"/>
    <w:rsid w:val="00E910C0"/>
    <w:rsid w:val="00E95637"/>
    <w:rsid w:val="00E97424"/>
    <w:rsid w:val="00EA04FF"/>
    <w:rsid w:val="00EA55F7"/>
    <w:rsid w:val="00EB0164"/>
    <w:rsid w:val="00EB5DF5"/>
    <w:rsid w:val="00EB65F7"/>
    <w:rsid w:val="00EB7607"/>
    <w:rsid w:val="00EC3DBA"/>
    <w:rsid w:val="00EC42F5"/>
    <w:rsid w:val="00EC6620"/>
    <w:rsid w:val="00ED0F62"/>
    <w:rsid w:val="00ED7F2E"/>
    <w:rsid w:val="00EE5CD9"/>
    <w:rsid w:val="00EE6713"/>
    <w:rsid w:val="00EE71F4"/>
    <w:rsid w:val="00EF29B6"/>
    <w:rsid w:val="00EF36E7"/>
    <w:rsid w:val="00F06B25"/>
    <w:rsid w:val="00F06D09"/>
    <w:rsid w:val="00F11201"/>
    <w:rsid w:val="00F115BF"/>
    <w:rsid w:val="00F14D99"/>
    <w:rsid w:val="00F2038C"/>
    <w:rsid w:val="00F25AFF"/>
    <w:rsid w:val="00F31E8A"/>
    <w:rsid w:val="00F32CB9"/>
    <w:rsid w:val="00F33729"/>
    <w:rsid w:val="00F3372A"/>
    <w:rsid w:val="00F35CD7"/>
    <w:rsid w:val="00F3666E"/>
    <w:rsid w:val="00F44D4E"/>
    <w:rsid w:val="00F46C3F"/>
    <w:rsid w:val="00F47508"/>
    <w:rsid w:val="00F47878"/>
    <w:rsid w:val="00F55DB9"/>
    <w:rsid w:val="00F606E1"/>
    <w:rsid w:val="00F60CA3"/>
    <w:rsid w:val="00F6739D"/>
    <w:rsid w:val="00F83639"/>
    <w:rsid w:val="00F840C3"/>
    <w:rsid w:val="00F856F5"/>
    <w:rsid w:val="00F8598C"/>
    <w:rsid w:val="00F956F5"/>
    <w:rsid w:val="00F97087"/>
    <w:rsid w:val="00FA0833"/>
    <w:rsid w:val="00FA2467"/>
    <w:rsid w:val="00FA25E4"/>
    <w:rsid w:val="00FA2988"/>
    <w:rsid w:val="00FA350D"/>
    <w:rsid w:val="00FB03C3"/>
    <w:rsid w:val="00FB5A65"/>
    <w:rsid w:val="00FB6C45"/>
    <w:rsid w:val="00FC01AB"/>
    <w:rsid w:val="00FD2869"/>
    <w:rsid w:val="00FD3F5E"/>
    <w:rsid w:val="00FD5EE5"/>
    <w:rsid w:val="00FD72A6"/>
    <w:rsid w:val="00FE09C9"/>
    <w:rsid w:val="00FE1887"/>
    <w:rsid w:val="00FE3DB1"/>
    <w:rsid w:val="08A61E5E"/>
    <w:rsid w:val="0D4757CF"/>
    <w:rsid w:val="108219C2"/>
    <w:rsid w:val="11244A4F"/>
    <w:rsid w:val="16645E7C"/>
    <w:rsid w:val="19B948A2"/>
    <w:rsid w:val="21782CF5"/>
    <w:rsid w:val="2481550B"/>
    <w:rsid w:val="27927A63"/>
    <w:rsid w:val="2D39602A"/>
    <w:rsid w:val="320B56C1"/>
    <w:rsid w:val="39E33113"/>
    <w:rsid w:val="401624FA"/>
    <w:rsid w:val="48E21429"/>
    <w:rsid w:val="4A124191"/>
    <w:rsid w:val="4F3B4B55"/>
    <w:rsid w:val="519E1AF0"/>
    <w:rsid w:val="53322D5A"/>
    <w:rsid w:val="569129EC"/>
    <w:rsid w:val="56AE391F"/>
    <w:rsid w:val="5EA12B9A"/>
    <w:rsid w:val="63701629"/>
    <w:rsid w:val="63CD6F63"/>
    <w:rsid w:val="6B7935B7"/>
    <w:rsid w:val="70F63BBC"/>
    <w:rsid w:val="753F3E5E"/>
    <w:rsid w:val="7CB06A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link w:val="20"/>
    <w:unhideWhenUsed/>
    <w:qFormat/>
    <w:uiPriority w:val="99"/>
    <w:pPr>
      <w:spacing w:line="420" w:lineRule="exact"/>
    </w:pPr>
    <w:rPr>
      <w:sz w:val="24"/>
    </w:rPr>
  </w:style>
  <w:style w:type="paragraph" w:styleId="5">
    <w:name w:val="Plain Text"/>
    <w:basedOn w:val="1"/>
    <w:link w:val="22"/>
    <w:qFormat/>
    <w:uiPriority w:val="0"/>
    <w:rPr>
      <w:rFonts w:ascii="宋体" w:hAnsi="Courier New"/>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link w:val="23"/>
    <w:qFormat/>
    <w:uiPriority w:val="0"/>
    <w:pPr>
      <w:widowControl/>
      <w:jc w:val="center"/>
    </w:pPr>
    <w:rPr>
      <w:rFonts w:ascii="Book Antiqua" w:hAnsi="Book Antiqua"/>
      <w:b/>
      <w:kern w:val="0"/>
      <w:sz w:val="31"/>
      <w:szCs w:val="31"/>
      <w:u w:val="single"/>
      <w:lang w:eastAsia="en-US"/>
    </w:rPr>
  </w:style>
  <w:style w:type="table" w:styleId="11">
    <w:name w:val="Table Grid"/>
    <w:basedOn w:val="10"/>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8"/>
    <w:qFormat/>
    <w:uiPriority w:val="99"/>
    <w:rPr>
      <w:rFonts w:ascii="Times New Roman" w:hAnsi="Times New Roman" w:eastAsia="宋体" w:cs="Times New Roman"/>
      <w:sz w:val="18"/>
      <w:szCs w:val="18"/>
    </w:rPr>
  </w:style>
  <w:style w:type="character" w:customStyle="1" w:styleId="14">
    <w:name w:val="页脚 Char"/>
    <w:basedOn w:val="12"/>
    <w:link w:val="7"/>
    <w:qFormat/>
    <w:uiPriority w:val="99"/>
    <w:rPr>
      <w:rFonts w:ascii="Times New Roman" w:hAnsi="Times New Roman" w:eastAsia="宋体" w:cs="Times New Roman"/>
      <w:sz w:val="18"/>
      <w:szCs w:val="18"/>
    </w:rPr>
  </w:style>
  <w:style w:type="character" w:customStyle="1" w:styleId="15">
    <w:name w:val="批注框文本 Char"/>
    <w:basedOn w:val="12"/>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fontstyle01"/>
    <w:basedOn w:val="12"/>
    <w:qFormat/>
    <w:uiPriority w:val="0"/>
    <w:rPr>
      <w:rFonts w:hint="eastAsia" w:ascii="宋体" w:hAnsi="宋体" w:eastAsia="宋体"/>
      <w:color w:val="000000"/>
      <w:sz w:val="24"/>
      <w:szCs w:val="24"/>
    </w:rPr>
  </w:style>
  <w:style w:type="character" w:customStyle="1" w:styleId="18">
    <w:name w:val="fontstyle21"/>
    <w:basedOn w:val="12"/>
    <w:qFormat/>
    <w:uiPriority w:val="0"/>
    <w:rPr>
      <w:rFonts w:hint="default" w:ascii="Times New Roman" w:hAnsi="Times New Roman" w:cs="Times New Roman"/>
      <w:color w:val="000000"/>
      <w:sz w:val="24"/>
      <w:szCs w:val="24"/>
    </w:rPr>
  </w:style>
  <w:style w:type="character" w:customStyle="1" w:styleId="19">
    <w:name w:val="标题 2 Char"/>
    <w:basedOn w:val="12"/>
    <w:link w:val="2"/>
    <w:qFormat/>
    <w:uiPriority w:val="9"/>
    <w:rPr>
      <w:rFonts w:asciiTheme="majorHAnsi" w:hAnsiTheme="majorHAnsi" w:eastAsiaTheme="majorEastAsia" w:cstheme="majorBidi"/>
      <w:b/>
      <w:bCs/>
      <w:kern w:val="2"/>
      <w:sz w:val="32"/>
      <w:szCs w:val="32"/>
    </w:rPr>
  </w:style>
  <w:style w:type="character" w:customStyle="1" w:styleId="20">
    <w:name w:val="正文文本 Char"/>
    <w:basedOn w:val="12"/>
    <w:link w:val="4"/>
    <w:qFormat/>
    <w:uiPriority w:val="99"/>
    <w:rPr>
      <w:rFonts w:ascii="Times New Roman" w:hAnsi="Times New Roman" w:eastAsia="宋体" w:cs="Times New Roman"/>
      <w:kern w:val="2"/>
      <w:sz w:val="24"/>
    </w:rPr>
  </w:style>
  <w:style w:type="paragraph" w:customStyle="1" w:styleId="21">
    <w:name w:val="表格文字"/>
    <w:basedOn w:val="1"/>
    <w:qFormat/>
    <w:uiPriority w:val="0"/>
    <w:pPr>
      <w:spacing w:before="25" w:after="25"/>
    </w:pPr>
    <w:rPr>
      <w:bCs/>
      <w:spacing w:val="10"/>
    </w:rPr>
  </w:style>
  <w:style w:type="character" w:customStyle="1" w:styleId="22">
    <w:name w:val="纯文本 Char"/>
    <w:basedOn w:val="12"/>
    <w:link w:val="5"/>
    <w:qFormat/>
    <w:uiPriority w:val="0"/>
    <w:rPr>
      <w:rFonts w:ascii="宋体" w:hAnsi="Courier New" w:eastAsia="宋体" w:cs="Times New Roman"/>
      <w:kern w:val="2"/>
      <w:sz w:val="21"/>
    </w:rPr>
  </w:style>
  <w:style w:type="character" w:customStyle="1" w:styleId="23">
    <w:name w:val="标题 Char"/>
    <w:basedOn w:val="12"/>
    <w:link w:val="9"/>
    <w:qFormat/>
    <w:uiPriority w:val="0"/>
    <w:rPr>
      <w:rFonts w:ascii="Book Antiqua" w:hAnsi="Book Antiqua" w:eastAsia="宋体" w:cs="Times New Roman"/>
      <w:b/>
      <w:sz w:val="31"/>
      <w:szCs w:val="31"/>
      <w:u w:val="single"/>
      <w:lang w:eastAsia="en-US"/>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1492</Words>
  <Characters>8506</Characters>
  <Lines>70</Lines>
  <Paragraphs>19</Paragraphs>
  <TotalTime>3</TotalTime>
  <ScaleCrop>false</ScaleCrop>
  <LinksUpToDate>false</LinksUpToDate>
  <CharactersWithSpaces>9979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2020-12-11T15:45:43Z</dcterms:modified>
  <cp:revision>857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