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pPr w:leftFromText="181" w:rightFromText="181" w:vertAnchor="text" w:horzAnchor="page" w:tblpX="1203" w:tblpY="14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受审核部门：管理层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4.1、4.2、4.3 、4.4、5.1、5.2、5.3、6.1、6.2、7.1、7.4、9.3、10.1、10.3，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企业基本信息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面谈人员：最管理者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公司成立于20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日，法人代表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，注册地址：</w:t>
            </w:r>
            <w:bookmarkStart w:id="0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陕西省宝鸡市高新开发区钓渭镇朱家滩村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de-DE"/>
              </w:rPr>
              <w:t>经营范围</w:t>
            </w:r>
            <w:bookmarkStart w:id="1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锻造件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齿轮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</w:t>
            </w:r>
            <w:bookmarkEnd w:id="1"/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de-DE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  <w:t>经营范围包括了认证范围内产品。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介绍了公司发展历程、公司文化的形成与发展、长短期发展目标、价值观的沟通，并对如何创造公司良好的内部环境提出要求，对公司目前所处的外部环境也做了简单分析。公司介绍，销售的产品在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陕西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居于领先地位，在行业内占据一定市场地位。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有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基本识别了与组织管理体系有关的相关方和要求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经确认企业的管理体系范围是：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EMS: 锻造件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齿轮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的生产及相关环境管理活动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 GB/T24001-2016 标准的要求识别了环境管理所需的过程及相互作用，识别了环境管理体系涉及的各个过程：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a) 确定这些过程所需的输入和期望的输出；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b) 确定这些过程的顺序和相互作用；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c) 建立了程序文件、管理制度、作业指导书、检验规程等明确了各个过程所需的准则和方法，并明确了目标。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d) 规定了每个过程所需的资源；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e) 规定与这些过程相关的责任和权限；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  f) 针对这些过程识别和确定了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管理活动的风险、机会以及所需的措施；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g) 对这些过程进行了评价，暂无所需的变更；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h) 公司通过绩效评价、内部审核、管理评审等以期对环境管理管理体系得到改进。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公司按照标准建立了文件化的环境管理体系，编制了环境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E：5.1，5.3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介绍，公司管理体系运行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了一年多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。部门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及其职责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没有变化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，设有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行政部、业务部、品质部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、生产部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岗位职责，以文件上发的形式沟通各部门的职责及各部门之间工作的联系。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，主要负责公司全面工作，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，主要负责公司行政及体系工作。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1、确保本公司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体系所需的过程得到建立、实施和保持；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2、向总经理报告体系运行的业绩，包括改进的需求；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3、在全公司范围内促进满足顾客要求意识、环境保护意识的形成和提高；就体系有关事宜对外联系。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经交流总经理和管代熟悉管理体系的基本运行情况，比较重视体系建设。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公司的环境方针是：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  <w:lang w:val="en-US" w:eastAsia="zh-CN"/>
              </w:rPr>
              <w:t>让环保扎根此刻  用绿色昭示未来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；管代：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 6.1.1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提供《风险和机遇评估分析表》，识别了风险和机遇来源、风险和机遇内容、管理措施、责任部门、实时时间、评价措施等：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风险、机遇：从客户开发、合同评审、产品交付、领导作用、信息交流、采购管理、仓库管理等方面进行分析评估。从严重程度、发生概率、可探测性、RPN等确定风险和机遇。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应对措施：与风险、机遇相适应。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E：6.2 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重大环境污染事故为零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环境影响投诉次数为零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固体废弃物分类处理率为100%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对公司环境目标、指标予以分解，并在相关职能层次部门建立分目标，查见《目标指标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生产及办公场所、办公设备等基础设施以及必要的工作环境，配备较为充分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（高温补助、取暖费）福利费用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年环保安全资金投入计划财务支出明细，至今支出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现场观察及与领导沟通了解到，公司为确保管理体系的有效运行和持续改进，确保满足顾客要求，增强顾客满意，确定并提供了必要的资源，目前仓库和办公室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公司目前的基础设施，能够满足当前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信息交流、沟通、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协商与参与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E：7.4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为协商、参与提供了时间、机会、培训、资源等保障，明确了沟通、协商、参与渠道，消除了障碍和壁垒。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现场查见会议记录、通知通报、培训记录、文件签收等组织内部培训方式相关记录。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是内外部信息交流的中心，通过会议、邮件、培训等形式进行内部交流，向外部接收各种文件传递各种报表，外部沟通联络的部门有环保部门、劳动部门、消防安全部门、质监部门、安监部门及合同方等。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由于公司福利待遇正常发放，员工无抱怨，目前信息交流机制畅通。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E：9.3 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查看《管理评审程序》，基本符合要求。2020.6.12日进行了管理评审。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 “管理评审计划”，由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郭会军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签发；内容包括；评审目的、评审时间、参加部门人员、评审输入内容等。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评审输入: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管理评审输出：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2019年管理评审的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改进措施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已落实。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改进措施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节能降耗，减少生产车间和办公区域资源能源和办公器材消耗量，减排增效，确保环境卫生。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管理评审的策划及实施符合要求。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E：10.1、10.3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管理者代表根据总经理意图组织持续改进过程的策划工作，由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实施持续改进过程的管理。公司体系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暂时没有国家/地方抽查情况。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初审时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时发现的问题，经现场验证已关闭，整改措施有效。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APML+o¨²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412F6"/>
    <w:rsid w:val="0005199E"/>
    <w:rsid w:val="0005697E"/>
    <w:rsid w:val="000579CF"/>
    <w:rsid w:val="00060B56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45688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51A6"/>
    <w:rsid w:val="00275A8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40867"/>
    <w:rsid w:val="00342857"/>
    <w:rsid w:val="00347E99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5FE1"/>
    <w:rsid w:val="00475491"/>
    <w:rsid w:val="004869FB"/>
    <w:rsid w:val="00491735"/>
    <w:rsid w:val="00494A46"/>
    <w:rsid w:val="004978D0"/>
    <w:rsid w:val="004B217F"/>
    <w:rsid w:val="004B3E7F"/>
    <w:rsid w:val="004C07FE"/>
    <w:rsid w:val="004C6045"/>
    <w:rsid w:val="004D3E4C"/>
    <w:rsid w:val="004F185D"/>
    <w:rsid w:val="005056ED"/>
    <w:rsid w:val="00517E4C"/>
    <w:rsid w:val="00521CF0"/>
    <w:rsid w:val="0053208B"/>
    <w:rsid w:val="00534814"/>
    <w:rsid w:val="00536930"/>
    <w:rsid w:val="00551AE7"/>
    <w:rsid w:val="00556AF4"/>
    <w:rsid w:val="00560A2A"/>
    <w:rsid w:val="00564E53"/>
    <w:rsid w:val="005779A8"/>
    <w:rsid w:val="00583277"/>
    <w:rsid w:val="00592C3E"/>
    <w:rsid w:val="005A000F"/>
    <w:rsid w:val="005B173D"/>
    <w:rsid w:val="005B6888"/>
    <w:rsid w:val="005C7367"/>
    <w:rsid w:val="005D7FAE"/>
    <w:rsid w:val="005F6C65"/>
    <w:rsid w:val="00600F02"/>
    <w:rsid w:val="0060444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F59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C8F"/>
    <w:rsid w:val="007406DE"/>
    <w:rsid w:val="00742F4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6215B"/>
    <w:rsid w:val="008646DE"/>
    <w:rsid w:val="00864902"/>
    <w:rsid w:val="00864BE7"/>
    <w:rsid w:val="00865200"/>
    <w:rsid w:val="00871695"/>
    <w:rsid w:val="00891C25"/>
    <w:rsid w:val="008931BD"/>
    <w:rsid w:val="008973EE"/>
    <w:rsid w:val="008D089D"/>
    <w:rsid w:val="008E1006"/>
    <w:rsid w:val="008E24A5"/>
    <w:rsid w:val="008F0B04"/>
    <w:rsid w:val="008F0CAC"/>
    <w:rsid w:val="008F7C55"/>
    <w:rsid w:val="00930694"/>
    <w:rsid w:val="0093521F"/>
    <w:rsid w:val="00945677"/>
    <w:rsid w:val="00955B84"/>
    <w:rsid w:val="00962F78"/>
    <w:rsid w:val="0096609F"/>
    <w:rsid w:val="009701C1"/>
    <w:rsid w:val="00971600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60F0B"/>
    <w:rsid w:val="00A801DE"/>
    <w:rsid w:val="00A90A22"/>
    <w:rsid w:val="00A97734"/>
    <w:rsid w:val="00AA7F40"/>
    <w:rsid w:val="00AB41FC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8202D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4940"/>
    <w:rsid w:val="00D55E69"/>
    <w:rsid w:val="00D562F6"/>
    <w:rsid w:val="00D8388C"/>
    <w:rsid w:val="00DA0DF0"/>
    <w:rsid w:val="00DA32AB"/>
    <w:rsid w:val="00DA50ED"/>
    <w:rsid w:val="00DB5DEA"/>
    <w:rsid w:val="00DD1C8E"/>
    <w:rsid w:val="00DE146D"/>
    <w:rsid w:val="00DE2D80"/>
    <w:rsid w:val="00DE6FCE"/>
    <w:rsid w:val="00DF76DB"/>
    <w:rsid w:val="00E038E4"/>
    <w:rsid w:val="00E03908"/>
    <w:rsid w:val="00E13D9A"/>
    <w:rsid w:val="00E32D13"/>
    <w:rsid w:val="00E43822"/>
    <w:rsid w:val="00E54035"/>
    <w:rsid w:val="00E574D6"/>
    <w:rsid w:val="00E62996"/>
    <w:rsid w:val="00E63714"/>
    <w:rsid w:val="00E64A51"/>
    <w:rsid w:val="00E676F9"/>
    <w:rsid w:val="00E910C0"/>
    <w:rsid w:val="00E97424"/>
    <w:rsid w:val="00EA55F7"/>
    <w:rsid w:val="00EB0164"/>
    <w:rsid w:val="00EB5DF5"/>
    <w:rsid w:val="00EB65F7"/>
    <w:rsid w:val="00EC42F5"/>
    <w:rsid w:val="00ED0F62"/>
    <w:rsid w:val="00ED2ED6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1262117"/>
    <w:rsid w:val="03DD03A7"/>
    <w:rsid w:val="0952002A"/>
    <w:rsid w:val="108219C2"/>
    <w:rsid w:val="204B246C"/>
    <w:rsid w:val="2F2A2336"/>
    <w:rsid w:val="36BD6FED"/>
    <w:rsid w:val="3F5012C0"/>
    <w:rsid w:val="43C65B90"/>
    <w:rsid w:val="45F91B41"/>
    <w:rsid w:val="537F77EE"/>
    <w:rsid w:val="55993DCF"/>
    <w:rsid w:val="5A21345D"/>
    <w:rsid w:val="5A812611"/>
    <w:rsid w:val="5EA12B9A"/>
    <w:rsid w:val="5F73682B"/>
    <w:rsid w:val="62D3586D"/>
    <w:rsid w:val="6DD70F24"/>
    <w:rsid w:val="7AB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1151</Words>
  <Characters>6566</Characters>
  <Lines>54</Lines>
  <Paragraphs>15</Paragraphs>
  <TotalTime>0</TotalTime>
  <ScaleCrop>false</ScaleCrop>
  <LinksUpToDate>false</LinksUpToDate>
  <CharactersWithSpaces>7702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LIL</cp:lastModifiedBy>
  <dcterms:modified xsi:type="dcterms:W3CDTF">2020-12-10T23:12:19Z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