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王莉</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张佳梦</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2020.12.8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textAlignment w:val="baseline"/>
              <w:rPr>
                <w:rFonts w:hint="eastAsia" w:ascii="楷体" w:hAnsi="楷体" w:eastAsia="楷体" w:cs="楷体"/>
                <w:spacing w:val="-6"/>
                <w:sz w:val="24"/>
                <w:szCs w:val="24"/>
              </w:rPr>
            </w:pPr>
            <w:r>
              <w:rPr>
                <w:rFonts w:hint="eastAsia" w:ascii="楷体" w:hAnsi="楷体" w:eastAsia="楷体"/>
                <w:szCs w:val="21"/>
              </w:rPr>
              <w:t>审核条款：</w:t>
            </w:r>
            <w:r>
              <w:rPr>
                <w:rFonts w:hint="eastAsia" w:ascii="楷体" w:hAnsi="楷体" w:eastAsia="楷体" w:cs="楷体"/>
                <w:spacing w:val="-6"/>
                <w:sz w:val="24"/>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Q6.3变更的策划、9.3管理评审、10.1改进、10.3持续改进，</w:t>
            </w:r>
          </w:p>
          <w:p>
            <w:pPr>
              <w:rPr>
                <w:rFonts w:ascii="楷体" w:hAnsi="楷体" w:eastAsia="楷体"/>
                <w:szCs w:val="21"/>
              </w:rPr>
            </w:pPr>
            <w:r>
              <w:rPr>
                <w:rFonts w:hint="eastAsia" w:ascii="楷体" w:hAnsi="楷体" w:eastAsia="楷体" w:cs="楷体"/>
                <w:sz w:val="24"/>
                <w:szCs w:val="24"/>
              </w:rPr>
              <w:t>标准/规范/法规的执行情况、上次审核不符合项的验证、认证证书、标志的使用情况、投诉或事故、监督抽查情况、体系变动</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艾少华，</w:t>
            </w:r>
            <w:r>
              <w:rPr>
                <w:rFonts w:hint="eastAsia" w:ascii="楷体" w:hAnsi="楷体" w:eastAsia="楷体"/>
                <w:sz w:val="24"/>
                <w:szCs w:val="24"/>
              </w:rPr>
              <w:t>管代</w:t>
            </w:r>
            <w:r>
              <w:rPr>
                <w:rFonts w:hint="eastAsia" w:ascii="楷体" w:hAnsi="楷体" w:eastAsia="楷体"/>
                <w:sz w:val="24"/>
                <w:szCs w:val="24"/>
                <w:lang w:val="en-US" w:eastAsia="zh-CN"/>
              </w:rPr>
              <w:t>王莉</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hint="eastAsia" w:ascii="楷体" w:hAnsi="楷体" w:eastAsia="楷体"/>
                <w:sz w:val="24"/>
                <w:szCs w:val="24"/>
                <w:lang w:val="en-US" w:eastAsia="zh-CN"/>
              </w:rPr>
              <w:t>2004年</w:t>
            </w:r>
            <w:r>
              <w:rPr>
                <w:rFonts w:hint="eastAsia" w:ascii="楷体" w:hAnsi="楷体" w:eastAsia="楷体"/>
                <w:sz w:val="24"/>
                <w:szCs w:val="24"/>
              </w:rPr>
              <w:t>，法人代表</w:t>
            </w:r>
            <w:r>
              <w:rPr>
                <w:rFonts w:hint="eastAsia" w:ascii="楷体" w:hAnsi="楷体" w:eastAsia="楷体"/>
                <w:sz w:val="24"/>
                <w:szCs w:val="24"/>
                <w:lang w:val="en-US" w:eastAsia="zh-CN"/>
              </w:rPr>
              <w:t>艾少华</w:t>
            </w:r>
            <w:r>
              <w:rPr>
                <w:rFonts w:hint="eastAsia" w:ascii="楷体" w:hAnsi="楷体" w:eastAsia="楷体"/>
                <w:sz w:val="24"/>
                <w:szCs w:val="24"/>
              </w:rPr>
              <w:t>，注册地址：</w:t>
            </w:r>
            <w:bookmarkStart w:id="0" w:name="生产地址"/>
            <w:r>
              <w:rPr>
                <w:rFonts w:hint="eastAsia" w:ascii="楷体" w:hAnsi="楷体" w:eastAsia="楷体" w:cs="楷体"/>
                <w:sz w:val="24"/>
                <w:szCs w:val="24"/>
              </w:rPr>
              <w:t>江西省抚州市迎宾大道1111号</w:t>
            </w:r>
            <w:bookmarkEnd w:id="0"/>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钢结构、网架和铁塔相关工程质量检验、监测和维护保养以及相关产品质量检验。</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查到了企业的营业执照，</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w:t>
            </w:r>
            <w:r>
              <w:rPr>
                <w:rFonts w:hint="eastAsia" w:ascii="楷体" w:hAnsi="楷体" w:eastAsia="楷体"/>
                <w:spacing w:val="20"/>
                <w:sz w:val="24"/>
                <w:szCs w:val="24"/>
                <w:lang w:val="en-US" w:eastAsia="zh-CN"/>
              </w:rPr>
              <w:t>检验检测</w:t>
            </w:r>
            <w:r>
              <w:rPr>
                <w:rFonts w:hint="eastAsia" w:ascii="楷体" w:hAnsi="楷体" w:eastAsia="楷体"/>
                <w:spacing w:val="20"/>
                <w:sz w:val="24"/>
                <w:szCs w:val="24"/>
                <w:lang w:val="de-DE"/>
              </w:rPr>
              <w:t>资质证书有效期至202</w:t>
            </w:r>
            <w:r>
              <w:rPr>
                <w:rFonts w:hint="eastAsia" w:ascii="楷体" w:hAnsi="楷体" w:eastAsia="楷体"/>
                <w:spacing w:val="20"/>
                <w:sz w:val="24"/>
                <w:szCs w:val="24"/>
                <w:lang w:val="en-US" w:eastAsia="zh-CN"/>
              </w:rPr>
              <w:t>2</w:t>
            </w:r>
            <w:r>
              <w:rPr>
                <w:rFonts w:hint="eastAsia" w:ascii="楷体" w:hAnsi="楷体" w:eastAsia="楷体"/>
                <w:spacing w:val="20"/>
                <w:sz w:val="24"/>
                <w:szCs w:val="24"/>
                <w:lang w:val="de-DE"/>
              </w:rPr>
              <w:t>年</w:t>
            </w:r>
            <w:r>
              <w:rPr>
                <w:rFonts w:hint="eastAsia" w:ascii="楷体" w:hAnsi="楷体" w:eastAsia="楷体"/>
                <w:spacing w:val="20"/>
                <w:sz w:val="24"/>
                <w:szCs w:val="24"/>
                <w:lang w:val="en-US" w:eastAsia="zh-CN"/>
              </w:rPr>
              <w:t>1</w:t>
            </w:r>
            <w:r>
              <w:rPr>
                <w:rFonts w:hint="eastAsia" w:ascii="楷体" w:hAnsi="楷体" w:eastAsia="楷体"/>
                <w:spacing w:val="20"/>
                <w:sz w:val="24"/>
                <w:szCs w:val="24"/>
                <w:lang w:val="de-DE"/>
              </w:rPr>
              <w:t>月</w:t>
            </w:r>
            <w:r>
              <w:rPr>
                <w:rFonts w:hint="eastAsia" w:ascii="楷体" w:hAnsi="楷体" w:eastAsia="楷体"/>
                <w:spacing w:val="20"/>
                <w:sz w:val="24"/>
                <w:szCs w:val="24"/>
                <w:lang w:val="en-US" w:eastAsia="zh-CN"/>
              </w:rPr>
              <w:t>14</w:t>
            </w:r>
            <w:r>
              <w:rPr>
                <w:rFonts w:hint="eastAsia" w:ascii="楷体" w:hAnsi="楷体" w:eastAsia="楷体"/>
                <w:spacing w:val="20"/>
                <w:sz w:val="24"/>
                <w:szCs w:val="24"/>
                <w:lang w:val="de-DE"/>
              </w:rPr>
              <w:t>日。</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lang w:val="de-DE"/>
              </w:rPr>
              <w:t>经营范围包括了认证范围内产品。</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王莉</w:t>
            </w:r>
            <w:r>
              <w:rPr>
                <w:rFonts w:hint="eastAsia" w:ascii="楷体" w:hAnsi="楷体" w:eastAsia="楷体"/>
                <w:sz w:val="24"/>
                <w:szCs w:val="24"/>
              </w:rPr>
              <w:t>介绍，公司管理体系运行已满</w:t>
            </w:r>
            <w:r>
              <w:rPr>
                <w:rFonts w:hint="eastAsia" w:ascii="楷体" w:hAnsi="楷体" w:eastAsia="楷体"/>
                <w:sz w:val="24"/>
                <w:szCs w:val="24"/>
                <w:lang w:val="en-US" w:eastAsia="zh-CN"/>
              </w:rPr>
              <w:t>1年多</w:t>
            </w:r>
            <w:r>
              <w:rPr>
                <w:rFonts w:hint="eastAsia" w:ascii="楷体" w:hAnsi="楷体" w:eastAsia="楷体"/>
                <w:sz w:val="24"/>
                <w:szCs w:val="24"/>
              </w:rPr>
              <w:t>。对部门及其职责进行了规定，设有</w:t>
            </w:r>
            <w:r>
              <w:rPr>
                <w:rFonts w:hint="eastAsia" w:ascii="楷体" w:hAnsi="楷体" w:eastAsia="楷体"/>
                <w:sz w:val="24"/>
                <w:szCs w:val="24"/>
                <w:lang w:val="en-US" w:eastAsia="zh-CN"/>
              </w:rPr>
              <w:t>综合科、检验科、办公室</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艾少华</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w:t>
            </w:r>
            <w:r>
              <w:rPr>
                <w:rFonts w:hint="eastAsia" w:ascii="楷体" w:hAnsi="楷体" w:eastAsia="楷体"/>
                <w:sz w:val="24"/>
                <w:szCs w:val="24"/>
                <w:lang w:val="en-US" w:eastAsia="zh-CN"/>
              </w:rPr>
              <w:t>质量</w:t>
            </w:r>
            <w:r>
              <w:rPr>
                <w:rFonts w:hint="eastAsia" w:ascii="楷体" w:hAnsi="楷体" w:eastAsia="楷体"/>
                <w:sz w:val="24"/>
                <w:szCs w:val="24"/>
              </w:rPr>
              <w:t>体系所需的过程得到建立、实施和保持；在全公司范围内促进满足顾客要求意识的形成和提高；就体系有关事宜对外联系。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w:t>
            </w:r>
            <w:r>
              <w:rPr>
                <w:rFonts w:hint="eastAsia" w:ascii="楷体" w:hAnsi="楷体" w:eastAsia="楷体"/>
                <w:sz w:val="24"/>
                <w:szCs w:val="24"/>
                <w:lang w:val="en-US" w:eastAsia="zh-CN"/>
              </w:rPr>
              <w:t>理</w:t>
            </w:r>
            <w:r>
              <w:rPr>
                <w:rFonts w:hint="eastAsia" w:ascii="楷体" w:hAnsi="楷体" w:eastAsia="楷体"/>
                <w:sz w:val="24"/>
                <w:szCs w:val="24"/>
              </w:rPr>
              <w:t>管理体系，对管理体系的运行和保持进行了适当的授权，提供了必需的资源，能履行其管理承诺。</w:t>
            </w:r>
          </w:p>
          <w:p>
            <w:pPr>
              <w:keepNext w:val="0"/>
              <w:keepLines w:val="0"/>
              <w:widowControl w:val="0"/>
              <w:suppressLineNumbers w:val="0"/>
              <w:spacing w:before="0" w:beforeAutospacing="0" w:after="0" w:afterAutospacing="0"/>
              <w:ind w:left="0" w:right="0"/>
              <w:jc w:val="both"/>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hint="eastAsia" w:ascii="楷体" w:hAnsi="楷体" w:eastAsia="楷体"/>
                <w:sz w:val="24"/>
                <w:szCs w:val="24"/>
                <w:lang w:val="en-US" w:eastAsia="zh-CN"/>
              </w:rPr>
              <w:t>6</w:t>
            </w:r>
            <w:r>
              <w:rPr>
                <w:rFonts w:hint="eastAsia" w:ascii="楷体" w:hAnsi="楷体" w:eastAsia="楷体"/>
                <w:sz w:val="24"/>
                <w:szCs w:val="24"/>
              </w:rPr>
              <w:t>月开始运行</w:t>
            </w:r>
            <w:r>
              <w:rPr>
                <w:rFonts w:hint="eastAsia" w:ascii="楷体" w:hAnsi="楷体" w:eastAsia="楷体"/>
                <w:sz w:val="24"/>
                <w:szCs w:val="24"/>
                <w:lang w:val="en-US" w:eastAsia="zh-CN"/>
              </w:rPr>
              <w:t>质量管理</w:t>
            </w:r>
            <w:r>
              <w:rPr>
                <w:rFonts w:hint="eastAsia" w:ascii="楷体" w:hAnsi="楷体" w:eastAsia="楷体"/>
                <w:sz w:val="24"/>
                <w:szCs w:val="24"/>
              </w:rPr>
              <w:t>体系，组织了内审员培训，识别了</w:t>
            </w:r>
            <w:r>
              <w:rPr>
                <w:rFonts w:hint="eastAsia" w:ascii="楷体" w:hAnsi="楷体" w:eastAsia="楷体"/>
                <w:sz w:val="24"/>
                <w:szCs w:val="24"/>
                <w:lang w:val="en-US" w:eastAsia="zh-CN"/>
              </w:rPr>
              <w:t>服务</w:t>
            </w:r>
            <w:r>
              <w:rPr>
                <w:rFonts w:hint="eastAsia" w:ascii="楷体" w:hAnsi="楷体" w:eastAsia="楷体"/>
                <w:sz w:val="24"/>
                <w:szCs w:val="24"/>
              </w:rPr>
              <w:t>的过程及其相互关系，企业提供编号：</w:t>
            </w:r>
            <w:r>
              <w:rPr>
                <w:rFonts w:hint="eastAsia" w:ascii="宋体" w:hAnsi="宋体" w:eastAsia="宋体" w:cs="宋体"/>
                <w:b/>
                <w:bCs w:val="0"/>
                <w:spacing w:val="20"/>
                <w:kern w:val="2"/>
                <w:sz w:val="24"/>
                <w:szCs w:val="24"/>
                <w:lang w:val="en-US" w:eastAsia="zh-CN" w:bidi="ar"/>
              </w:rPr>
              <w:t>JXGJ-HSC-09</w:t>
            </w:r>
            <w:r>
              <w:rPr>
                <w:rFonts w:hint="eastAsia" w:ascii="楷体" w:hAnsi="楷体" w:eastAsia="楷体"/>
                <w:sz w:val="24"/>
                <w:szCs w:val="24"/>
              </w:rPr>
              <w:t>《</w:t>
            </w:r>
            <w:r>
              <w:rPr>
                <w:rFonts w:hint="eastAsia" w:ascii="楷体" w:hAnsi="楷体" w:eastAsia="楷体"/>
                <w:sz w:val="24"/>
                <w:szCs w:val="24"/>
                <w:lang w:val="en-US" w:eastAsia="zh-CN"/>
              </w:rPr>
              <w:t>质量</w:t>
            </w:r>
            <w:r>
              <w:rPr>
                <w:rFonts w:hint="eastAsia" w:ascii="楷体" w:hAnsi="楷体" w:eastAsia="楷体"/>
                <w:sz w:val="24"/>
                <w:szCs w:val="24"/>
              </w:rPr>
              <w:t>手册》，依据</w:t>
            </w:r>
            <w:r>
              <w:rPr>
                <w:rFonts w:ascii="楷体" w:hAnsi="楷体" w:eastAsia="楷体"/>
                <w:sz w:val="24"/>
                <w:szCs w:val="24"/>
              </w:rPr>
              <w:t>GB/T19001-2016</w:t>
            </w:r>
            <w:r>
              <w:rPr>
                <w:rFonts w:hint="eastAsia" w:ascii="楷体" w:hAnsi="楷体" w:eastAsia="楷体"/>
                <w:sz w:val="24"/>
                <w:szCs w:val="24"/>
              </w:rPr>
              <w:t>标准。</w:t>
            </w:r>
            <w:r>
              <w:rPr>
                <w:rFonts w:ascii="楷体" w:hAnsi="楷体" w:eastAsia="楷体"/>
                <w:sz w:val="24"/>
                <w:szCs w:val="24"/>
              </w:rPr>
              <w:t>2019.</w:t>
            </w:r>
            <w:r>
              <w:rPr>
                <w:rFonts w:hint="eastAsia" w:ascii="楷体" w:hAnsi="楷体" w:eastAsia="楷体"/>
                <w:sz w:val="24"/>
                <w:szCs w:val="24"/>
                <w:lang w:val="en-US" w:eastAsia="zh-CN"/>
              </w:rPr>
              <w:t>6</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发布，</w:t>
            </w:r>
            <w:r>
              <w:rPr>
                <w:rFonts w:ascii="楷体" w:hAnsi="楷体" w:eastAsia="楷体"/>
                <w:sz w:val="24"/>
                <w:szCs w:val="24"/>
              </w:rPr>
              <w:t>2019.</w:t>
            </w:r>
            <w:r>
              <w:rPr>
                <w:rFonts w:hint="eastAsia" w:ascii="楷体" w:hAnsi="楷体" w:eastAsia="楷体"/>
                <w:sz w:val="24"/>
                <w:szCs w:val="24"/>
                <w:lang w:val="en-US" w:eastAsia="zh-CN"/>
              </w:rPr>
              <w:t>6</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实施；总经理</w:t>
            </w:r>
            <w:r>
              <w:rPr>
                <w:rFonts w:hint="eastAsia" w:ascii="楷体" w:hAnsi="楷体" w:eastAsia="楷体"/>
                <w:sz w:val="24"/>
                <w:szCs w:val="24"/>
                <w:lang w:val="en-US" w:eastAsia="zh-CN"/>
              </w:rPr>
              <w:t>艾少华</w:t>
            </w:r>
            <w:r>
              <w:rPr>
                <w:rFonts w:hint="eastAsia" w:ascii="楷体" w:hAnsi="楷体" w:eastAsia="楷体"/>
                <w:sz w:val="24"/>
                <w:szCs w:val="24"/>
              </w:rPr>
              <w:t>批准。任命管代：</w:t>
            </w:r>
            <w:r>
              <w:rPr>
                <w:rFonts w:hint="eastAsia" w:ascii="楷体" w:hAnsi="楷体" w:eastAsia="楷体"/>
                <w:sz w:val="24"/>
                <w:szCs w:val="24"/>
                <w:lang w:val="en-US" w:eastAsia="zh-CN"/>
              </w:rPr>
              <w:t>王莉</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6</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w:t>
            </w:r>
            <w:r>
              <w:rPr>
                <w:rFonts w:hint="eastAsia" w:ascii="楷体" w:hAnsi="楷体" w:eastAsia="楷体"/>
                <w:color w:val="000000"/>
                <w:sz w:val="24"/>
                <w:szCs w:val="24"/>
                <w:lang w:val="en-US" w:eastAsia="zh-CN"/>
              </w:rPr>
              <w:t>质量</w:t>
            </w:r>
            <w:r>
              <w:rPr>
                <w:rFonts w:hint="eastAsia" w:ascii="楷体" w:hAnsi="楷体" w:eastAsia="楷体"/>
                <w:color w:val="000000"/>
                <w:sz w:val="24"/>
                <w:szCs w:val="24"/>
              </w:rPr>
              <w:t>手册</w:t>
            </w:r>
            <w:r>
              <w:rPr>
                <w:rFonts w:hint="eastAsia" w:ascii="宋体" w:hAnsi="宋体" w:eastAsia="宋体" w:cs="宋体"/>
                <w:b/>
                <w:bCs w:val="0"/>
                <w:spacing w:val="20"/>
                <w:kern w:val="2"/>
                <w:sz w:val="24"/>
                <w:szCs w:val="24"/>
                <w:lang w:val="en-US" w:eastAsia="zh-CN" w:bidi="ar"/>
              </w:rPr>
              <w:t>JXGJ-HSC-09</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olor w:val="000000"/>
                <w:sz w:val="24"/>
                <w:szCs w:val="24"/>
                <w:lang w:val="en-US" w:eastAsia="zh-CN"/>
              </w:rPr>
              <w:t>艾少华</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楷体" w:hAnsi="楷体" w:eastAsia="楷体"/>
                <w:color w:val="000000"/>
                <w:sz w:val="24"/>
                <w:szCs w:val="24"/>
                <w:lang w:val="en-US" w:eastAsia="zh-CN"/>
              </w:rPr>
              <w:t>服务项目</w:t>
            </w:r>
            <w:r>
              <w:rPr>
                <w:rFonts w:hint="eastAsia" w:ascii="楷体" w:hAnsi="楷体" w:eastAsia="楷体"/>
                <w:color w:val="000000"/>
                <w:sz w:val="24"/>
                <w:szCs w:val="24"/>
              </w:rPr>
              <w:t>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质量管理体系的范围</w:t>
            </w:r>
          </w:p>
        </w:tc>
        <w:tc>
          <w:tcPr>
            <w:tcW w:w="1311" w:type="dxa"/>
            <w:vAlign w:val="center"/>
          </w:tcPr>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Q</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spacing w:line="360" w:lineRule="auto"/>
              <w:rPr>
                <w:rFonts w:hint="eastAsia" w:ascii="楷体" w:hAnsi="楷体" w:eastAsia="楷体" w:cs="楷体"/>
                <w:color w:val="000000"/>
                <w:sz w:val="24"/>
                <w:szCs w:val="24"/>
              </w:rPr>
            </w:pPr>
            <w:bookmarkStart w:id="1" w:name="审核范围"/>
            <w:r>
              <w:rPr>
                <w:rFonts w:hint="eastAsia" w:ascii="楷体" w:hAnsi="楷体" w:eastAsia="楷体" w:cs="楷体"/>
                <w:color w:val="000000"/>
                <w:sz w:val="24"/>
                <w:szCs w:val="24"/>
              </w:rPr>
              <w:t>Q：</w:t>
            </w:r>
            <w:bookmarkEnd w:id="1"/>
            <w:r>
              <w:rPr>
                <w:rFonts w:hint="eastAsia" w:ascii="楷体" w:hAnsi="楷体" w:eastAsia="楷体" w:cs="楷体"/>
                <w:sz w:val="24"/>
                <w:szCs w:val="24"/>
              </w:rPr>
              <w:t>钢结构、网架和铁塔相关工程质量检验、监测和维护保养以及相关产品质量检验。</w:t>
            </w:r>
          </w:p>
          <w:p>
            <w:pPr>
              <w:tabs>
                <w:tab w:val="left" w:pos="540"/>
              </w:tabs>
              <w:spacing w:line="300" w:lineRule="exact"/>
              <w:rPr>
                <w:rFonts w:hint="eastAsia" w:ascii="楷体" w:hAnsi="楷体" w:eastAsia="楷体" w:cs="楷体"/>
                <w:b w:val="0"/>
                <w:bCs/>
                <w:color w:val="000000"/>
                <w:sz w:val="24"/>
                <w:szCs w:val="24"/>
                <w:u w:val="none"/>
              </w:rPr>
            </w:pPr>
            <w:r>
              <w:rPr>
                <w:rFonts w:hint="eastAsia" w:ascii="楷体" w:hAnsi="楷体" w:eastAsia="楷体"/>
                <w:color w:val="000000"/>
                <w:sz w:val="24"/>
                <w:szCs w:val="24"/>
              </w:rPr>
              <w:t>公司按照常规国标和客户要求</w:t>
            </w:r>
            <w:r>
              <w:rPr>
                <w:rFonts w:hint="eastAsia" w:ascii="楷体" w:hAnsi="楷体" w:eastAsia="楷体"/>
                <w:color w:val="000000"/>
                <w:sz w:val="24"/>
                <w:szCs w:val="24"/>
                <w:lang w:val="en-US" w:eastAsia="zh-CN"/>
              </w:rPr>
              <w:t>检测，</w:t>
            </w:r>
            <w:r>
              <w:rPr>
                <w:rFonts w:hint="eastAsia" w:ascii="楷体" w:hAnsi="楷体" w:eastAsia="楷体"/>
                <w:color w:val="000000"/>
                <w:sz w:val="24"/>
                <w:szCs w:val="24"/>
              </w:rPr>
              <w:t>无需再进行设计开发，因此</w:t>
            </w:r>
            <w:r>
              <w:rPr>
                <w:rFonts w:ascii="楷体" w:hAnsi="楷体" w:eastAsia="楷体"/>
                <w:color w:val="000000"/>
                <w:sz w:val="24"/>
                <w:szCs w:val="24"/>
              </w:rPr>
              <w:t>Q8.3</w:t>
            </w:r>
            <w:r>
              <w:rPr>
                <w:rFonts w:hint="eastAsia" w:ascii="楷体" w:hAnsi="楷体" w:eastAsia="楷体"/>
                <w:color w:val="000000"/>
                <w:sz w:val="24"/>
                <w:szCs w:val="24"/>
              </w:rPr>
              <w:t>条款不适用</w:t>
            </w:r>
            <w:r>
              <w:rPr>
                <w:rFonts w:hint="eastAsia" w:ascii="楷体" w:hAnsi="楷体" w:eastAsia="楷体"/>
                <w:color w:val="000000"/>
                <w:sz w:val="24"/>
                <w:szCs w:val="24"/>
                <w:lang w:eastAsia="zh-CN"/>
              </w:rPr>
              <w:t>，</w:t>
            </w:r>
            <w:r>
              <w:rPr>
                <w:rFonts w:hint="eastAsia" w:ascii="楷体" w:hAnsi="楷体" w:eastAsia="楷体"/>
                <w:color w:val="000000"/>
                <w:sz w:val="24"/>
                <w:szCs w:val="24"/>
                <w:lang w:val="en-US" w:eastAsia="zh-CN"/>
              </w:rPr>
              <w:t>且不影响满足顾客要求和法律法规要求的责任。</w:t>
            </w:r>
          </w:p>
          <w:p>
            <w:pPr>
              <w:spacing w:line="360" w:lineRule="auto"/>
              <w:ind w:firstLine="480" w:firstLineChars="200"/>
              <w:rPr>
                <w:rFonts w:hint="default" w:ascii="楷体" w:hAnsi="楷体" w:eastAsia="楷体"/>
                <w:color w:val="000000"/>
                <w:sz w:val="24"/>
                <w:szCs w:val="24"/>
                <w:lang w:val="en-US" w:eastAsia="zh-CN"/>
              </w:rPr>
            </w:pP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标准的要求识别了质量管理所需的过程及相互作用，识别了质量管理体系涉及的各个过程：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hint="eastAsia"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公司通过绩效评价、内部审核、管理评审等以期对质量管理体系得到改进。</w:t>
            </w:r>
          </w:p>
          <w:p>
            <w:pPr>
              <w:spacing w:line="360" w:lineRule="auto"/>
              <w:ind w:firstLine="480" w:firstLineChars="200"/>
              <w:rPr>
                <w:rFonts w:hint="eastAsia" w:ascii="楷体" w:hAnsi="楷体" w:eastAsia="楷体"/>
                <w:sz w:val="24"/>
                <w:szCs w:val="24"/>
              </w:rPr>
            </w:pPr>
            <w:r>
              <w:rPr>
                <w:rFonts w:hint="eastAsia" w:ascii="楷体" w:hAnsi="楷体" w:eastAsia="楷体"/>
                <w:color w:val="000000"/>
                <w:sz w:val="24"/>
                <w:szCs w:val="24"/>
                <w:lang w:val="en-US" w:eastAsia="zh-CN"/>
              </w:rPr>
              <w:t>经识别</w:t>
            </w:r>
            <w:r>
              <w:rPr>
                <w:rFonts w:hint="eastAsia" w:ascii="楷体" w:hAnsi="楷体" w:eastAsia="楷体" w:cs="楷体"/>
                <w:b w:val="0"/>
                <w:bCs/>
                <w:color w:val="000000"/>
                <w:sz w:val="24"/>
                <w:szCs w:val="24"/>
              </w:rPr>
              <w:t>其中关键过程</w:t>
            </w:r>
            <w:r>
              <w:rPr>
                <w:rFonts w:hint="eastAsia" w:ascii="楷体" w:hAnsi="楷体" w:eastAsia="楷体" w:cs="楷体"/>
                <w:b w:val="0"/>
                <w:bCs/>
                <w:color w:val="000000"/>
                <w:sz w:val="24"/>
                <w:szCs w:val="24"/>
                <w:u w:val="none"/>
              </w:rPr>
              <w:t xml:space="preserve">有  </w:t>
            </w:r>
            <w:r>
              <w:rPr>
                <w:rFonts w:hint="eastAsia" w:ascii="楷体" w:hAnsi="楷体" w:eastAsia="楷体" w:cs="楷体"/>
                <w:b w:val="0"/>
                <w:bCs/>
                <w:color w:val="000000"/>
                <w:sz w:val="24"/>
                <w:szCs w:val="24"/>
                <w:u w:val="none"/>
                <w:lang w:val="en-US" w:eastAsia="zh-CN"/>
              </w:rPr>
              <w:t>样品检测</w:t>
            </w:r>
            <w:r>
              <w:rPr>
                <w:rFonts w:hint="eastAsia" w:ascii="楷体" w:hAnsi="楷体" w:eastAsia="楷体" w:cs="楷体"/>
                <w:b w:val="0"/>
                <w:bCs/>
                <w:color w:val="000000"/>
                <w:sz w:val="24"/>
                <w:szCs w:val="24"/>
                <w:u w:val="none"/>
              </w:rPr>
              <w:t>过程</w:t>
            </w:r>
            <w:r>
              <w:rPr>
                <w:rFonts w:hint="eastAsia" w:ascii="楷体" w:hAnsi="楷体" w:eastAsia="楷体" w:cs="楷体"/>
                <w:b w:val="0"/>
                <w:bCs/>
                <w:color w:val="000000"/>
                <w:sz w:val="24"/>
                <w:szCs w:val="24"/>
                <w:u w:val="none"/>
                <w:lang w:val="en-US" w:eastAsia="zh-CN"/>
              </w:rPr>
              <w:t xml:space="preserve">    </w:t>
            </w:r>
            <w:r>
              <w:rPr>
                <w:rFonts w:hint="eastAsia" w:ascii="楷体" w:hAnsi="楷体" w:eastAsia="楷体" w:cs="楷体"/>
                <w:b w:val="0"/>
                <w:bCs/>
                <w:color w:val="000000"/>
                <w:sz w:val="24"/>
                <w:szCs w:val="24"/>
                <w:u w:val="none"/>
              </w:rPr>
              <w:t>需要确认过程 ：</w:t>
            </w:r>
            <w:r>
              <w:rPr>
                <w:rFonts w:hint="eastAsia" w:ascii="楷体" w:hAnsi="楷体" w:eastAsia="楷体" w:cs="楷体"/>
                <w:b w:val="0"/>
                <w:bCs/>
                <w:color w:val="000000"/>
                <w:sz w:val="24"/>
                <w:szCs w:val="24"/>
                <w:u w:val="none"/>
                <w:lang w:val="en-US" w:eastAsia="zh-CN"/>
              </w:rPr>
              <w:t>审核签字</w:t>
            </w:r>
            <w:r>
              <w:rPr>
                <w:rFonts w:hint="eastAsia" w:ascii="楷体" w:hAnsi="楷体" w:eastAsia="楷体" w:cs="楷体"/>
                <w:b w:val="0"/>
                <w:bCs/>
                <w:color w:val="000000"/>
                <w:sz w:val="24"/>
                <w:szCs w:val="24"/>
                <w:u w:val="none"/>
              </w:rPr>
              <w:t>过程</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管理体系，编制了质量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企业已经制定质量、环境、安全方针，具体包含在《管理手册》，公司的质量方针是：</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科学、公正、廉洁、优质、高效</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w:t>
            </w:r>
            <w:r>
              <w:rPr>
                <w:rFonts w:hint="eastAsia" w:ascii="楷体" w:hAnsi="楷体" w:eastAsia="楷体"/>
                <w:sz w:val="24"/>
                <w:szCs w:val="24"/>
                <w:lang w:val="en-US" w:eastAsia="zh-CN"/>
              </w:rPr>
              <w:t>艾少华，</w:t>
            </w:r>
            <w:r>
              <w:rPr>
                <w:rFonts w:hint="eastAsia" w:ascii="楷体" w:hAnsi="楷体" w:eastAsia="楷体"/>
                <w:sz w:val="24"/>
                <w:szCs w:val="24"/>
              </w:rPr>
              <w:t>管代</w:t>
            </w:r>
            <w:r>
              <w:rPr>
                <w:rFonts w:ascii="楷体" w:hAnsi="楷体" w:eastAsia="楷体"/>
                <w:sz w:val="24"/>
                <w:szCs w:val="24"/>
              </w:rPr>
              <w:t>:</w:t>
            </w:r>
            <w:r>
              <w:rPr>
                <w:rFonts w:hint="eastAsia" w:ascii="楷体" w:hAnsi="楷体" w:eastAsia="楷体"/>
                <w:sz w:val="24"/>
                <w:szCs w:val="24"/>
                <w:lang w:val="en-US" w:eastAsia="zh-CN"/>
              </w:rPr>
              <w:t>王莉</w:t>
            </w:r>
            <w:r>
              <w:rPr>
                <w:rFonts w:hint="eastAsia" w:ascii="楷体" w:hAnsi="楷体" w:eastAsia="楷体"/>
                <w:sz w:val="24"/>
                <w:szCs w:val="24"/>
              </w:rPr>
              <w:t>，按照标准要求制订的方针，并介绍了方针的含义，对体系知识的学习还需加强。管理评审对质量方针的适宜性作了评审，判定适宜，适合公司的发展需求。质量方针符合标准要求。</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质量目标：</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客户满意度达到99%，</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客户的抱怨处理率达到100%。</w:t>
            </w:r>
          </w:p>
          <w:p>
            <w:pPr>
              <w:widowControl/>
              <w:autoSpaceDE w:val="0"/>
              <w:autoSpaceDN w:val="0"/>
              <w:adjustRightInd w:val="0"/>
              <w:spacing w:before="76"/>
              <w:ind w:firstLine="480" w:firstLineChars="200"/>
              <w:jc w:val="left"/>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报告合格率达到96%以上，</w:t>
            </w:r>
          </w:p>
          <w:p>
            <w:pPr>
              <w:widowControl/>
              <w:autoSpaceDE w:val="0"/>
              <w:autoSpaceDN w:val="0"/>
              <w:adjustRightInd w:val="0"/>
              <w:spacing w:before="76"/>
              <w:ind w:firstLine="480" w:firstLineChars="200"/>
              <w:jc w:val="left"/>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重大检验事故控制为零。</w:t>
            </w:r>
          </w:p>
          <w:p>
            <w:pPr>
              <w:spacing w:line="220" w:lineRule="atLeast"/>
              <w:ind w:firstLine="480" w:firstLineChars="200"/>
              <w:jc w:val="left"/>
              <w:rPr>
                <w:rFonts w:hint="eastAsia" w:ascii="楷体" w:hAnsi="楷体" w:eastAsia="楷体"/>
                <w:color w:val="000000"/>
                <w:sz w:val="24"/>
                <w:szCs w:val="24"/>
                <w:lang w:val="en-US" w:eastAsia="zh-CN"/>
              </w:rPr>
            </w:pPr>
            <w:r>
              <w:rPr>
                <w:rFonts w:hint="eastAsia" w:ascii="楷体" w:hAnsi="楷体" w:eastAsia="楷体"/>
                <w:sz w:val="24"/>
                <w:szCs w:val="24"/>
              </w:rPr>
              <w:t>组织</w:t>
            </w:r>
            <w:r>
              <w:rPr>
                <w:rFonts w:hint="eastAsia" w:ascii="楷体" w:hAnsi="楷体" w:eastAsia="楷体"/>
                <w:color w:val="000000"/>
                <w:sz w:val="24"/>
                <w:szCs w:val="24"/>
              </w:rPr>
              <w:t>对公司质量目标、指标予以分解，并在相关职能层次部门建立分目标，查见《质量目标分解考核表》，</w:t>
            </w:r>
            <w:r>
              <w:rPr>
                <w:rFonts w:hint="eastAsia"/>
                <w:color w:val="auto"/>
                <w:sz w:val="24"/>
                <w:szCs w:val="24"/>
              </w:rPr>
              <w:t xml:space="preserve"> 时间</w:t>
            </w:r>
            <w:r>
              <w:rPr>
                <w:color w:val="auto"/>
                <w:sz w:val="24"/>
                <w:szCs w:val="24"/>
              </w:rPr>
              <w:t>：</w:t>
            </w:r>
            <w:r>
              <w:rPr>
                <w:rFonts w:hint="eastAsia"/>
                <w:color w:val="auto"/>
                <w:sz w:val="24"/>
                <w:szCs w:val="24"/>
                <w:lang w:val="en-US" w:eastAsia="zh-CN"/>
              </w:rPr>
              <w:t>2020.12.8</w:t>
            </w:r>
            <w:r>
              <w:rPr>
                <w:rFonts w:hint="eastAsia" w:ascii="楷体" w:hAnsi="楷体" w:eastAsia="楷体"/>
                <w:color w:val="000000"/>
                <w:sz w:val="24"/>
                <w:szCs w:val="24"/>
              </w:rPr>
              <w:t>完成情况：</w:t>
            </w:r>
            <w:r>
              <w:rPr>
                <w:rFonts w:hint="eastAsia" w:ascii="楷体" w:hAnsi="楷体" w:eastAsia="楷体"/>
                <w:color w:val="000000"/>
                <w:sz w:val="24"/>
                <w:szCs w:val="24"/>
                <w:lang w:val="en-US" w:eastAsia="zh-CN"/>
              </w:rPr>
              <w:t>均已完成。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938"/>
              <w:gridCol w:w="1028"/>
              <w:gridCol w:w="1134"/>
              <w:gridCol w:w="1012"/>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54" w:type="dxa"/>
                  <w:vMerge w:val="restart"/>
                  <w:shd w:val="clear" w:color="auto" w:fill="auto"/>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部门</w:t>
                  </w:r>
                </w:p>
              </w:tc>
              <w:tc>
                <w:tcPr>
                  <w:tcW w:w="3938" w:type="dxa"/>
                  <w:vMerge w:val="restart"/>
                  <w:shd w:val="clear" w:color="auto" w:fill="auto"/>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目标</w:t>
                  </w:r>
                  <w:r>
                    <w:rPr>
                      <w:rFonts w:ascii="宋体" w:hAnsi="宋体" w:cs="宋体"/>
                      <w:sz w:val="24"/>
                      <w:szCs w:val="24"/>
                    </w:rPr>
                    <w:t>内容</w:t>
                  </w:r>
                </w:p>
              </w:tc>
              <w:tc>
                <w:tcPr>
                  <w:tcW w:w="3174" w:type="dxa"/>
                  <w:gridSpan w:val="3"/>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考核</w:t>
                  </w:r>
                  <w:r>
                    <w:rPr>
                      <w:rFonts w:ascii="宋体" w:hAnsi="宋体" w:cs="宋体"/>
                      <w:sz w:val="24"/>
                      <w:szCs w:val="24"/>
                    </w:rPr>
                    <w:t>结果</w:t>
                  </w:r>
                </w:p>
              </w:tc>
              <w:tc>
                <w:tcPr>
                  <w:tcW w:w="456"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center"/>
                </w:tcPr>
                <w:p>
                  <w:pPr>
                    <w:spacing w:line="360" w:lineRule="auto"/>
                    <w:jc w:val="center"/>
                    <w:rPr>
                      <w:rFonts w:hint="eastAsia" w:ascii="宋体" w:hAnsi="宋体" w:cs="宋体"/>
                      <w:sz w:val="24"/>
                      <w:szCs w:val="24"/>
                    </w:rPr>
                  </w:pPr>
                </w:p>
              </w:tc>
              <w:tc>
                <w:tcPr>
                  <w:tcW w:w="3938" w:type="dxa"/>
                  <w:vMerge w:val="continue"/>
                  <w:shd w:val="clear" w:color="auto" w:fill="auto"/>
                  <w:noWrap w:val="0"/>
                  <w:vAlign w:val="top"/>
                </w:tcPr>
                <w:p>
                  <w:pPr>
                    <w:spacing w:line="360" w:lineRule="auto"/>
                    <w:jc w:val="center"/>
                    <w:rPr>
                      <w:rFonts w:hint="eastAsia" w:ascii="宋体" w:hAnsi="宋体" w:cs="宋体"/>
                      <w:sz w:val="24"/>
                      <w:szCs w:val="24"/>
                    </w:rPr>
                  </w:pPr>
                </w:p>
              </w:tc>
              <w:tc>
                <w:tcPr>
                  <w:tcW w:w="1028" w:type="dxa"/>
                  <w:shd w:val="clear" w:color="auto" w:fill="auto"/>
                  <w:noWrap w:val="0"/>
                  <w:vAlign w:val="top"/>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rPr>
                    <w:t>20</w:t>
                  </w:r>
                  <w:r>
                    <w:rPr>
                      <w:rFonts w:hint="eastAsia" w:ascii="宋体" w:hAnsi="宋体" w:cs="宋体"/>
                      <w:sz w:val="24"/>
                      <w:szCs w:val="24"/>
                      <w:lang w:val="en-US" w:eastAsia="zh-CN"/>
                    </w:rPr>
                    <w:t>20-6</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20</w:t>
                  </w:r>
                  <w:r>
                    <w:rPr>
                      <w:rFonts w:hint="eastAsia" w:ascii="宋体" w:hAnsi="宋体" w:cs="宋体"/>
                      <w:sz w:val="24"/>
                      <w:szCs w:val="24"/>
                      <w:lang w:val="en-US" w:eastAsia="zh-CN"/>
                    </w:rPr>
                    <w:t>20</w:t>
                  </w:r>
                  <w:r>
                    <w:rPr>
                      <w:rFonts w:ascii="宋体" w:hAnsi="宋体" w:cs="宋体"/>
                      <w:sz w:val="24"/>
                      <w:szCs w:val="24"/>
                    </w:rPr>
                    <w:t>-12</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小</w:t>
                  </w:r>
                  <w:r>
                    <w:rPr>
                      <w:rFonts w:ascii="宋体" w:hAnsi="宋体" w:cs="宋体"/>
                      <w:sz w:val="24"/>
                      <w:szCs w:val="24"/>
                    </w:rPr>
                    <w:t>计</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restart"/>
                  <w:shd w:val="clear" w:color="auto" w:fill="auto"/>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办</w:t>
                  </w:r>
                  <w:r>
                    <w:rPr>
                      <w:rFonts w:ascii="宋体" w:hAnsi="宋体" w:cs="宋体"/>
                      <w:sz w:val="24"/>
                      <w:szCs w:val="24"/>
                    </w:rPr>
                    <w:t>公室</w:t>
                  </w: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1.人</w:t>
                  </w:r>
                  <w:r>
                    <w:rPr>
                      <w:rFonts w:ascii="宋体" w:hAnsi="宋体" w:cs="宋体"/>
                      <w:sz w:val="24"/>
                      <w:szCs w:val="24"/>
                    </w:rPr>
                    <w:t>员招聘</w:t>
                  </w:r>
                  <w:r>
                    <w:rPr>
                      <w:rFonts w:hint="eastAsia" w:ascii="宋体" w:hAnsi="宋体" w:cs="宋体"/>
                      <w:sz w:val="24"/>
                      <w:szCs w:val="24"/>
                    </w:rPr>
                    <w:t>计划</w:t>
                  </w:r>
                  <w:r>
                    <w:rPr>
                      <w:rFonts w:ascii="宋体" w:hAnsi="宋体" w:cs="宋体"/>
                      <w:sz w:val="24"/>
                      <w:szCs w:val="24"/>
                    </w:rPr>
                    <w:t>执行率</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95</w:t>
                  </w:r>
                  <w:r>
                    <w:rPr>
                      <w:rFonts w:ascii="宋体" w:hAnsi="宋体" w:cs="宋体"/>
                      <w:sz w:val="24"/>
                      <w:szCs w:val="24"/>
                    </w:rPr>
                    <w:t>%</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95</w:t>
                  </w:r>
                  <w:r>
                    <w:rPr>
                      <w:rFonts w:ascii="宋体" w:hAnsi="宋体" w:cs="宋体"/>
                      <w:sz w:val="24"/>
                      <w:szCs w:val="24"/>
                    </w:rPr>
                    <w:t>%</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95</w:t>
                  </w:r>
                  <w:r>
                    <w:rPr>
                      <w:rFonts w:ascii="宋体" w:hAnsi="宋体" w:cs="宋体"/>
                      <w:sz w:val="24"/>
                      <w:szCs w:val="24"/>
                    </w:rPr>
                    <w:t>%</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center"/>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2.</w:t>
                  </w:r>
                  <w:r>
                    <w:rPr>
                      <w:rFonts w:hint="eastAsia" w:hAnsi="宋体"/>
                      <w:color w:val="000000"/>
                      <w:spacing w:val="10"/>
                      <w:sz w:val="24"/>
                      <w:szCs w:val="24"/>
                    </w:rPr>
                    <w:t>安全事故</w:t>
                  </w:r>
                  <w:r>
                    <w:rPr>
                      <w:rFonts w:hAnsi="宋体"/>
                      <w:color w:val="000000"/>
                      <w:spacing w:val="10"/>
                      <w:sz w:val="24"/>
                      <w:szCs w:val="24"/>
                    </w:rPr>
                    <w:t>为</w:t>
                  </w:r>
                  <w:r>
                    <w:rPr>
                      <w:rFonts w:hint="eastAsia" w:hAnsi="宋体"/>
                      <w:color w:val="000000"/>
                      <w:spacing w:val="10"/>
                      <w:sz w:val="24"/>
                      <w:szCs w:val="24"/>
                    </w:rPr>
                    <w:t>0</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0</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0</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0</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center"/>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3.</w:t>
                  </w:r>
                  <w:r>
                    <w:rPr>
                      <w:rFonts w:hAnsi="宋体"/>
                      <w:color w:val="000000"/>
                      <w:spacing w:val="10"/>
                      <w:sz w:val="24"/>
                      <w:szCs w:val="24"/>
                    </w:rPr>
                    <w:t>认真执行财务制度</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正</w:t>
                  </w:r>
                  <w:r>
                    <w:rPr>
                      <w:rFonts w:ascii="宋体" w:hAnsi="宋体" w:cs="宋体"/>
                      <w:sz w:val="24"/>
                      <w:szCs w:val="24"/>
                    </w:rPr>
                    <w:t>常</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正</w:t>
                  </w:r>
                  <w:r>
                    <w:rPr>
                      <w:rFonts w:ascii="宋体" w:hAnsi="宋体" w:cs="宋体"/>
                      <w:sz w:val="24"/>
                      <w:szCs w:val="24"/>
                    </w:rPr>
                    <w:t>常</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正</w:t>
                  </w:r>
                  <w:r>
                    <w:rPr>
                      <w:rFonts w:ascii="宋体" w:hAnsi="宋体" w:cs="宋体"/>
                      <w:sz w:val="24"/>
                      <w:szCs w:val="24"/>
                    </w:rPr>
                    <w:t>常</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restart"/>
                  <w:shd w:val="clear" w:color="auto" w:fill="auto"/>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综合</w:t>
                  </w:r>
                  <w:r>
                    <w:rPr>
                      <w:rFonts w:ascii="宋体" w:hAnsi="宋体" w:cs="宋体"/>
                      <w:sz w:val="24"/>
                      <w:szCs w:val="24"/>
                    </w:rPr>
                    <w:t>科</w:t>
                  </w: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1. 客户满意度达到≥99%</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99</w:t>
                  </w:r>
                  <w:r>
                    <w:rPr>
                      <w:rFonts w:ascii="宋体" w:hAnsi="宋体" w:cs="宋体"/>
                      <w:sz w:val="24"/>
                      <w:szCs w:val="24"/>
                    </w:rPr>
                    <w:t>%</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99</w:t>
                  </w:r>
                  <w:r>
                    <w:rPr>
                      <w:rFonts w:ascii="宋体" w:hAnsi="宋体" w:cs="宋体"/>
                      <w:sz w:val="24"/>
                      <w:szCs w:val="24"/>
                    </w:rPr>
                    <w:t>%</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99</w:t>
                  </w:r>
                  <w:r>
                    <w:rPr>
                      <w:rFonts w:ascii="宋体" w:hAnsi="宋体" w:cs="宋体"/>
                      <w:sz w:val="24"/>
                      <w:szCs w:val="24"/>
                    </w:rPr>
                    <w:t>%</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center"/>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2. 客户的抱怨处理率达到100%</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center"/>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.人</w:t>
                  </w:r>
                  <w:r>
                    <w:rPr>
                      <w:rFonts w:ascii="宋体" w:hAnsi="宋体" w:cs="宋体"/>
                      <w:sz w:val="24"/>
                      <w:szCs w:val="24"/>
                    </w:rPr>
                    <w:t>员培训计划执行率</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95</w:t>
                  </w:r>
                  <w:r>
                    <w:rPr>
                      <w:rFonts w:ascii="宋体" w:hAnsi="宋体" w:cs="宋体"/>
                      <w:sz w:val="24"/>
                      <w:szCs w:val="24"/>
                    </w:rPr>
                    <w:t>%</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95</w:t>
                  </w:r>
                  <w:r>
                    <w:rPr>
                      <w:rFonts w:ascii="宋体" w:hAnsi="宋体" w:cs="宋体"/>
                      <w:sz w:val="24"/>
                      <w:szCs w:val="24"/>
                    </w:rPr>
                    <w:t>%</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95</w:t>
                  </w:r>
                  <w:r>
                    <w:rPr>
                      <w:rFonts w:ascii="宋体" w:hAnsi="宋体" w:cs="宋体"/>
                      <w:sz w:val="24"/>
                      <w:szCs w:val="24"/>
                    </w:rPr>
                    <w:t>%</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center"/>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4.设备</w:t>
                  </w:r>
                  <w:r>
                    <w:rPr>
                      <w:rFonts w:ascii="宋体" w:hAnsi="宋体" w:cs="宋体"/>
                      <w:sz w:val="24"/>
                      <w:szCs w:val="24"/>
                    </w:rPr>
                    <w:t>采购计划执行率</w:t>
                  </w:r>
                  <w:r>
                    <w:rPr>
                      <w:rFonts w:hint="eastAsia" w:ascii="宋体" w:hAnsi="宋体" w:cs="宋体"/>
                      <w:sz w:val="24"/>
                      <w:szCs w:val="24"/>
                    </w:rPr>
                    <w:t>达到100%</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center"/>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5.样品分</w:t>
                  </w:r>
                  <w:r>
                    <w:rPr>
                      <w:rFonts w:ascii="宋体" w:hAnsi="宋体" w:cs="宋体"/>
                      <w:sz w:val="24"/>
                      <w:szCs w:val="24"/>
                    </w:rPr>
                    <w:t>类保管</w:t>
                  </w:r>
                  <w:r>
                    <w:rPr>
                      <w:rFonts w:hint="eastAsia" w:ascii="宋体" w:hAnsi="宋体" w:cs="宋体"/>
                      <w:sz w:val="24"/>
                      <w:szCs w:val="24"/>
                    </w:rPr>
                    <w:t>，</w:t>
                  </w:r>
                  <w:r>
                    <w:rPr>
                      <w:rFonts w:ascii="宋体" w:hAnsi="宋体" w:cs="宋体"/>
                      <w:sz w:val="24"/>
                      <w:szCs w:val="24"/>
                    </w:rPr>
                    <w:t>检查合格率</w:t>
                  </w:r>
                  <w:r>
                    <w:rPr>
                      <w:rFonts w:hint="eastAsia" w:ascii="宋体" w:hAnsi="宋体" w:cs="宋体"/>
                      <w:sz w:val="24"/>
                      <w:szCs w:val="24"/>
                    </w:rPr>
                    <w:t>100</w:t>
                  </w:r>
                  <w:r>
                    <w:rPr>
                      <w:rFonts w:ascii="宋体" w:hAnsi="宋体" w:cs="宋体"/>
                      <w:sz w:val="24"/>
                      <w:szCs w:val="24"/>
                    </w:rPr>
                    <w:t>%</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center"/>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6.检验</w:t>
                  </w:r>
                  <w:r>
                    <w:rPr>
                      <w:rFonts w:ascii="宋体" w:hAnsi="宋体" w:cs="宋体"/>
                      <w:sz w:val="24"/>
                      <w:szCs w:val="24"/>
                    </w:rPr>
                    <w:t>报告妥善</w:t>
                  </w:r>
                  <w:r>
                    <w:rPr>
                      <w:rFonts w:hint="eastAsia" w:ascii="宋体" w:hAnsi="宋体" w:cs="宋体"/>
                      <w:sz w:val="24"/>
                      <w:szCs w:val="24"/>
                    </w:rPr>
                    <w:t>储存</w:t>
                  </w:r>
                  <w:r>
                    <w:rPr>
                      <w:rFonts w:ascii="宋体" w:hAnsi="宋体" w:cs="宋体"/>
                      <w:sz w:val="24"/>
                      <w:szCs w:val="24"/>
                    </w:rPr>
                    <w:t>，检查合格率</w:t>
                  </w:r>
                  <w:r>
                    <w:rPr>
                      <w:rFonts w:hint="eastAsia" w:ascii="宋体" w:hAnsi="宋体" w:cs="宋体"/>
                      <w:sz w:val="24"/>
                      <w:szCs w:val="24"/>
                    </w:rPr>
                    <w:t>100</w:t>
                  </w:r>
                  <w:r>
                    <w:rPr>
                      <w:rFonts w:ascii="宋体" w:hAnsi="宋体" w:cs="宋体"/>
                      <w:sz w:val="24"/>
                      <w:szCs w:val="24"/>
                    </w:rPr>
                    <w:t>%</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100%</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restart"/>
                  <w:shd w:val="clear" w:color="auto" w:fill="auto"/>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检验</w:t>
                  </w:r>
                  <w:r>
                    <w:rPr>
                      <w:rFonts w:ascii="宋体" w:hAnsi="宋体" w:cs="宋体"/>
                      <w:sz w:val="24"/>
                      <w:szCs w:val="24"/>
                    </w:rPr>
                    <w:t>科</w:t>
                  </w: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1. 报告合格率达到96%以上</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98</w:t>
                  </w:r>
                  <w:r>
                    <w:rPr>
                      <w:rFonts w:ascii="宋体" w:hAnsi="宋体" w:cs="宋体"/>
                      <w:sz w:val="24"/>
                      <w:szCs w:val="24"/>
                    </w:rPr>
                    <w:t>%</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98</w:t>
                  </w:r>
                  <w:r>
                    <w:rPr>
                      <w:rFonts w:ascii="宋体" w:hAnsi="宋体" w:cs="宋体"/>
                      <w:sz w:val="24"/>
                      <w:szCs w:val="24"/>
                    </w:rPr>
                    <w:t>%</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98</w:t>
                  </w:r>
                  <w:r>
                    <w:rPr>
                      <w:rFonts w:ascii="宋体" w:hAnsi="宋体" w:cs="宋体"/>
                      <w:sz w:val="24"/>
                      <w:szCs w:val="24"/>
                    </w:rPr>
                    <w:t>%</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top"/>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2. 重大检验事故控制为零</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0</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0</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0</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Merge w:val="continue"/>
                  <w:shd w:val="clear" w:color="auto" w:fill="auto"/>
                  <w:noWrap w:val="0"/>
                  <w:vAlign w:val="top"/>
                </w:tcPr>
                <w:p>
                  <w:pPr>
                    <w:spacing w:line="360" w:lineRule="auto"/>
                    <w:jc w:val="center"/>
                    <w:rPr>
                      <w:rFonts w:hint="eastAsia" w:ascii="宋体" w:hAnsi="宋体" w:cs="宋体"/>
                      <w:sz w:val="24"/>
                      <w:szCs w:val="24"/>
                    </w:rPr>
                  </w:pPr>
                </w:p>
              </w:tc>
              <w:tc>
                <w:tcPr>
                  <w:tcW w:w="3938" w:type="dxa"/>
                  <w:shd w:val="clear" w:color="auto" w:fill="auto"/>
                  <w:noWrap w:val="0"/>
                  <w:vAlign w:val="top"/>
                </w:tcPr>
                <w:p>
                  <w:pPr>
                    <w:spacing w:line="360" w:lineRule="auto"/>
                    <w:jc w:val="left"/>
                    <w:rPr>
                      <w:rFonts w:hint="eastAsia" w:ascii="宋体" w:hAnsi="宋体" w:cs="宋体"/>
                      <w:sz w:val="24"/>
                      <w:szCs w:val="24"/>
                    </w:rPr>
                  </w:pPr>
                  <w:r>
                    <w:rPr>
                      <w:rFonts w:hint="eastAsia" w:ascii="宋体" w:hAnsi="宋体" w:cs="宋体"/>
                      <w:sz w:val="24"/>
                      <w:szCs w:val="24"/>
                    </w:rPr>
                    <w:t>3.遵守</w:t>
                  </w:r>
                  <w:r>
                    <w:rPr>
                      <w:rFonts w:ascii="宋体" w:hAnsi="宋体" w:cs="宋体"/>
                      <w:sz w:val="24"/>
                      <w:szCs w:val="24"/>
                    </w:rPr>
                    <w:t>检验时间承诺</w:t>
                  </w:r>
                </w:p>
              </w:tc>
              <w:tc>
                <w:tcPr>
                  <w:tcW w:w="1028"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无</w:t>
                  </w:r>
                  <w:r>
                    <w:rPr>
                      <w:rFonts w:ascii="宋体" w:hAnsi="宋体" w:cs="宋体"/>
                      <w:sz w:val="24"/>
                      <w:szCs w:val="24"/>
                    </w:rPr>
                    <w:t>超时</w:t>
                  </w:r>
                </w:p>
              </w:tc>
              <w:tc>
                <w:tcPr>
                  <w:tcW w:w="1134"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无</w:t>
                  </w:r>
                  <w:r>
                    <w:rPr>
                      <w:rFonts w:ascii="宋体" w:hAnsi="宋体" w:cs="宋体"/>
                      <w:sz w:val="24"/>
                      <w:szCs w:val="24"/>
                    </w:rPr>
                    <w:t>超时</w:t>
                  </w:r>
                </w:p>
              </w:tc>
              <w:tc>
                <w:tcPr>
                  <w:tcW w:w="1012" w:type="dxa"/>
                  <w:shd w:val="clear" w:color="auto" w:fill="auto"/>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无</w:t>
                  </w:r>
                  <w:r>
                    <w:rPr>
                      <w:rFonts w:ascii="宋体" w:hAnsi="宋体" w:cs="宋体"/>
                      <w:sz w:val="24"/>
                      <w:szCs w:val="24"/>
                    </w:rPr>
                    <w:t>超时</w:t>
                  </w:r>
                </w:p>
              </w:tc>
              <w:tc>
                <w:tcPr>
                  <w:tcW w:w="456" w:type="dxa"/>
                  <w:shd w:val="clear" w:color="auto" w:fill="auto"/>
                  <w:noWrap w:val="0"/>
                  <w:vAlign w:val="top"/>
                </w:tcPr>
                <w:p>
                  <w:pPr>
                    <w:spacing w:line="360" w:lineRule="auto"/>
                    <w:jc w:val="center"/>
                    <w:rPr>
                      <w:rFonts w:hint="eastAsia" w:ascii="宋体" w:hAnsi="宋体" w:cs="宋体"/>
                      <w:sz w:val="24"/>
                      <w:szCs w:val="24"/>
                    </w:rPr>
                  </w:pPr>
                </w:p>
              </w:tc>
            </w:tr>
          </w:tbl>
          <w:p>
            <w:pPr>
              <w:spacing w:line="220" w:lineRule="atLeast"/>
              <w:ind w:firstLine="480" w:firstLineChars="200"/>
              <w:jc w:val="left"/>
              <w:rPr>
                <w:rFonts w:hint="default" w:ascii="楷体" w:hAnsi="楷体" w:eastAsia="楷体"/>
                <w:color w:val="000000"/>
                <w:sz w:val="24"/>
                <w:szCs w:val="24"/>
                <w:lang w:val="en-US" w:eastAsia="zh-CN"/>
              </w:rPr>
            </w:pPr>
          </w:p>
          <w:p>
            <w:pPr>
              <w:spacing w:line="360" w:lineRule="auto"/>
              <w:ind w:firstLine="840" w:firstLineChars="400"/>
              <w:rPr>
                <w:rFonts w:hint="default" w:ascii="楷体" w:hAnsi="楷体" w:eastAsia="宋体"/>
                <w:sz w:val="24"/>
                <w:szCs w:val="24"/>
                <w:lang w:val="en-US" w:eastAsia="zh-CN"/>
              </w:rPr>
            </w:pPr>
            <w:r>
              <w:rPr>
                <w:rFonts w:hint="eastAsia"/>
              </w:rPr>
              <w:t>编制</w:t>
            </w:r>
            <w:r>
              <w:t>：王莉</w:t>
            </w:r>
            <w:r>
              <w:rPr>
                <w:rFonts w:hint="eastAsia"/>
              </w:rPr>
              <w:t xml:space="preserve">         审核</w:t>
            </w:r>
            <w:r>
              <w:t>：</w:t>
            </w:r>
            <w:r>
              <w:rPr>
                <w:rFonts w:hint="eastAsia"/>
              </w:rPr>
              <w:t>周</w:t>
            </w:r>
            <w:r>
              <w:t>敏</w:t>
            </w:r>
            <w:r>
              <w:rPr>
                <w:rFonts w:hint="eastAsia"/>
              </w:rPr>
              <w:t xml:space="preserve">       批准</w:t>
            </w:r>
            <w:r>
              <w:t>：</w:t>
            </w:r>
            <w:r>
              <w:rPr>
                <w:rFonts w:hint="eastAsia"/>
              </w:rPr>
              <w:t>艾</w:t>
            </w:r>
            <w:r>
              <w:t>少华</w:t>
            </w:r>
            <w:r>
              <w:rPr>
                <w:rFonts w:hint="eastAsia"/>
              </w:rPr>
              <w:t xml:space="preserve">         </w:t>
            </w:r>
            <w:r>
              <w:rPr>
                <w:rFonts w:hint="eastAsia"/>
                <w:color w:val="auto"/>
              </w:rPr>
              <w:t xml:space="preserve"> 时间</w:t>
            </w:r>
            <w:r>
              <w:rPr>
                <w:color w:val="auto"/>
              </w:rPr>
              <w:t>：</w:t>
            </w:r>
            <w:r>
              <w:rPr>
                <w:rFonts w:hint="eastAsia"/>
                <w:color w:val="auto"/>
                <w:lang w:val="en-US" w:eastAsia="zh-CN"/>
              </w:rPr>
              <w:t>2020.12.8</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color w:val="auto"/>
                <w:sz w:val="24"/>
                <w:szCs w:val="24"/>
              </w:rPr>
              <w:t>20</w:t>
            </w:r>
            <w:r>
              <w:rPr>
                <w:rFonts w:hint="eastAsia" w:ascii="楷体" w:hAnsi="楷体" w:eastAsia="楷体"/>
                <w:color w:val="auto"/>
                <w:sz w:val="24"/>
                <w:szCs w:val="24"/>
                <w:lang w:val="en-US" w:eastAsia="zh-CN"/>
              </w:rPr>
              <w:t>20.12.6</w:t>
            </w:r>
            <w:r>
              <w:rPr>
                <w:rFonts w:hint="eastAsia" w:ascii="楷体" w:hAnsi="楷体" w:eastAsia="楷体"/>
                <w:color w:val="auto"/>
                <w:sz w:val="24"/>
                <w:szCs w:val="24"/>
              </w:rPr>
              <w:t>日</w:t>
            </w:r>
            <w:r>
              <w:rPr>
                <w:rFonts w:hint="eastAsia" w:ascii="楷体" w:hAnsi="楷体" w:eastAsia="楷体"/>
                <w:sz w:val="24"/>
                <w:szCs w:val="24"/>
              </w:rPr>
              <w:t>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廖超</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w:t>
            </w:r>
            <w:r>
              <w:rPr>
                <w:rFonts w:hint="eastAsia" w:ascii="楷体" w:hAnsi="楷体" w:eastAsia="楷体"/>
                <w:sz w:val="24"/>
                <w:szCs w:val="24"/>
                <w:lang w:val="en-US" w:eastAsia="zh-CN"/>
              </w:rPr>
              <w:t>上年度审核不符合项整改的验证，</w:t>
            </w:r>
            <w:r>
              <w:rPr>
                <w:rFonts w:hint="eastAsia" w:ascii="楷体" w:hAnsi="楷体" w:eastAsia="楷体"/>
                <w:sz w:val="24"/>
                <w:szCs w:val="24"/>
              </w:rPr>
              <w:t>外部供方的绩效，资源的充分性，应对风险和机遇所采取的措施，合规义务履行情况，事件调查、纠正和预防措施，改进的机会等。管理评审的输入基本充分。查到各部门汇报材料，有参加人员签到表。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楷体" w:hAnsi="楷体" w:eastAsia="楷体"/>
                <w:sz w:val="24"/>
                <w:szCs w:val="24"/>
              </w:rPr>
            </w:pPr>
            <w:r>
              <w:rPr>
                <w:rFonts w:hint="eastAsia" w:ascii="楷体" w:hAnsi="楷体" w:eastAsia="楷体"/>
                <w:sz w:val="24"/>
                <w:szCs w:val="24"/>
              </w:rPr>
              <w:t>提出了改进措施</w:t>
            </w:r>
            <w:r>
              <w:rPr>
                <w:rFonts w:ascii="楷体" w:hAnsi="楷体" w:eastAsia="楷体"/>
                <w:sz w:val="24"/>
                <w:szCs w:val="24"/>
              </w:rPr>
              <w:t xml:space="preserve">: </w:t>
            </w:r>
            <w:r>
              <w:rPr>
                <w:rFonts w:hint="eastAsia" w:ascii="楷体" w:hAnsi="楷体" w:eastAsia="楷体"/>
                <w:color w:val="000000"/>
                <w:sz w:val="24"/>
                <w:szCs w:val="24"/>
              </w:rPr>
              <w:t>进一步组织对ISO9001:2015标准、《管理手册》、《管理程序文件》的学习和培训，使与管理体系有关的人员了解和掌握标准和本公司管理体系文件的内容，特别是应该提高内审员的水平和技巧。进一步组织对相关的法律、法规、规程和规范的学习。节能降耗，减少生产车间和办公区域资源能源和办公器材消耗量。</w:t>
            </w:r>
          </w:p>
          <w:p>
            <w:pPr>
              <w:spacing w:line="360" w:lineRule="auto"/>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hint="eastAsia" w:ascii="楷体" w:hAnsi="楷体" w:eastAsia="楷体"/>
                <w:sz w:val="24"/>
                <w:szCs w:val="24"/>
                <w:lang w:eastAsia="zh-CN"/>
              </w:rPr>
            </w:pPr>
            <w:r>
              <w:rPr>
                <w:rFonts w:hint="eastAsia" w:ascii="楷体" w:hAnsi="楷体" w:eastAsia="楷体"/>
                <w:sz w:val="24"/>
                <w:szCs w:val="24"/>
                <w:lang w:eastAsia="zh-CN"/>
              </w:rPr>
              <w:pict>
                <v:shape id="_x0000_i1026" o:spt="75" alt="1893a35e7e479f2e6dea8c10190b2fc" type="#_x0000_t75" style="height:311.55pt;width:415.45pt;rotation:-5898240f;" filled="f" o:preferrelative="t" stroked="f" coordsize="21600,21600">
                  <v:path/>
                  <v:fill on="f" focussize="0,0"/>
                  <v:stroke on="f"/>
                  <v:imagedata r:id="rId6" o:title="1893a35e7e479f2e6dea8c10190b2fc"/>
                  <o:lock v:ext="edit" aspectratio="t"/>
                  <w10:wrap type="none"/>
                  <w10:anchorlock/>
                </v:shape>
              </w:pic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w:t>
            </w:r>
            <w:r>
              <w:rPr>
                <w:rFonts w:hint="eastAsia" w:ascii="楷体" w:hAnsi="楷体" w:eastAsia="楷体"/>
                <w:color w:val="000000"/>
                <w:sz w:val="24"/>
                <w:szCs w:val="24"/>
                <w:lang w:val="en-US" w:eastAsia="zh-CN"/>
              </w:rPr>
              <w:t>综合科</w:t>
            </w:r>
            <w:r>
              <w:rPr>
                <w:rFonts w:hint="eastAsia" w:ascii="楷体" w:hAnsi="楷体" w:eastAsia="楷体"/>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tc>
        <w:tc>
          <w:tcPr>
            <w:tcW w:w="1585" w:type="dxa"/>
          </w:tcPr>
          <w:p>
            <w:pPr>
              <w:spacing w:line="360" w:lineRule="auto"/>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809" w:type="dxa"/>
          </w:tcPr>
          <w:p>
            <w:pPr>
              <w:spacing w:line="360" w:lineRule="auto"/>
              <w:rPr>
                <w:rFonts w:hint="default" w:ascii="楷体" w:hAnsi="楷体" w:eastAsia="楷体"/>
                <w:color w:val="FF0000"/>
                <w:sz w:val="24"/>
                <w:szCs w:val="24"/>
                <w:lang w:val="en-US" w:eastAsia="zh-CN"/>
              </w:rPr>
            </w:pPr>
            <w:r>
              <w:rPr>
                <w:rFonts w:hint="eastAsia" w:ascii="楷体" w:hAnsi="楷体" w:eastAsia="楷体" w:cs="楷体"/>
                <w:color w:val="auto"/>
                <w:sz w:val="24"/>
                <w:szCs w:val="24"/>
                <w:lang w:val="en-US" w:eastAsia="zh-CN"/>
              </w:rPr>
              <w:t>多场地审核（</w:t>
            </w:r>
            <w:r>
              <w:rPr>
                <w:rFonts w:hint="eastAsia" w:ascii="楷体" w:hAnsi="楷体" w:eastAsia="楷体" w:cs="楷体"/>
                <w:color w:val="auto"/>
                <w:spacing w:val="-6"/>
                <w:sz w:val="24"/>
                <w:szCs w:val="24"/>
                <w:lang w:val="en-US" w:eastAsia="zh-CN"/>
              </w:rPr>
              <w:t>抚州市崇仁县工业园</w:t>
            </w:r>
            <w:r>
              <w:rPr>
                <w:rFonts w:hint="eastAsia" w:ascii="楷体" w:hAnsi="楷体" w:eastAsia="楷体" w:cs="楷体"/>
                <w:color w:val="auto"/>
                <w:sz w:val="24"/>
                <w:szCs w:val="24"/>
                <w:lang w:val="en-US" w:eastAsia="zh-CN"/>
              </w:rPr>
              <w:t>）</w:t>
            </w:r>
          </w:p>
        </w:tc>
        <w:tc>
          <w:tcPr>
            <w:tcW w:w="1311" w:type="dxa"/>
          </w:tcPr>
          <w:p>
            <w:pPr>
              <w:spacing w:line="360" w:lineRule="auto"/>
              <w:rPr>
                <w:rFonts w:ascii="楷体" w:hAnsi="楷体" w:eastAsia="楷体"/>
                <w:color w:val="FF0000"/>
                <w:sz w:val="24"/>
                <w:szCs w:val="24"/>
              </w:rPr>
            </w:pPr>
          </w:p>
        </w:tc>
        <w:tc>
          <w:tcPr>
            <w:tcW w:w="10004" w:type="dxa"/>
          </w:tcPr>
          <w:p>
            <w:pPr>
              <w:snapToGrid w:val="0"/>
              <w:spacing w:line="360" w:lineRule="auto"/>
              <w:ind w:firstLine="480" w:firstLineChars="200"/>
              <w:rPr>
                <w:rFonts w:hint="default" w:ascii="楷体" w:hAnsi="楷体" w:eastAsia="楷体"/>
                <w:color w:val="FF0000"/>
                <w:sz w:val="24"/>
                <w:szCs w:val="24"/>
                <w:lang w:val="en-US" w:eastAsia="zh-CN"/>
              </w:rPr>
            </w:pPr>
            <w:r>
              <w:rPr>
                <w:rFonts w:hint="eastAsia" w:ascii="楷体" w:hAnsi="楷体" w:eastAsia="楷体" w:cs="楷体"/>
                <w:color w:val="auto"/>
                <w:sz w:val="24"/>
                <w:szCs w:val="24"/>
                <w:lang w:val="en-US" w:eastAsia="zh-CN"/>
              </w:rPr>
              <w:t>到现场查看江西</w:t>
            </w:r>
            <w:r>
              <w:rPr>
                <w:rFonts w:hint="eastAsia" w:ascii="楷体" w:hAnsi="楷体" w:eastAsia="楷体" w:cs="楷体"/>
                <w:color w:val="auto"/>
                <w:spacing w:val="-6"/>
                <w:sz w:val="24"/>
                <w:szCs w:val="24"/>
                <w:lang w:val="en-US" w:eastAsia="zh-CN"/>
              </w:rPr>
              <w:t>抚州市崇仁县工业园</w:t>
            </w:r>
            <w:r>
              <w:rPr>
                <w:rFonts w:hint="eastAsia" w:ascii="楷体" w:hAnsi="楷体" w:eastAsia="楷体" w:cs="楷体"/>
                <w:color w:val="auto"/>
                <w:sz w:val="24"/>
                <w:szCs w:val="24"/>
                <w:lang w:val="en-US" w:eastAsia="zh-CN"/>
              </w:rPr>
              <w:t>钢结构生产，委托检测单位：江西崇创钢结构有限公司，查看的材料有：委托检验协议书、现场检测通知单、检验业务流程卡、实验报告、实验原始记录、检验结果、检验报告等均符合规范和客户的要求。</w:t>
            </w:r>
          </w:p>
        </w:tc>
        <w:tc>
          <w:tcPr>
            <w:tcW w:w="1585" w:type="dxa"/>
          </w:tcPr>
          <w:p>
            <w:pPr>
              <w:spacing w:line="360" w:lineRule="auto"/>
              <w:rPr>
                <w:rFonts w:ascii="楷体" w:hAnsi="楷体" w:eastAsia="楷体"/>
                <w:color w:val="FF0000"/>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809" w:type="dxa"/>
            <w:vAlign w:val="top"/>
          </w:tcPr>
          <w:p>
            <w:pPr>
              <w:rPr>
                <w:rFonts w:ascii="楷体" w:hAnsi="楷体" w:eastAsia="楷体"/>
                <w:sz w:val="24"/>
                <w:szCs w:val="24"/>
              </w:rPr>
            </w:pPr>
            <w:r>
              <w:rPr>
                <w:rFonts w:hint="eastAsia" w:ascii="楷体" w:hAnsi="楷体" w:eastAsia="楷体"/>
                <w:sz w:val="24"/>
                <w:szCs w:val="24"/>
              </w:rPr>
              <w:t>国家/地方抽查、顾客满意、相关方投诉处理</w:t>
            </w:r>
          </w:p>
        </w:tc>
        <w:tc>
          <w:tcPr>
            <w:tcW w:w="1311" w:type="dxa"/>
            <w:vAlign w:val="top"/>
          </w:tcPr>
          <w:p>
            <w:pPr>
              <w:spacing w:line="360" w:lineRule="auto"/>
              <w:rPr>
                <w:rFonts w:ascii="楷体" w:hAnsi="楷体" w:eastAsia="楷体"/>
                <w:sz w:val="24"/>
                <w:szCs w:val="24"/>
              </w:rPr>
            </w:pPr>
          </w:p>
        </w:tc>
        <w:tc>
          <w:tcPr>
            <w:tcW w:w="10004" w:type="dxa"/>
            <w:vAlign w:val="top"/>
          </w:tcPr>
          <w:p>
            <w:pPr>
              <w:spacing w:line="360" w:lineRule="auto"/>
              <w:rPr>
                <w:rFonts w:ascii="楷体" w:hAnsi="楷体" w:eastAsia="楷体"/>
                <w:sz w:val="24"/>
                <w:szCs w:val="24"/>
              </w:rPr>
            </w:pPr>
            <w:r>
              <w:rPr>
                <w:rFonts w:hint="eastAsia" w:ascii="楷体" w:hAnsi="楷体" w:eastAsia="楷体"/>
                <w:sz w:val="24"/>
                <w:szCs w:val="24"/>
              </w:rPr>
              <w:t>自公司成立以来，未受到上级主管部门有关质量问题、环境问题、职业健康安全的行政处罚。未发生相关方的投诉。暂时没有国家/地方抽查情况。</w:t>
            </w:r>
          </w:p>
          <w:p>
            <w:pPr>
              <w:snapToGrid w:val="0"/>
              <w:spacing w:line="360" w:lineRule="auto"/>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vAlign w:val="top"/>
          </w:tcPr>
          <w:p>
            <w:pPr>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vAlign w:val="top"/>
          </w:tcPr>
          <w:p>
            <w:pPr>
              <w:rPr>
                <w:rFonts w:ascii="楷体" w:hAnsi="楷体" w:eastAsia="楷体"/>
                <w:sz w:val="24"/>
                <w:szCs w:val="24"/>
              </w:rPr>
            </w:pPr>
            <w:r>
              <w:rPr>
                <w:rFonts w:hint="eastAsia" w:ascii="楷体" w:hAnsi="楷体" w:eastAsia="楷体"/>
                <w:sz w:val="24"/>
                <w:szCs w:val="24"/>
              </w:rPr>
              <w:t>上次审核不符合验证</w:t>
            </w:r>
          </w:p>
        </w:tc>
        <w:tc>
          <w:tcPr>
            <w:tcW w:w="1311" w:type="dxa"/>
            <w:vAlign w:val="top"/>
          </w:tcPr>
          <w:p>
            <w:pPr>
              <w:spacing w:line="360" w:lineRule="auto"/>
              <w:rPr>
                <w:rFonts w:ascii="楷体" w:hAnsi="楷体" w:eastAsia="楷体"/>
                <w:sz w:val="24"/>
                <w:szCs w:val="24"/>
              </w:rPr>
            </w:pPr>
          </w:p>
        </w:tc>
        <w:tc>
          <w:tcPr>
            <w:tcW w:w="10004" w:type="dxa"/>
            <w:vAlign w:val="top"/>
          </w:tcPr>
          <w:p>
            <w:pPr>
              <w:spacing w:line="360" w:lineRule="auto"/>
              <w:rPr>
                <w:rFonts w:ascii="楷体" w:hAnsi="楷体" w:eastAsia="楷体"/>
                <w:sz w:val="24"/>
                <w:szCs w:val="24"/>
              </w:rPr>
            </w:pPr>
            <w:r>
              <w:rPr>
                <w:rFonts w:hint="eastAsia" w:ascii="楷体" w:hAnsi="楷体" w:eastAsia="楷体"/>
                <w:sz w:val="24"/>
                <w:szCs w:val="24"/>
              </w:rPr>
              <w:t>经检查上次审核发现的</w:t>
            </w:r>
            <w:r>
              <w:rPr>
                <w:rFonts w:hint="eastAsia" w:ascii="楷体" w:hAnsi="楷体" w:eastAsia="楷体"/>
                <w:sz w:val="24"/>
                <w:szCs w:val="24"/>
                <w:lang w:val="en-US" w:eastAsia="zh-CN"/>
              </w:rPr>
              <w:t>二个一般</w:t>
            </w:r>
            <w:r>
              <w:rPr>
                <w:rFonts w:hint="eastAsia" w:ascii="楷体" w:hAnsi="楷体" w:eastAsia="楷体"/>
                <w:sz w:val="24"/>
                <w:szCs w:val="24"/>
              </w:rPr>
              <w:t>不符合项目均已整改完成。</w:t>
            </w:r>
          </w:p>
        </w:tc>
        <w:tc>
          <w:tcPr>
            <w:tcW w:w="1585" w:type="dxa"/>
            <w:vAlign w:val="top"/>
          </w:tcPr>
          <w:p>
            <w:pPr>
              <w:rPr>
                <w:rFonts w:ascii="楷体" w:hAnsi="楷体" w:eastAsia="楷体"/>
                <w:sz w:val="24"/>
                <w:szCs w:val="24"/>
              </w:rPr>
            </w:pPr>
            <w:r>
              <w:rPr>
                <w:rFonts w:hint="eastAsia" w:ascii="楷体" w:hAnsi="楷体" w:eastAsia="楷体" w:cs="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vAlign w:val="top"/>
          </w:tcPr>
          <w:p>
            <w:pPr>
              <w:rPr>
                <w:rFonts w:ascii="楷体" w:hAnsi="楷体" w:eastAsia="楷体"/>
                <w:sz w:val="24"/>
                <w:szCs w:val="24"/>
              </w:rPr>
            </w:pPr>
            <w:r>
              <w:rPr>
                <w:rFonts w:hint="eastAsia" w:ascii="楷体" w:hAnsi="楷体" w:eastAsia="楷体"/>
                <w:sz w:val="24"/>
                <w:szCs w:val="24"/>
              </w:rPr>
              <w:t>证书、标志使用</w:t>
            </w:r>
          </w:p>
        </w:tc>
        <w:tc>
          <w:tcPr>
            <w:tcW w:w="1311" w:type="dxa"/>
            <w:vAlign w:val="top"/>
          </w:tcPr>
          <w:p>
            <w:pPr>
              <w:spacing w:line="360" w:lineRule="auto"/>
              <w:rPr>
                <w:rFonts w:ascii="楷体" w:hAnsi="楷体" w:eastAsia="楷体"/>
                <w:sz w:val="24"/>
                <w:szCs w:val="24"/>
              </w:rPr>
            </w:pPr>
          </w:p>
        </w:tc>
        <w:tc>
          <w:tcPr>
            <w:tcW w:w="10004" w:type="dxa"/>
            <w:vAlign w:val="top"/>
          </w:tcPr>
          <w:p>
            <w:pPr>
              <w:spacing w:line="360" w:lineRule="auto"/>
              <w:rPr>
                <w:rFonts w:ascii="楷体" w:hAnsi="楷体" w:eastAsia="楷体"/>
                <w:sz w:val="24"/>
                <w:szCs w:val="24"/>
              </w:rPr>
            </w:pPr>
            <w:r>
              <w:rPr>
                <w:rFonts w:hint="eastAsia" w:ascii="楷体" w:hAnsi="楷体" w:eastAsia="楷体"/>
                <w:sz w:val="24"/>
                <w:szCs w:val="24"/>
              </w:rPr>
              <w:t>在招投标和业务洽谈时出示认证证书，未使用认证标志。</w:t>
            </w:r>
          </w:p>
        </w:tc>
        <w:tc>
          <w:tcPr>
            <w:tcW w:w="1585" w:type="dxa"/>
            <w:vAlign w:val="top"/>
          </w:tcPr>
          <w:p>
            <w:pPr>
              <w:rPr>
                <w:rFonts w:ascii="楷体" w:hAnsi="楷体" w:eastAsia="楷体"/>
                <w:sz w:val="24"/>
                <w:szCs w:val="24"/>
              </w:rPr>
            </w:pPr>
            <w:r>
              <w:rPr>
                <w:rFonts w:hint="eastAsia" w:ascii="楷体" w:hAnsi="楷体" w:eastAsia="楷体" w:cs="楷体"/>
                <w:sz w:val="24"/>
                <w:szCs w:val="24"/>
              </w:rPr>
              <w:t>合格</w:t>
            </w:r>
          </w:p>
        </w:tc>
      </w:tr>
    </w:tbl>
    <w:p>
      <w:pPr>
        <w:jc w:val="center"/>
        <w:rPr>
          <w:rFonts w:ascii="楷体" w:hAnsi="楷体" w:eastAsia="楷体"/>
        </w:rPr>
      </w:pPr>
      <w:r>
        <w:rPr>
          <w:rFonts w:ascii="楷体" w:hAnsi="楷体" w:eastAsia="楷体"/>
        </w:rPr>
        <w:br w:type="textWrapping" w:clear="all"/>
      </w:r>
    </w:p>
    <w:p>
      <w:pPr>
        <w:pStyle w:val="4"/>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108219C2"/>
    <w:rsid w:val="13105204"/>
    <w:rsid w:val="1DFC11D7"/>
    <w:rsid w:val="27A46785"/>
    <w:rsid w:val="369B6DE7"/>
    <w:rsid w:val="3F536CA6"/>
    <w:rsid w:val="51BF4CC0"/>
    <w:rsid w:val="5EA12B9A"/>
    <w:rsid w:val="60DE6900"/>
    <w:rsid w:val="6AE07DE3"/>
    <w:rsid w:val="7D5E1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rPr>
      <w:szCs w:val="20"/>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1</TotalTime>
  <ScaleCrop>false</ScaleCrop>
  <LinksUpToDate>false</LinksUpToDate>
  <CharactersWithSpaces>7097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2020-12-08T02:20:57Z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