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4" w:firstLineChars="1200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 w:ascii="方正仿宋简体" w:eastAsia="方正仿宋简体"/>
                <w:b/>
                <w:lang w:val="en-US" w:eastAsia="zh-CN"/>
              </w:rPr>
              <w:t>武汉鑫尖峰建筑材料</w:t>
            </w:r>
            <w:r>
              <w:rPr>
                <w:rFonts w:ascii="方正仿宋简体" w:eastAsia="方正仿宋简体"/>
                <w:b/>
              </w:rPr>
              <w:t>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黄 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2"/>
              <w:jc w:val="lef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未能提供出特种设备桥式起重机40104201152012040013、40104201152012040014、40104201152012040015、厂内机动车辆（叉车）51104201152018070007、51104201152018070008定期检定的证据。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审核员：              日期：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E75108"/>
    <w:rsid w:val="36824FDE"/>
    <w:rsid w:val="3F7856BB"/>
    <w:rsid w:val="5A1C6F3A"/>
    <w:rsid w:val="6EE3234A"/>
    <w:rsid w:val="76DC0482"/>
    <w:rsid w:val="7F3D01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2020-12-17T06:26:02Z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