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武汉鑫尖峰建筑材料有限公司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潘荣君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w:t>
            </w:r>
          </w:p>
          <w:p>
            <w:pPr>
              <w:spacing w:line="240" w:lineRule="exact"/>
              <w:jc w:val="center"/>
              <w:rPr>
                <w:b/>
                <w:color w:val="000000" w:themeColor="text1"/>
                <w:sz w:val="20"/>
                <w:szCs w:val="20"/>
              </w:rPr>
            </w:pPr>
            <w:r>
              <w:rPr>
                <w:b/>
                <w:color w:val="000000" w:themeColor="text1"/>
                <w:sz w:val="20"/>
                <w:szCs w:val="20"/>
              </w:rPr>
              <w:t>E:16.02.01</w:t>
            </w:r>
          </w:p>
          <w:p>
            <w:pPr>
              <w:spacing w:line="240" w:lineRule="exact"/>
              <w:jc w:val="center"/>
              <w:rPr>
                <w:b/>
                <w:color w:val="000000" w:themeColor="text1"/>
                <w:sz w:val="20"/>
                <w:szCs w:val="20"/>
              </w:rPr>
            </w:pPr>
            <w:r>
              <w:rPr>
                <w:b/>
                <w:color w:val="000000" w:themeColor="text1"/>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武汉鑫尖峰建筑材料有限公司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武汉市江夏区郑店街黄金村</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pStyle w:val="4"/>
              <w:spacing w:line="400" w:lineRule="exact"/>
              <w:ind w:firstLine="0"/>
              <w:rPr>
                <w:rFonts w:ascii="宋体" w:hAnsi="宋体"/>
                <w:b/>
                <w:color w:val="000000" w:themeColor="text1"/>
                <w:spacing w:val="-20"/>
                <w:sz w:val="20"/>
                <w:szCs w:val="20"/>
                <w:u w:val="none"/>
              </w:rPr>
            </w:pPr>
            <w:bookmarkStart w:id="7" w:name="注册邮编"/>
            <w:r>
              <w:rPr>
                <w:b/>
                <w:color w:val="000000" w:themeColor="text1"/>
                <w:sz w:val="22"/>
                <w:szCs w:val="22"/>
                <w:u w:val="none"/>
              </w:rPr>
              <w:t>430</w:t>
            </w:r>
            <w:r>
              <w:rPr>
                <w:rFonts w:hint="eastAsia"/>
                <w:b/>
                <w:color w:val="000000" w:themeColor="text1"/>
                <w:sz w:val="22"/>
                <w:szCs w:val="22"/>
                <w:u w:val="none"/>
                <w:lang w:val="en-US" w:eastAsia="zh-CN"/>
              </w:rPr>
              <w:t>2</w:t>
            </w:r>
            <w:r>
              <w:rPr>
                <w:b/>
                <w:color w:val="000000" w:themeColor="text1"/>
                <w:sz w:val="22"/>
                <w:szCs w:val="22"/>
                <w:u w:val="none"/>
              </w:rPr>
              <w:t>0</w:t>
            </w:r>
            <w:bookmarkEnd w:id="7"/>
            <w:r>
              <w:rPr>
                <w:rFonts w:hint="eastAsia"/>
                <w:b/>
                <w:color w:val="000000" w:themeColor="text1"/>
                <w:sz w:val="22"/>
                <w:szCs w:val="22"/>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武汉市江夏区郑店街黄金村</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pStyle w:val="4"/>
              <w:spacing w:line="400" w:lineRule="exact"/>
              <w:ind w:firstLine="0"/>
              <w:rPr>
                <w:rFonts w:ascii="宋体" w:hAnsi="宋体"/>
                <w:b/>
                <w:color w:val="000000" w:themeColor="text1"/>
                <w:sz w:val="20"/>
                <w:szCs w:val="20"/>
                <w:u w:val="none"/>
              </w:rPr>
            </w:pPr>
            <w:r>
              <w:rPr>
                <w:b/>
                <w:color w:val="000000" w:themeColor="text1"/>
                <w:sz w:val="22"/>
                <w:szCs w:val="22"/>
                <w:u w:val="none"/>
              </w:rPr>
              <w:t>430</w:t>
            </w:r>
            <w:r>
              <w:rPr>
                <w:rFonts w:hint="eastAsia"/>
                <w:b/>
                <w:color w:val="000000" w:themeColor="text1"/>
                <w:sz w:val="22"/>
                <w:szCs w:val="22"/>
                <w:u w:val="none"/>
                <w:lang w:val="en-US" w:eastAsia="zh-CN"/>
              </w:rPr>
              <w:t>2</w:t>
            </w:r>
            <w:r>
              <w:rPr>
                <w:b/>
                <w:color w:val="000000" w:themeColor="text1"/>
                <w:sz w:val="22"/>
                <w:szCs w:val="22"/>
                <w:u w:val="none"/>
              </w:rPr>
              <w:t>0</w:t>
            </w:r>
            <w:r>
              <w:rPr>
                <w:rFonts w:hint="eastAsia"/>
                <w:b/>
                <w:color w:val="000000" w:themeColor="text1"/>
                <w:sz w:val="22"/>
                <w:szCs w:val="22"/>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黄康</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15827279977</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张怀良</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r>
              <w:rPr>
                <w:rFonts w:ascii="宋体" w:hAnsi="宋体"/>
                <w:b/>
                <w:color w:val="000000" w:themeColor="text1"/>
                <w:sz w:val="20"/>
                <w:szCs w:val="20"/>
              </w:rPr>
              <w:t>张怀良</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黄康</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Q：蒸压加气混凝土砌块的生产及销售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E：蒸压加气混凝土砌块的生产及销售所涉及的相关环境管理活动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O：蒸压加气混凝土砌块的生产及销售所涉及的相关职业健康安全管理活动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Q：16.02.01</w:t>
            </w:r>
          </w:p>
          <w:p>
            <w:pPr>
              <w:spacing w:line="320" w:lineRule="exact"/>
              <w:rPr>
                <w:rFonts w:ascii="宋体" w:hAnsi="宋体"/>
                <w:b/>
                <w:color w:val="000000" w:themeColor="text1"/>
                <w:sz w:val="20"/>
                <w:szCs w:val="20"/>
              </w:rPr>
            </w:pPr>
            <w:r>
              <w:rPr>
                <w:rFonts w:ascii="宋体" w:hAnsi="宋体"/>
                <w:b/>
                <w:color w:val="000000" w:themeColor="text1"/>
                <w:sz w:val="20"/>
                <w:szCs w:val="20"/>
              </w:rPr>
              <w:t>E：16.02.01</w:t>
            </w:r>
          </w:p>
          <w:p>
            <w:pPr>
              <w:spacing w:line="320" w:lineRule="exact"/>
              <w:rPr>
                <w:rFonts w:ascii="宋体" w:hAnsi="宋体"/>
                <w:b/>
                <w:color w:val="000000" w:themeColor="text1"/>
                <w:sz w:val="20"/>
                <w:szCs w:val="20"/>
              </w:rPr>
            </w:pPr>
            <w:r>
              <w:rPr>
                <w:rFonts w:ascii="宋体" w:hAnsi="宋体"/>
                <w:b/>
                <w:color w:val="000000" w:themeColor="text1"/>
                <w:sz w:val="20"/>
                <w:szCs w:val="20"/>
              </w:rPr>
              <w:t>O：16.02.01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2019-12-18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19" w:type="dxa"/>
            <w:vAlign w:val="top"/>
          </w:tcPr>
          <w:p>
            <w:pPr>
              <w:jc w:val="center"/>
              <w:rPr>
                <w:rFonts w:ascii="宋体" w:hAnsi="宋体"/>
                <w:b/>
                <w:color w:val="000000" w:themeColor="text1"/>
                <w:spacing w:val="-2"/>
                <w:sz w:val="20"/>
                <w:szCs w:val="20"/>
              </w:rPr>
            </w:pPr>
            <w:r>
              <w:rPr>
                <w:rFonts w:ascii="宋体" w:hAnsi="宋体"/>
                <w:b/>
                <w:sz w:val="20"/>
                <w:szCs w:val="20"/>
              </w:rPr>
              <w:t>管理层</w:t>
            </w:r>
          </w:p>
        </w:tc>
        <w:tc>
          <w:tcPr>
            <w:tcW w:w="6804" w:type="dxa"/>
            <w:vAlign w:val="top"/>
          </w:tcPr>
          <w:p>
            <w:pPr>
              <w:spacing w:line="240" w:lineRule="exact"/>
              <w:jc w:val="center"/>
              <w:rPr>
                <w:rFonts w:ascii="宋体" w:hAnsi="宋体"/>
                <w:b/>
                <w:color w:val="000000" w:themeColor="text1"/>
                <w:sz w:val="20"/>
                <w:szCs w:val="20"/>
              </w:rPr>
            </w:pPr>
            <w:r>
              <w:rPr>
                <w:rFonts w:ascii="宋体" w:hAnsi="宋体"/>
                <w:sz w:val="20"/>
                <w:szCs w:val="20"/>
              </w:rPr>
              <w:t>组织环境</w:t>
            </w:r>
            <w:r>
              <w:rPr>
                <w:rFonts w:hint="eastAsia" w:ascii="宋体" w:hAnsi="宋体"/>
                <w:sz w:val="20"/>
                <w:szCs w:val="20"/>
              </w:rPr>
              <w:t>、</w:t>
            </w:r>
            <w:r>
              <w:rPr>
                <w:rFonts w:ascii="宋体" w:hAnsi="宋体"/>
                <w:sz w:val="20"/>
                <w:szCs w:val="20"/>
              </w:rPr>
              <w:t>风险和机遇</w:t>
            </w:r>
            <w:r>
              <w:rPr>
                <w:rFonts w:hint="eastAsia" w:ascii="宋体" w:hAnsi="宋体"/>
                <w:sz w:val="20"/>
                <w:szCs w:val="20"/>
              </w:rPr>
              <w:t>、</w:t>
            </w:r>
            <w:r>
              <w:rPr>
                <w:rFonts w:ascii="宋体" w:hAnsi="宋体"/>
                <w:sz w:val="20"/>
                <w:szCs w:val="20"/>
              </w:rPr>
              <w:t>领导作用</w:t>
            </w:r>
            <w:r>
              <w:rPr>
                <w:rFonts w:hint="eastAsia" w:ascii="宋体" w:hAnsi="宋体"/>
                <w:sz w:val="20"/>
                <w:szCs w:val="20"/>
              </w:rPr>
              <w:t>、</w:t>
            </w:r>
            <w:r>
              <w:rPr>
                <w:rFonts w:ascii="宋体" w:hAnsi="宋体"/>
                <w:sz w:val="20"/>
                <w:szCs w:val="20"/>
              </w:rPr>
              <w:t>管理评审</w:t>
            </w:r>
            <w:r>
              <w:rPr>
                <w:rFonts w:hint="eastAsia" w:ascii="宋体" w:hAnsi="宋体"/>
                <w:sz w:val="20"/>
                <w:szCs w:val="20"/>
              </w:rPr>
              <w:t>、</w:t>
            </w:r>
            <w:r>
              <w:rPr>
                <w:rFonts w:ascii="宋体" w:hAnsi="宋体"/>
                <w:sz w:val="20"/>
                <w:szCs w:val="20"/>
              </w:rPr>
              <w:t>资源提供等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119" w:type="dxa"/>
            <w:vAlign w:val="top"/>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vAlign w:val="center"/>
          </w:tcPr>
          <w:p>
            <w:pPr>
              <w:spacing w:line="240" w:lineRule="exact"/>
              <w:jc w:val="both"/>
              <w:rPr>
                <w:rFonts w:ascii="宋体" w:hAnsi="宋体"/>
                <w:b/>
                <w:color w:val="000000" w:themeColor="text1"/>
                <w:spacing w:val="-20"/>
                <w:sz w:val="20"/>
                <w:szCs w:val="20"/>
                <w:u w:val="single"/>
              </w:rPr>
            </w:pPr>
            <w:r>
              <w:rPr>
                <w:rFonts w:ascii="宋体" w:hAnsi="宋体"/>
                <w:sz w:val="20"/>
                <w:szCs w:val="20"/>
              </w:rPr>
              <w:t>文件</w:t>
            </w:r>
            <w:r>
              <w:rPr>
                <w:rFonts w:hint="eastAsia" w:ascii="宋体" w:hAnsi="宋体"/>
                <w:sz w:val="20"/>
                <w:szCs w:val="20"/>
              </w:rPr>
              <w:t>、</w:t>
            </w:r>
            <w:r>
              <w:rPr>
                <w:rFonts w:ascii="宋体" w:hAnsi="宋体"/>
                <w:sz w:val="20"/>
                <w:szCs w:val="20"/>
              </w:rPr>
              <w:t>记录</w:t>
            </w:r>
            <w:r>
              <w:rPr>
                <w:rFonts w:hint="eastAsia" w:ascii="宋体" w:hAnsi="宋体"/>
                <w:sz w:val="20"/>
                <w:szCs w:val="20"/>
              </w:rPr>
              <w:t>、</w:t>
            </w:r>
            <w:r>
              <w:rPr>
                <w:rFonts w:ascii="宋体" w:hAnsi="宋体"/>
                <w:sz w:val="20"/>
                <w:szCs w:val="20"/>
              </w:rPr>
              <w:t>培训</w:t>
            </w:r>
            <w:r>
              <w:rPr>
                <w:rFonts w:hint="eastAsia" w:ascii="宋体" w:hAnsi="宋体"/>
                <w:sz w:val="20"/>
                <w:szCs w:val="20"/>
              </w:rPr>
              <w:t>、</w:t>
            </w:r>
            <w:r>
              <w:rPr>
                <w:rFonts w:ascii="宋体" w:hAnsi="宋体"/>
                <w:sz w:val="20"/>
                <w:szCs w:val="20"/>
              </w:rPr>
              <w:t>内审</w:t>
            </w:r>
            <w:r>
              <w:rPr>
                <w:rFonts w:hint="eastAsia" w:ascii="宋体" w:hAnsi="宋体"/>
                <w:sz w:val="20"/>
                <w:szCs w:val="20"/>
              </w:rPr>
              <w:t>、</w:t>
            </w:r>
            <w:r>
              <w:rPr>
                <w:rFonts w:ascii="宋体" w:hAnsi="宋体"/>
                <w:sz w:val="20"/>
                <w:szCs w:val="20"/>
              </w:rPr>
              <w:t>法律法规</w:t>
            </w:r>
            <w:r>
              <w:rPr>
                <w:rFonts w:hint="eastAsia" w:ascii="宋体" w:hAnsi="宋体"/>
                <w:sz w:val="20"/>
                <w:szCs w:val="20"/>
              </w:rPr>
              <w:t>、</w:t>
            </w:r>
            <w:r>
              <w:rPr>
                <w:rFonts w:ascii="宋体" w:hAnsi="宋体"/>
                <w:sz w:val="20"/>
                <w:szCs w:val="20"/>
              </w:rPr>
              <w:t>合规性评价</w:t>
            </w:r>
            <w:r>
              <w:rPr>
                <w:rFonts w:hint="eastAsia" w:ascii="宋体" w:hAnsi="宋体"/>
                <w:sz w:val="20"/>
                <w:szCs w:val="20"/>
              </w:rPr>
              <w:t>、</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r>
              <w:rPr>
                <w:rFonts w:hint="eastAsia" w:ascii="宋体" w:hAnsi="宋体"/>
                <w:sz w:val="20"/>
                <w:szCs w:val="20"/>
              </w:rPr>
              <w:t>、</w:t>
            </w:r>
            <w:r>
              <w:rPr>
                <w:rFonts w:ascii="宋体" w:hAnsi="宋体"/>
                <w:sz w:val="20"/>
                <w:szCs w:val="20"/>
              </w:rPr>
              <w:t>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sz w:val="20"/>
                <w:szCs w:val="20"/>
                <w:lang w:val="en-US" w:eastAsia="zh-CN"/>
              </w:rPr>
              <w:t>供销</w:t>
            </w:r>
            <w:r>
              <w:rPr>
                <w:rFonts w:ascii="宋体" w:hAnsi="宋体"/>
                <w:b/>
                <w:sz w:val="20"/>
                <w:szCs w:val="20"/>
              </w:rPr>
              <w:t>部</w:t>
            </w:r>
          </w:p>
        </w:tc>
        <w:tc>
          <w:tcPr>
            <w:tcW w:w="6804" w:type="dxa"/>
            <w:vAlign w:val="top"/>
          </w:tcPr>
          <w:p>
            <w:pPr>
              <w:spacing w:line="240" w:lineRule="exact"/>
              <w:jc w:val="center"/>
              <w:rPr>
                <w:rFonts w:ascii="宋体" w:hAnsi="宋体"/>
                <w:b/>
                <w:color w:val="000000" w:themeColor="text1"/>
                <w:spacing w:val="-20"/>
                <w:sz w:val="20"/>
                <w:szCs w:val="20"/>
                <w:u w:val="single"/>
              </w:rPr>
            </w:pPr>
            <w:r>
              <w:rPr>
                <w:rFonts w:ascii="宋体" w:hAnsi="宋体"/>
                <w:sz w:val="20"/>
                <w:szCs w:val="20"/>
              </w:rPr>
              <w:t>销售过程</w:t>
            </w:r>
            <w:r>
              <w:rPr>
                <w:rFonts w:hint="eastAsia" w:ascii="宋体" w:hAnsi="宋体"/>
                <w:sz w:val="20"/>
                <w:szCs w:val="20"/>
              </w:rPr>
              <w:t>、</w:t>
            </w:r>
            <w:r>
              <w:rPr>
                <w:rFonts w:ascii="宋体" w:hAnsi="宋体"/>
                <w:sz w:val="20"/>
                <w:szCs w:val="20"/>
              </w:rPr>
              <w:t>相关方施加影响</w:t>
            </w:r>
            <w:r>
              <w:rPr>
                <w:rFonts w:hint="eastAsia" w:ascii="宋体" w:hAnsi="宋体"/>
                <w:sz w:val="20"/>
                <w:szCs w:val="20"/>
              </w:rPr>
              <w:t>、</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sz w:val="20"/>
                <w:szCs w:val="20"/>
                <w:lang w:val="en-US" w:eastAsia="zh-CN"/>
              </w:rPr>
              <w:t>生产</w:t>
            </w:r>
            <w:r>
              <w:rPr>
                <w:rFonts w:ascii="宋体" w:hAnsi="宋体"/>
                <w:b/>
                <w:sz w:val="20"/>
                <w:szCs w:val="20"/>
              </w:rPr>
              <w:t>部</w:t>
            </w:r>
          </w:p>
        </w:tc>
        <w:tc>
          <w:tcPr>
            <w:tcW w:w="6804" w:type="dxa"/>
            <w:vAlign w:val="top"/>
          </w:tcPr>
          <w:p>
            <w:pPr>
              <w:spacing w:line="240" w:lineRule="exact"/>
              <w:jc w:val="both"/>
              <w:rPr>
                <w:rFonts w:ascii="宋体" w:hAnsi="宋体"/>
                <w:b/>
                <w:color w:val="000000" w:themeColor="text1"/>
                <w:spacing w:val="-20"/>
                <w:sz w:val="20"/>
                <w:szCs w:val="20"/>
                <w:u w:val="single"/>
              </w:rPr>
            </w:pPr>
            <w:r>
              <w:rPr>
                <w:rFonts w:hint="eastAsia" w:ascii="宋体" w:hAnsi="宋体"/>
                <w:sz w:val="20"/>
                <w:szCs w:val="20"/>
                <w:lang w:val="en-US" w:eastAsia="zh-CN"/>
              </w:rPr>
              <w:t>生产和服务过程控制</w:t>
            </w:r>
            <w:r>
              <w:rPr>
                <w:rFonts w:hint="eastAsia" w:ascii="宋体" w:hAnsi="宋体"/>
                <w:sz w:val="20"/>
                <w:szCs w:val="20"/>
              </w:rPr>
              <w:t>、</w:t>
            </w:r>
            <w:r>
              <w:rPr>
                <w:rFonts w:hint="eastAsia" w:ascii="宋体" w:hAnsi="宋体"/>
                <w:sz w:val="20"/>
                <w:szCs w:val="20"/>
                <w:lang w:val="en-US" w:eastAsia="zh-CN"/>
              </w:rPr>
              <w:t>关键/特殊工序控制、</w:t>
            </w:r>
            <w:r>
              <w:rPr>
                <w:rFonts w:ascii="宋体" w:hAnsi="宋体"/>
                <w:sz w:val="20"/>
                <w:szCs w:val="20"/>
              </w:rPr>
              <w:t>环境因素</w:t>
            </w:r>
            <w:r>
              <w:rPr>
                <w:rFonts w:hint="eastAsia" w:ascii="宋体" w:hAnsi="宋体"/>
                <w:sz w:val="20"/>
                <w:szCs w:val="20"/>
              </w:rPr>
              <w:t>、</w:t>
            </w:r>
            <w:r>
              <w:rPr>
                <w:rFonts w:ascii="宋体" w:hAnsi="宋体"/>
                <w:sz w:val="20"/>
                <w:szCs w:val="20"/>
              </w:rPr>
              <w:t>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rPr>
          <w:rFonts w:hint="eastAsia"/>
          <w:b/>
          <w:color w:val="000000" w:themeColor="text1"/>
          <w:spacing w:val="-6"/>
          <w:szCs w:val="21"/>
        </w:rPr>
      </w:pPr>
    </w:p>
    <w:p>
      <w:pPr>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94"/>
        <w:gridCol w:w="870"/>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394"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70" w:type="dxa"/>
          </w:tcPr>
          <w:p>
            <w:pPr>
              <w:rPr>
                <w:b/>
                <w:color w:val="000000" w:themeColor="text1"/>
                <w:sz w:val="20"/>
                <w:szCs w:val="20"/>
              </w:rPr>
            </w:pPr>
            <w:r>
              <w:rPr>
                <w:rFonts w:hint="eastAsia"/>
                <w:b/>
                <w:color w:val="000000" w:themeColor="text1"/>
                <w:sz w:val="20"/>
                <w:szCs w:val="20"/>
              </w:rPr>
              <w:t>规格</w:t>
            </w:r>
          </w:p>
        </w:tc>
        <w:tc>
          <w:tcPr>
            <w:tcW w:w="464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蒸压加气混凝土砌块</w:t>
            </w:r>
          </w:p>
        </w:tc>
        <w:tc>
          <w:tcPr>
            <w:tcW w:w="2394" w:type="dxa"/>
          </w:tcPr>
          <w:p>
            <w:pPr>
              <w:rPr>
                <w:b/>
                <w:color w:val="000000" w:themeColor="text1"/>
                <w:sz w:val="20"/>
                <w:szCs w:val="20"/>
              </w:rPr>
            </w:pPr>
          </w:p>
        </w:tc>
        <w:tc>
          <w:tcPr>
            <w:tcW w:w="870" w:type="dxa"/>
          </w:tcPr>
          <w:p>
            <w:pPr>
              <w:rPr>
                <w:b/>
                <w:color w:val="000000" w:themeColor="text1"/>
                <w:sz w:val="20"/>
                <w:szCs w:val="20"/>
              </w:rPr>
            </w:pPr>
          </w:p>
        </w:tc>
        <w:tc>
          <w:tcPr>
            <w:tcW w:w="4641" w:type="dxa"/>
          </w:tcPr>
          <w:p>
            <w:pPr>
              <w:rPr>
                <w:b/>
                <w:color w:val="000000" w:themeColor="text1"/>
                <w:sz w:val="20"/>
                <w:szCs w:val="20"/>
              </w:rPr>
            </w:pPr>
            <w:r>
              <w:rPr>
                <w:rFonts w:hint="eastAsia" w:ascii="楷体_GB2312" w:hAnsi="楷体" w:eastAsia="楷体_GB2312"/>
                <w:szCs w:val="24"/>
              </w:rPr>
              <w:t>蒸压加气混凝土砌块》GB11968-2006、《蒸压加气混凝土砌板》GB15762-2008、《蒸压砂加气混凝土精确砌块墙体自保温系统应用技术规程》DB42/T743-2016《水泥化学分析方法》GB/T176-2008《通用硅酸盐水泥》GB175-2007《硅酸盐建筑制品用砂》JC/T622-2009《硅酸盐建筑制品用生石灰》JC/T621-2009《加气混凝土用铝粉膏》JC/T407-2008、《工业企业厂界噪声标准》GB12348-2008、《工作场所有害因素职业接触限值 第2部分:物理因素》GBZ2.2-2007《中华人民共和国职业病防治法》主席令第52号《工作场所职业病危害警示标识》GBZ158－2003。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394" w:type="dxa"/>
          </w:tcPr>
          <w:p>
            <w:pPr>
              <w:rPr>
                <w:b/>
                <w:color w:val="000000" w:themeColor="text1"/>
                <w:sz w:val="20"/>
                <w:szCs w:val="20"/>
              </w:rPr>
            </w:pPr>
          </w:p>
        </w:tc>
        <w:tc>
          <w:tcPr>
            <w:tcW w:w="870" w:type="dxa"/>
          </w:tcPr>
          <w:p>
            <w:pPr>
              <w:rPr>
                <w:b/>
                <w:color w:val="000000" w:themeColor="text1"/>
                <w:sz w:val="20"/>
                <w:szCs w:val="20"/>
              </w:rPr>
            </w:pPr>
          </w:p>
        </w:tc>
        <w:tc>
          <w:tcPr>
            <w:tcW w:w="4641"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olor w:val="000000" w:themeColor="text1"/>
              </w:rPr>
            </w:pPr>
            <w:r>
              <w:rPr>
                <w:rFonts w:hint="eastAsia" w:ascii="宋体" w:hAnsi="宋体"/>
                <w:color w:val="000000" w:themeColor="text1"/>
              </w:rPr>
              <w:t>组织对内外部因素、相关方需求和期望进行了充分的识别，策划和实施有效。组织确定了体系的边界，基本适用。管理体系除Q8.3J10.3全条款适用。</w:t>
            </w:r>
          </w:p>
          <w:p>
            <w:pPr>
              <w:spacing w:line="240" w:lineRule="exact"/>
              <w:ind w:firstLine="420" w:firstLineChars="200"/>
              <w:rPr>
                <w:rFonts w:ascii="宋体" w:hAnsi="宋体"/>
                <w:color w:val="000000" w:themeColor="text1"/>
              </w:rPr>
            </w:pPr>
            <w:r>
              <w:rPr>
                <w:rFonts w:hint="eastAsia" w:ascii="宋体" w:hAnsi="宋体"/>
                <w:color w:val="000000" w:themeColor="text1"/>
              </w:rPr>
              <w:t>经营范围：资质范围内的建筑工程施工总承包、施工劳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b/>
                <w:color w:val="000000" w:themeColor="text1"/>
                <w:sz w:val="20"/>
                <w:szCs w:val="20"/>
              </w:rPr>
            </w:pPr>
            <w:r>
              <w:rPr>
                <w:rFonts w:hint="eastAsia" w:ascii="宋体" w:hAnsi="宋体"/>
                <w:color w:val="000000" w:themeColor="text1"/>
              </w:rPr>
              <w:t>提供了《组织内外部环境因素识别表》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b/>
                <w:color w:val="000000" w:themeColor="text1"/>
                <w:sz w:val="20"/>
                <w:szCs w:val="20"/>
              </w:rPr>
            </w:pPr>
            <w:r>
              <w:rPr>
                <w:rFonts w:hint="eastAsia" w:ascii="宋体" w:hAnsi="宋体" w:cs="宋体"/>
                <w:color w:val="000000"/>
                <w:szCs w:val="21"/>
              </w:rPr>
              <w:t>主要顾客群：</w:t>
            </w:r>
            <w:r>
              <w:rPr>
                <w:rFonts w:hint="eastAsia" w:ascii="宋体" w:hAnsi="宋体" w:cs="宋体"/>
                <w:color w:val="auto"/>
                <w:szCs w:val="21"/>
                <w:lang w:val="en-US" w:eastAsia="zh-CN"/>
              </w:rPr>
              <w:t>建设单位</w:t>
            </w:r>
            <w:r>
              <w:rPr>
                <w:rFonts w:hint="eastAsia" w:ascii="宋体" w:hAnsi="宋体" w:cs="宋体"/>
                <w:color w:val="auto"/>
                <w:szCs w:val="21"/>
              </w:rPr>
              <w:t>、</w:t>
            </w:r>
            <w:r>
              <w:rPr>
                <w:rFonts w:hint="eastAsia" w:ascii="宋体" w:hAnsi="宋体" w:cs="宋体"/>
                <w:color w:val="auto"/>
                <w:szCs w:val="21"/>
                <w:lang w:val="en-US" w:eastAsia="zh-CN"/>
              </w:rPr>
              <w:t>建筑公司</w:t>
            </w:r>
            <w:r>
              <w:rPr>
                <w:rFonts w:hint="eastAsia" w:ascii="宋体" w:hAnsi="宋体" w:cs="宋体"/>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exact"/>
              <w:ind w:firstLine="420" w:firstLineChars="200"/>
              <w:rPr>
                <w:rFonts w:ascii="宋体" w:hAnsi="宋体"/>
                <w:color w:val="000000" w:themeColor="text1"/>
              </w:rPr>
            </w:pPr>
            <w:r>
              <w:rPr>
                <w:rFonts w:hint="eastAsia" w:ascii="宋体" w:hAnsi="宋体"/>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0" w:firstLineChars="200"/>
              <w:rPr>
                <w:rFonts w:ascii="宋体" w:hAnsi="宋体"/>
                <w:color w:val="000000" w:themeColor="text1"/>
              </w:rPr>
            </w:pPr>
            <w:r>
              <w:rPr>
                <w:rFonts w:hint="eastAsia" w:ascii="宋体" w:hAnsi="宋体"/>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0" w:firstLineChars="200"/>
              <w:rPr>
                <w:rFonts w:ascii="宋体" w:hAnsi="宋体"/>
                <w:color w:val="000000" w:themeColor="text1"/>
              </w:rPr>
            </w:pPr>
            <w:r>
              <w:rPr>
                <w:rFonts w:hint="eastAsia" w:ascii="宋体" w:hAnsi="宋体"/>
                <w:color w:val="000000" w:themeColor="text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rPr>
            </w:pPr>
            <w:r>
              <w:rPr>
                <w:rFonts w:hint="eastAsia" w:ascii="宋体" w:hAnsi="宋体"/>
                <w:b/>
                <w:color w:val="000000" w:themeColor="text1"/>
                <w:sz w:val="20"/>
                <w:szCs w:val="20"/>
              </w:rPr>
              <w:t>质量管理体系过程有：</w:t>
            </w:r>
            <w:r>
              <w:rPr>
                <w:rFonts w:hint="eastAsia" w:ascii="宋体" w:hAnsi="宋体"/>
              </w:rPr>
              <w:t>人力资源、基础设施、文件、机构、职责、产品和服务的要求、外部提供的产品和服务、产品放行、不合格输出控制、绩效评价、改进等</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b/>
                <w:sz w:val="20"/>
                <w:szCs w:val="20"/>
              </w:rPr>
              <w:t>其中关键过程有：</w:t>
            </w:r>
            <w:r>
              <w:rPr>
                <w:rFonts w:hint="eastAsia" w:ascii="Times New Roman" w:hAnsi="Times New Roman" w:eastAsia="宋体" w:cs="Times New Roman"/>
                <w:kern w:val="0"/>
                <w:sz w:val="21"/>
                <w:szCs w:val="21"/>
                <w:lang w:val="en-US" w:eastAsia="zh-CN" w:bidi="ar-SA"/>
              </w:rPr>
              <w:t>抽查关键过程-配料过程。</w:t>
            </w:r>
          </w:p>
          <w:p>
            <w:pPr>
              <w:pStyle w:val="3"/>
              <w:ind w:left="0" w:leftChars="0" w:firstLine="0" w:firstLineChars="0"/>
              <w:rPr>
                <w:rFonts w:hint="eastAsia"/>
                <w:sz w:val="21"/>
                <w:szCs w:val="21"/>
                <w:lang w:val="en-US" w:eastAsia="zh-CN"/>
              </w:rPr>
            </w:pPr>
            <w:r>
              <w:rPr>
                <w:rFonts w:hint="eastAsia"/>
                <w:sz w:val="21"/>
                <w:szCs w:val="21"/>
                <w:lang w:val="en-US" w:eastAsia="zh-CN"/>
              </w:rPr>
              <w:t>配料操作程序：设备检查正常，关闭所有下料阀门 → 按照工艺员下达的工艺配比分别称取干物料和料浆 → 按工艺顺序下料入浇注搅拌罐 → （开启）打开蒸汽阀门 → 通知浇注辅助工下料完毕检查混合料浆稠度 → 无异常，检查模具车倒位显示情况 → 开启铝粉气动阀下铝粉 → 浇注入模。</w:t>
            </w:r>
          </w:p>
          <w:p>
            <w:pPr>
              <w:tabs>
                <w:tab w:val="left" w:pos="540"/>
              </w:tabs>
              <w:spacing w:line="300" w:lineRule="exact"/>
              <w:ind w:left="201" w:hanging="201" w:hangingChars="100"/>
              <w:rPr>
                <w:rFonts w:ascii="宋体" w:hAnsi="宋体"/>
                <w:b/>
                <w:color w:val="FF0000"/>
                <w:sz w:val="20"/>
                <w:szCs w:val="20"/>
              </w:rPr>
            </w:pPr>
            <w:r>
              <w:rPr>
                <w:rFonts w:hint="eastAsia" w:ascii="宋体" w:hAnsi="宋体"/>
                <w:b/>
                <w:sz w:val="20"/>
                <w:szCs w:val="20"/>
              </w:rPr>
              <w:t>需要确认过程：</w:t>
            </w:r>
            <w:r>
              <w:rPr>
                <w:rFonts w:hint="eastAsia"/>
                <w:color w:val="auto"/>
                <w:sz w:val="21"/>
                <w:szCs w:val="21"/>
                <w:lang w:val="en-US" w:eastAsia="zh-CN"/>
              </w:rPr>
              <w:t>蒸养过程</w:t>
            </w:r>
          </w:p>
          <w:p>
            <w:pPr>
              <w:tabs>
                <w:tab w:val="left" w:pos="540"/>
              </w:tabs>
              <w:spacing w:line="300" w:lineRule="exact"/>
              <w:ind w:left="210" w:hanging="210" w:hangingChars="100"/>
              <w:rPr>
                <w:rFonts w:ascii="宋体" w:hAnsi="宋体"/>
                <w:b/>
                <w:color w:val="FF0000"/>
                <w:szCs w:val="21"/>
              </w:rPr>
            </w:pPr>
            <w:r>
              <w:pict>
                <v:shape id="AutoShape 8" o:spid="_x0000_s2050" o:spt="32" type="#_x0000_t32" style="position:absolute;left:0pt;margin-left:157.9pt;margin-top:12.75pt;height:0pt;width:261.75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v:path arrowok="t"/>
                  <v:fill on="f" focussize="0,0"/>
                  <v:stroke/>
                  <v:imagedata o:title=""/>
                  <o:lock v:ext="edit"/>
                </v:shape>
              </w:pict>
            </w:r>
            <w:r>
              <w:pict>
                <v:shape id="AutoShape 7" o:spid="_x0000_s2051" o:spt="32" type="#_x0000_t32" style="position:absolute;left:0pt;margin-left:55.15pt;margin-top:12.75pt;height:0pt;width:42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v:path arrowok="t"/>
                  <v:fill on="f" focussize="0,0"/>
                  <v:stroke/>
                  <v:imagedata o:title=""/>
                  <o:lock v:ext="edit"/>
                </v:shape>
              </w:pict>
            </w:r>
            <w:r>
              <w:rPr>
                <w:rFonts w:hint="eastAsia" w:asciiTheme="minorEastAsia" w:hAnsiTheme="minorEastAsia" w:eastAsiaTheme="minorEastAsia"/>
                <w:bCs/>
                <w:iCs/>
              </w:rPr>
              <w:t>不适用条款是 Q8.3J</w:t>
            </w:r>
            <w:r>
              <w:rPr>
                <w:rFonts w:hint="eastAsia" w:asciiTheme="minorEastAsia" w:hAnsiTheme="minorEastAsia" w:eastAsiaTheme="minorEastAsia"/>
                <w:bCs/>
                <w:iCs/>
                <w:u w:val="single"/>
              </w:rPr>
              <w:t xml:space="preserve">10.3 </w:t>
            </w:r>
            <w:r>
              <w:rPr>
                <w:rFonts w:hint="eastAsia" w:asciiTheme="minorEastAsia" w:hAnsiTheme="minorEastAsia" w:eastAsiaTheme="minorEastAsia"/>
                <w:bCs/>
                <w:iCs/>
              </w:rPr>
              <w:t xml:space="preserve">，不适用理由：工程施工按相关法律法规和建设单位要求执行，故该条款不适用。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 xml:space="preserve">环境因素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20" w:firstLineChars="20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1）</w:t>
            </w:r>
            <w:r>
              <w:rPr>
                <w:rFonts w:hint="eastAsia" w:asciiTheme="minorEastAsia" w:hAnsiTheme="minorEastAsia" w:eastAsiaTheme="minorEastAsia"/>
                <w:bCs/>
                <w:iCs/>
                <w:lang w:val="en-US" w:eastAsia="zh-CN"/>
              </w:rPr>
              <w:t>粉</w:t>
            </w:r>
            <w:r>
              <w:rPr>
                <w:rFonts w:hint="eastAsia" w:asciiTheme="minorEastAsia" w:hAnsiTheme="minorEastAsia" w:eastAsiaTheme="minorEastAsia"/>
                <w:bCs/>
                <w:iCs/>
              </w:rPr>
              <w:t>尘排放；2）噪声排放；3）固废（含危废）排放；4）废水排放；5）火灾爆炸；6）资源浪费；7）废气排放。具体控制措施，包括：固废的控制、潜在火灾的应急预案等。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color w:val="000000" w:themeColor="text1"/>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p>
            <w:pPr>
              <w:spacing w:line="300" w:lineRule="exact"/>
              <w:ind w:firstLine="420" w:firstLineChars="200"/>
              <w:rPr>
                <w:rFonts w:ascii="宋体" w:hAnsi="宋体"/>
                <w:color w:val="000000" w:themeColor="text1"/>
              </w:rPr>
            </w:pPr>
            <w:r>
              <w:rPr>
                <w:rFonts w:hint="eastAsia" w:ascii="宋体" w:hAnsi="宋体"/>
                <w:color w:val="000000" w:themeColor="text1"/>
              </w:rPr>
              <w:t>不可接受危险源：火灾、</w:t>
            </w:r>
            <w:r>
              <w:rPr>
                <w:rFonts w:hint="eastAsia" w:ascii="宋体" w:hAnsi="宋体"/>
                <w:color w:val="000000" w:themeColor="text1"/>
                <w:lang w:val="en-US" w:eastAsia="zh-CN"/>
              </w:rPr>
              <w:t>爆炸、</w:t>
            </w:r>
            <w:r>
              <w:rPr>
                <w:rFonts w:hint="eastAsia" w:ascii="宋体" w:hAnsi="宋体"/>
                <w:color w:val="000000" w:themeColor="text1"/>
              </w:rPr>
              <w:t>触电、物体打击、机械伤害、高处坠落、等制定管理方案和应急预案，控制</w:t>
            </w:r>
            <w:r>
              <w:rPr>
                <w:rFonts w:hint="eastAsia" w:ascii="宋体" w:hAnsi="宋体"/>
                <w:color w:val="000000" w:themeColor="text1"/>
                <w:lang w:val="en-US" w:eastAsia="zh-CN"/>
              </w:rPr>
              <w:t>基本</w:t>
            </w:r>
            <w:r>
              <w:rPr>
                <w:rFonts w:hint="eastAsia" w:ascii="宋体" w:hAnsi="宋体"/>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eastAsia="宋体"/>
                <w:b/>
                <w:color w:val="000000" w:themeColor="text1"/>
                <w:sz w:val="20"/>
                <w:szCs w:val="20"/>
                <w:lang w:val="en-US" w:eastAsia="zh-CN"/>
              </w:rPr>
            </w:pPr>
            <w:r>
              <w:rPr>
                <w:rFonts w:hint="eastAsia" w:ascii="宋体" w:hAnsi="宋体" w:cs="宋体"/>
                <w:color w:val="000000"/>
                <w:kern w:val="0"/>
                <w:szCs w:val="21"/>
              </w:rPr>
              <w:t>公司制定、发布了总体</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目标并分解到相关职能部门和层次，规定了目标值、计算方法、责任部门、检查人、考核频次等。同时，</w:t>
            </w:r>
            <w:r>
              <w:rPr>
                <w:rFonts w:hint="eastAsia" w:ascii="宋体" w:hAnsi="宋体" w:cs="宋体"/>
                <w:color w:val="000000"/>
                <w:kern w:val="0"/>
                <w:szCs w:val="21"/>
                <w:lang w:val="en-US" w:eastAsia="zh-CN"/>
              </w:rPr>
              <w:t>QEO</w:t>
            </w:r>
            <w:r>
              <w:rPr>
                <w:rFonts w:hint="eastAsia" w:ascii="宋体" w:hAnsi="宋体" w:cs="宋体"/>
                <w:color w:val="000000"/>
                <w:kern w:val="0"/>
                <w:szCs w:val="21"/>
              </w:rPr>
              <w:t>目标得到沟通和监视评价，通过数据的汇总统计、描述性统计等方法对目标进行了测量，总体已达到或超过了规定的目标值，但</w:t>
            </w:r>
            <w:r>
              <w:rPr>
                <w:rFonts w:hint="eastAsia" w:ascii="宋体" w:hAnsi="宋体" w:cs="宋体"/>
                <w:color w:val="000000"/>
                <w:kern w:val="0"/>
                <w:szCs w:val="21"/>
                <w:lang w:val="en-US" w:eastAsia="zh-CN"/>
              </w:rPr>
              <w:t>部分</w:t>
            </w:r>
            <w:r>
              <w:rPr>
                <w:rFonts w:hint="eastAsia" w:ascii="宋体" w:hAnsi="宋体" w:cs="宋体"/>
                <w:color w:val="000000"/>
                <w:kern w:val="0"/>
                <w:szCs w:val="21"/>
              </w:rPr>
              <w:t>目标的数据分析</w:t>
            </w:r>
            <w:r>
              <w:rPr>
                <w:rFonts w:hint="eastAsia" w:ascii="宋体" w:hAnsi="宋体" w:cs="宋体"/>
                <w:color w:val="000000"/>
                <w:kern w:val="0"/>
                <w:szCs w:val="21"/>
                <w:lang w:val="en-US" w:eastAsia="zh-CN"/>
              </w:rPr>
              <w:t>来源不充分，数据</w:t>
            </w:r>
            <w:r>
              <w:rPr>
                <w:rFonts w:hint="eastAsia" w:ascii="宋体" w:hAnsi="宋体" w:cs="宋体"/>
                <w:color w:val="000000"/>
                <w:kern w:val="0"/>
                <w:szCs w:val="21"/>
              </w:rPr>
              <w:t>利用不到位</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w:t>
            </w:r>
            <w:r>
              <w:rPr>
                <w:rFonts w:hint="eastAsia" w:ascii="宋体" w:hAnsi="宋体" w:cs="宋体"/>
                <w:color w:val="000000" w:themeColor="text1"/>
                <w:lang w:val="en-US" w:eastAsia="zh-CN"/>
              </w:rPr>
              <w:t>基本</w:t>
            </w:r>
            <w:r>
              <w:rPr>
                <w:rFonts w:hint="eastAsia" w:ascii="宋体" w:hAnsi="宋体" w:cs="宋体"/>
                <w:color w:val="000000" w:themeColor="text1"/>
              </w:rPr>
              <w:t>是有效的。</w:t>
            </w:r>
            <w:r>
              <w:rPr>
                <w:rFonts w:hint="eastAsia" w:ascii="宋体" w:hAnsi="宋体" w:cs="宋体"/>
                <w:color w:val="000000" w:themeColor="text1"/>
                <w:lang w:val="en-US" w:eastAsia="zh-CN"/>
              </w:rPr>
              <w:t>但</w:t>
            </w:r>
            <w:r>
              <w:rPr>
                <w:rFonts w:hint="eastAsia" w:ascii="宋体" w:hAnsi="宋体" w:cs="宋体"/>
                <w:color w:val="000000" w:themeColor="text1"/>
              </w:rPr>
              <w:t>组织</w:t>
            </w:r>
            <w:r>
              <w:rPr>
                <w:rFonts w:hint="eastAsia" w:ascii="宋体" w:hAnsi="宋体" w:cs="宋体"/>
                <w:color w:val="000000" w:themeColor="text1"/>
                <w:lang w:val="en-US" w:eastAsia="zh-CN"/>
              </w:rPr>
              <w:t>运行</w:t>
            </w:r>
            <w:r>
              <w:rPr>
                <w:rFonts w:hint="eastAsia" w:ascii="宋体" w:hAnsi="宋体" w:cs="宋体"/>
                <w:color w:val="000000" w:themeColor="text1"/>
              </w:rPr>
              <w:t>记录填写</w:t>
            </w:r>
            <w:r>
              <w:rPr>
                <w:rFonts w:hint="eastAsia" w:ascii="宋体" w:hAnsi="宋体" w:cs="宋体"/>
                <w:color w:val="000000" w:themeColor="text1"/>
                <w:lang w:val="en-US" w:eastAsia="zh-CN"/>
              </w:rPr>
              <w:t>欠</w:t>
            </w:r>
            <w:r>
              <w:rPr>
                <w:rFonts w:hint="eastAsia" w:ascii="宋体" w:hAnsi="宋体" w:cs="宋体"/>
                <w:color w:val="000000" w:themeColor="text1"/>
              </w:rPr>
              <w:t>完整、信息</w:t>
            </w:r>
            <w:r>
              <w:rPr>
                <w:rFonts w:hint="eastAsia" w:ascii="宋体" w:hAnsi="宋体" w:cs="宋体"/>
                <w:color w:val="000000" w:themeColor="text1"/>
                <w:lang w:val="en-US" w:eastAsia="zh-CN"/>
              </w:rPr>
              <w:t>欠</w:t>
            </w:r>
            <w:r>
              <w:rPr>
                <w:rFonts w:hint="eastAsia" w:ascii="宋体" w:hAnsi="宋体" w:cs="宋体"/>
                <w:color w:val="000000" w:themeColor="text1"/>
              </w:rPr>
              <w:t>充分、</w:t>
            </w:r>
            <w:r>
              <w:rPr>
                <w:rFonts w:hint="eastAsia" w:ascii="宋体" w:hAnsi="宋体" w:cs="宋体"/>
                <w:color w:val="000000" w:themeColor="text1"/>
                <w:lang w:val="en-US" w:eastAsia="zh-CN"/>
              </w:rPr>
              <w:t>已交流，</w:t>
            </w:r>
            <w:r>
              <w:rPr>
                <w:rFonts w:hint="eastAsia" w:ascii="宋体" w:hAnsi="宋体" w:cs="宋体"/>
                <w:color w:val="000000" w:themeColor="text1"/>
              </w:rPr>
              <w:t>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color w:val="000000"/>
                <w:spacing w:val="-10"/>
                <w:sz w:val="20"/>
                <w:szCs w:val="20"/>
              </w:rPr>
            </w:pPr>
            <w:r>
              <w:rPr>
                <w:rFonts w:hint="eastAsia" w:ascii="宋体" w:hAnsi="宋体"/>
                <w:color w:val="auto"/>
                <w:sz w:val="21"/>
                <w:szCs w:val="21"/>
              </w:rPr>
              <w:t>办公场</w:t>
            </w:r>
            <w:r>
              <w:rPr>
                <w:rFonts w:hint="eastAsia" w:ascii="宋体" w:hAnsi="宋体" w:cs="宋体"/>
                <w:color w:val="auto"/>
                <w:sz w:val="21"/>
                <w:szCs w:val="21"/>
              </w:rPr>
              <w:t>所面积</w:t>
            </w:r>
            <w:r>
              <w:rPr>
                <w:rFonts w:hint="eastAsia" w:ascii="宋体" w:hAnsi="宋体" w:cs="宋体"/>
                <w:color w:val="auto"/>
                <w:sz w:val="21"/>
                <w:szCs w:val="21"/>
                <w:lang w:val="en-US" w:eastAsia="zh-CN"/>
              </w:rPr>
              <w:t>3000</w:t>
            </w:r>
            <w:r>
              <w:rPr>
                <w:rFonts w:hint="eastAsia" w:ascii="宋体" w:hAnsi="宋体" w:cs="宋体"/>
                <w:color w:val="auto"/>
                <w:sz w:val="21"/>
                <w:szCs w:val="21"/>
              </w:rPr>
              <w:t>平方</w:t>
            </w:r>
            <w:r>
              <w:rPr>
                <w:rFonts w:hint="eastAsia" w:ascii="宋体" w:hAnsi="宋体" w:cs="宋体"/>
                <w:color w:val="auto"/>
                <w:sz w:val="21"/>
                <w:szCs w:val="21"/>
                <w:lang w:val="en-US" w:eastAsia="zh-CN"/>
              </w:rPr>
              <w:t>米</w:t>
            </w:r>
            <w:r>
              <w:rPr>
                <w:rFonts w:hint="eastAsia" w:ascii="宋体" w:hAnsi="宋体" w:cs="宋体"/>
                <w:color w:val="auto"/>
                <w:sz w:val="21"/>
                <w:szCs w:val="21"/>
              </w:rPr>
              <w:t>。</w:t>
            </w:r>
            <w:r>
              <w:rPr>
                <w:rFonts w:hint="eastAsia" w:ascii="宋体" w:hAnsi="宋体" w:cs="宋体"/>
                <w:color w:val="auto"/>
                <w:sz w:val="21"/>
                <w:szCs w:val="21"/>
                <w:lang w:val="en-US" w:eastAsia="zh-CN"/>
              </w:rPr>
              <w:t>厂房面积6000平方米。</w:t>
            </w:r>
            <w:r>
              <w:rPr>
                <w:rFonts w:hint="eastAsia" w:ascii="宋体" w:hAnsi="宋体" w:cs="宋体"/>
                <w:color w:val="auto"/>
                <w:sz w:val="21"/>
                <w:szCs w:val="21"/>
              </w:rPr>
              <w:t>主要</w:t>
            </w:r>
            <w:r>
              <w:rPr>
                <w:rFonts w:hint="eastAsia" w:ascii="宋体" w:hAnsi="宋体"/>
                <w:color w:val="auto"/>
                <w:spacing w:val="-10"/>
                <w:sz w:val="21"/>
                <w:szCs w:val="21"/>
              </w:rPr>
              <w:t>办公设备如电脑、打印机、胶装机、复印机、办公桌等等。</w:t>
            </w:r>
            <w:r>
              <w:rPr>
                <w:rFonts w:hint="eastAsia"/>
                <w:b w:val="0"/>
                <w:bCs/>
                <w:color w:val="auto"/>
                <w:sz w:val="21"/>
                <w:szCs w:val="21"/>
                <w:lang w:val="en-US" w:eastAsia="zh-CN"/>
              </w:rPr>
              <w:t>破碎机、斗式提升机、球磨机、螺旋输送机、浆池搅拌机、渣浆机、铝粉搅拌机、粉料计量罐、固定式浇注机、电动摆渡车、小车自动转运过程、蒸养小车、自动配料电控操作台、翻转式切割台、慢速变频送坯卷扬机、蒸压釜、空压机、脉冲除尘器、双梁双速双钩同步行车共计676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b w:val="0"/>
                <w:bCs/>
                <w:sz w:val="21"/>
                <w:szCs w:val="21"/>
                <w:lang w:val="en-US" w:eastAsia="zh-CN"/>
              </w:rPr>
              <w:t>检测设备有：压力机、切割机、天枰、高温炉、干燥箱、温度计、钢卷尺等。</w:t>
            </w:r>
            <w:r>
              <w:rPr>
                <w:rFonts w:hint="eastAsia" w:ascii="宋体" w:hAnsi="宋体" w:cs="宋体"/>
                <w:color w:val="auto"/>
                <w:lang w:val="en-US" w:eastAsia="zh-CN"/>
              </w:rPr>
              <w:t>未</w:t>
            </w:r>
            <w:r>
              <w:rPr>
                <w:rFonts w:hint="eastAsia" w:ascii="宋体" w:hAnsi="宋体" w:cs="宋体"/>
                <w:color w:val="auto"/>
              </w:rPr>
              <w:t>提供在有效期内检定证书。</w:t>
            </w:r>
            <w:r>
              <w:rPr>
                <w:rFonts w:hint="eastAsia" w:ascii="宋体" w:hAnsi="宋体" w:cs="宋体"/>
                <w:color w:val="auto"/>
                <w:lang w:val="en-US" w:eastAsia="zh-CN"/>
              </w:rPr>
              <w:t>开具不符合1项</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环保设施：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ind w:firstLine="400" w:firstLineChars="200"/>
              <w:rPr>
                <w:rFonts w:ascii="宋体" w:hAnsi="宋体"/>
                <w:sz w:val="20"/>
                <w:szCs w:val="20"/>
              </w:rPr>
            </w:pPr>
            <w:r>
              <w:rPr>
                <w:rFonts w:hint="eastAsia" w:ascii="宋体" w:hAnsi="宋体"/>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cs="宋体"/>
                <w:szCs w:val="21"/>
              </w:rPr>
            </w:pPr>
            <w:r>
              <w:rPr>
                <w:rFonts w:hint="eastAsia" w:ascii="宋体" w:hAnsi="宋体" w:cs="宋体"/>
                <w:szCs w:val="21"/>
              </w:rPr>
              <w:t>最高管理者组织制定了QEO方针：现行的方针在手册有专门的释议，具备适宜性。通过会议、张贴等方式进行传达宣贯，管理绩效表明其方针能够通过管理体系加以有效实施、实现及动态管理。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宋体" w:hAnsi="宋体" w:cs="宋体"/>
                <w:color w:val="000000"/>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宋体" w:hAnsi="宋体" w:cs="Arial"/>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188"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特殊过程：结构焊接过程、特殊防水过程、大体积混凝土浇筑等，对人员和设备及工艺参数都做了确认，提供特殊过程确认记录。</w:t>
            </w:r>
          </w:p>
          <w:p>
            <w:pPr>
              <w:spacing w:line="240" w:lineRule="exact"/>
              <w:ind w:firstLine="420" w:firstLineChars="200"/>
              <w:rPr>
                <w:rFonts w:ascii="宋体" w:hAnsi="宋体" w:cs="宋体"/>
                <w:color w:val="auto"/>
                <w:szCs w:val="21"/>
              </w:rPr>
            </w:pPr>
            <w:r>
              <w:rPr>
                <w:rFonts w:hint="eastAsia" w:ascii="宋体" w:hAnsi="宋体" w:cs="宋体"/>
                <w:color w:val="auto"/>
                <w:szCs w:val="21"/>
              </w:rPr>
              <w:t>关键过程为，</w:t>
            </w:r>
            <w:r>
              <w:rPr>
                <w:rFonts w:hint="eastAsia" w:ascii="Times New Roman" w:hAnsi="Times New Roman" w:eastAsia="宋体" w:cs="Times New Roman"/>
                <w:color w:val="auto"/>
                <w:kern w:val="0"/>
                <w:sz w:val="21"/>
                <w:szCs w:val="21"/>
                <w:lang w:val="en-US" w:eastAsia="zh-CN" w:bidi="ar-SA"/>
              </w:rPr>
              <w:t>-配料过程</w:t>
            </w:r>
            <w:r>
              <w:rPr>
                <w:rFonts w:hint="eastAsia" w:ascii="宋体" w:hAnsi="宋体" w:cs="宋体"/>
                <w:color w:val="auto"/>
                <w:szCs w:val="21"/>
              </w:rPr>
              <w:t>制定作业指导书</w:t>
            </w:r>
            <w:r>
              <w:rPr>
                <w:rFonts w:hint="eastAsia" w:ascii="宋体" w:hAnsi="宋体" w:cs="宋体"/>
                <w:color w:val="auto"/>
                <w:szCs w:val="21"/>
                <w:lang w:eastAsia="zh-CN"/>
              </w:rPr>
              <w:t>、</w:t>
            </w:r>
            <w:r>
              <w:rPr>
                <w:rFonts w:hint="eastAsia" w:ascii="宋体" w:hAnsi="宋体" w:cs="宋体"/>
                <w:color w:val="auto"/>
                <w:szCs w:val="21"/>
                <w:lang w:val="en-US" w:eastAsia="zh-CN"/>
              </w:rPr>
              <w:t>工艺流程</w:t>
            </w:r>
            <w:r>
              <w:rPr>
                <w:rFonts w:hint="eastAsia" w:ascii="宋体" w:hAnsi="宋体" w:cs="宋体"/>
                <w:color w:val="auto"/>
                <w:szCs w:val="21"/>
              </w:rPr>
              <w:t>。</w:t>
            </w:r>
          </w:p>
          <w:p>
            <w:pPr>
              <w:spacing w:line="240" w:lineRule="exact"/>
              <w:ind w:firstLine="420" w:firstLineChars="200"/>
              <w:rPr>
                <w:b/>
                <w:color w:val="000000" w:themeColor="text1"/>
                <w:sz w:val="20"/>
                <w:szCs w:val="20"/>
              </w:rPr>
            </w:pPr>
            <w:r>
              <w:rPr>
                <w:rFonts w:hint="eastAsia" w:ascii="宋体" w:hAnsi="宋体" w:cs="宋体"/>
                <w:color w:val="auto"/>
                <w:szCs w:val="21"/>
              </w:rPr>
              <w:t>对关键过程和特殊过程</w:t>
            </w:r>
            <w:r>
              <w:rPr>
                <w:rFonts w:hint="eastAsia" w:ascii="宋体" w:hAnsi="宋体" w:cs="宋体"/>
                <w:color w:val="auto"/>
                <w:szCs w:val="21"/>
                <w:lang w:val="en-US" w:eastAsia="zh-CN"/>
              </w:rPr>
              <w:t>基本</w:t>
            </w:r>
            <w:r>
              <w:rPr>
                <w:rFonts w:hint="eastAsia" w:ascii="宋体" w:hAnsi="宋体" w:cs="宋体"/>
                <w:color w:val="auto"/>
                <w:szCs w:val="21"/>
              </w:rPr>
              <w:t>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制定并实施了检验控制规定，规定了公司各管理层次和检测部门在各阶段对产品服务质量实施检查与验收的管理要求。内容基本具备全面性、系统性及可操作性。质量检查与验收均</w:t>
            </w:r>
            <w:r>
              <w:rPr>
                <w:rFonts w:hint="eastAsia" w:ascii="宋体" w:hAnsi="宋体" w:cs="宋体"/>
                <w:color w:val="000000"/>
                <w:szCs w:val="21"/>
                <w:lang w:val="en-US" w:eastAsia="zh-CN"/>
              </w:rPr>
              <w:t>活动</w:t>
            </w:r>
            <w:r>
              <w:rPr>
                <w:rFonts w:hint="eastAsia" w:ascii="宋体" w:hAnsi="宋体" w:cs="宋体"/>
                <w:color w:val="000000"/>
                <w:szCs w:val="21"/>
              </w:rPr>
              <w:t>在</w:t>
            </w:r>
            <w:r>
              <w:rPr>
                <w:rFonts w:hint="eastAsia" w:ascii="宋体" w:hAnsi="宋体" w:cs="宋体"/>
                <w:color w:val="000000"/>
                <w:szCs w:val="21"/>
                <w:lang w:val="en-US"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rFonts w:hint="default" w:eastAsia="宋体"/>
                <w:b/>
                <w:color w:val="000000" w:themeColor="text1"/>
                <w:sz w:val="20"/>
                <w:szCs w:val="20"/>
                <w:lang w:val="en-US" w:eastAsia="zh-CN"/>
              </w:rPr>
            </w:pPr>
            <w:r>
              <w:rPr>
                <w:rFonts w:hint="eastAsia"/>
                <w:b/>
                <w:color w:val="000000" w:themeColor="text1"/>
                <w:sz w:val="20"/>
                <w:szCs w:val="20"/>
                <w:lang w:val="en-US" w:eastAsia="zh-CN"/>
              </w:rPr>
              <w:t>提供武汉产品质量监督检验建材站的检验报告。</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25" w:firstLineChars="250"/>
              <w:rPr>
                <w:b/>
                <w:color w:val="000000" w:themeColor="text1"/>
                <w:sz w:val="20"/>
                <w:szCs w:val="20"/>
              </w:rPr>
            </w:pPr>
            <w:r>
              <w:rPr>
                <w:rFonts w:hint="eastAsia" w:asciiTheme="minorEastAsia" w:hAnsiTheme="minorEastAsia" w:eastAsiaTheme="minorEastAsia"/>
                <w:bCs/>
                <w:iCs/>
              </w:rPr>
              <w:t>组织重要环境因素为1）</w:t>
            </w:r>
            <w:r>
              <w:rPr>
                <w:rFonts w:hint="eastAsia" w:asciiTheme="minorEastAsia" w:hAnsiTheme="minorEastAsia" w:eastAsiaTheme="minorEastAsia"/>
                <w:bCs/>
                <w:iCs/>
                <w:lang w:val="en-US" w:eastAsia="zh-CN"/>
              </w:rPr>
              <w:t>粉</w:t>
            </w:r>
            <w:r>
              <w:rPr>
                <w:rFonts w:hint="eastAsia" w:asciiTheme="minorEastAsia" w:hAnsiTheme="minorEastAsia" w:eastAsiaTheme="minorEastAsia"/>
                <w:bCs/>
                <w:iCs/>
              </w:rPr>
              <w:t>尘排放；2）噪声排放；3）固废（排放；4）废水排放；5）火灾爆炸；6）资源浪费；7）废气排放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tabs>
                <w:tab w:val="left" w:pos="2552"/>
              </w:tabs>
              <w:spacing w:line="360" w:lineRule="exact"/>
              <w:ind w:firstLine="420" w:firstLineChars="20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组织建立了危险源识别、评价控制程序，识别评价了危险源、风险相关的过程，评价出了重要危险源火灾、触电、物体打击、机械伤害、高处坠落等，针对不可接受风险制定了管理方案。控制措施实施有效。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left="201" w:hanging="201" w:hangingChars="100"/>
              <w:rPr>
                <w:b/>
                <w:color w:val="000000" w:themeColor="text1"/>
                <w:sz w:val="20"/>
                <w:szCs w:val="20"/>
              </w:rPr>
            </w:pP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组织识别了紧急情况，应急准备和响应为潜在火灾、触电、</w:t>
            </w:r>
            <w:r>
              <w:rPr>
                <w:rFonts w:hint="eastAsia" w:asciiTheme="minorEastAsia" w:hAnsiTheme="minorEastAsia" w:eastAsiaTheme="minorEastAsia"/>
                <w:bCs/>
                <w:iCs/>
                <w:lang w:val="en-US" w:eastAsia="zh-CN"/>
              </w:rPr>
              <w:t>灼伤、</w:t>
            </w:r>
            <w:r>
              <w:rPr>
                <w:rFonts w:hint="eastAsia" w:asciiTheme="minorEastAsia" w:hAnsiTheme="minorEastAsia" w:eastAsiaTheme="minorEastAsia"/>
                <w:bCs/>
                <w:iCs/>
              </w:rPr>
              <w:t>物体打击、机械伤害、高处坠落等，识别合理、有效。</w:t>
            </w:r>
            <w:r>
              <w:rPr>
                <w:rFonts w:hint="eastAsia" w:asciiTheme="minorEastAsia" w:hAnsiTheme="minorEastAsia" w:eastAsiaTheme="minorEastAsia"/>
                <w:bCs/>
                <w:iCs/>
                <w:lang w:val="en-US" w:eastAsia="zh-CN"/>
              </w:rPr>
              <w:t>查到</w:t>
            </w:r>
            <w:r>
              <w:rPr>
                <w:rFonts w:hint="eastAsia"/>
                <w:sz w:val="21"/>
                <w:szCs w:val="21"/>
                <w:lang w:eastAsia="zh-CN"/>
              </w:rPr>
              <w:t>20</w:t>
            </w:r>
            <w:r>
              <w:rPr>
                <w:rFonts w:hint="eastAsia"/>
                <w:sz w:val="21"/>
                <w:szCs w:val="21"/>
                <w:lang w:val="en-US" w:eastAsia="zh-CN"/>
              </w:rPr>
              <w:t>20-6-5火灾应急</w:t>
            </w:r>
            <w:r>
              <w:rPr>
                <w:rFonts w:hint="eastAsia"/>
                <w:sz w:val="21"/>
                <w:szCs w:val="21"/>
              </w:rPr>
              <w:t>演练</w:t>
            </w:r>
            <w:r>
              <w:rPr>
                <w:rFonts w:hint="eastAsia" w:asciiTheme="minorEastAsia" w:hAnsiTheme="minorEastAsia" w:eastAsiaTheme="minorEastAsia"/>
                <w:bCs/>
                <w:iCs/>
              </w:rPr>
              <w:t>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提供了特种设备蒸压斧、压力阀的检测报告。， 未提供行车、叉车的检定报告，开具不符合1项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color w:val="000000"/>
                <w:sz w:val="21"/>
                <w:szCs w:val="21"/>
              </w:rPr>
              <w:t>提供《顾客满意度统计分析表》，顾客满意率达到9</w:t>
            </w:r>
            <w:r>
              <w:rPr>
                <w:rFonts w:hint="eastAsia"/>
                <w:color w:val="000000"/>
                <w:sz w:val="21"/>
                <w:szCs w:val="21"/>
                <w:lang w:val="en-US" w:eastAsia="zh-CN"/>
              </w:rPr>
              <w:t>7</w:t>
            </w:r>
            <w:r>
              <w:rPr>
                <w:rFonts w:hint="eastAsia"/>
                <w:color w:val="000000"/>
                <w:sz w:val="21"/>
                <w:szCs w:val="21"/>
              </w:rPr>
              <w:t>%，达到了质量目标的要求。</w:t>
            </w:r>
          </w:p>
          <w:p>
            <w:pPr>
              <w:spacing w:line="240" w:lineRule="exact"/>
              <w:ind w:left="105" w:leftChars="50" w:firstLine="315" w:firstLineChars="150"/>
              <w:rPr>
                <w:b/>
                <w:color w:val="000000" w:themeColor="text1"/>
                <w:sz w:val="20"/>
                <w:szCs w:val="20"/>
              </w:rPr>
            </w:pPr>
            <w:r>
              <w:rPr>
                <w:rFonts w:hint="eastAsia"/>
                <w:color w:val="000000"/>
                <w:sz w:val="21"/>
                <w:szCs w:val="21"/>
              </w:rPr>
              <w:t>调查未发现有顾客投诉</w:t>
            </w:r>
            <w:r>
              <w:rPr>
                <w:rFonts w:hint="eastAsia"/>
                <w:color w:val="000000"/>
                <w:sz w:val="21"/>
                <w:szCs w:val="21"/>
                <w:lang w:eastAsia="zh-CN"/>
              </w:rPr>
              <w:t>，不满意主要为价位偏高，公司根据市场同时加强管理降低成本适当降低售价，提高顾客满意度</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320" w:lineRule="exact"/>
              <w:ind w:firstLine="422" w:firstLineChars="200"/>
              <w:rPr>
                <w:rFonts w:hint="default" w:ascii="宋体" w:hAnsi="宋体"/>
                <w:szCs w:val="21"/>
                <w:lang w:val="en-US"/>
              </w:rPr>
            </w:pPr>
            <w:r>
              <w:rPr>
                <w:rFonts w:hint="eastAsia" w:ascii="宋体" w:hAnsi="宋体"/>
                <w:b/>
                <w:bCs/>
                <w:szCs w:val="21"/>
              </w:rPr>
              <w:t>建立有《内部审核控制程序》，规定了内审频次一年一次，内审时间：</w:t>
            </w:r>
            <w:r>
              <w:rPr>
                <w:rFonts w:ascii="宋体" w:hAnsi="宋体"/>
                <w:b/>
                <w:bCs/>
                <w:sz w:val="24"/>
              </w:rPr>
              <w:t>20</w:t>
            </w:r>
            <w:r>
              <w:rPr>
                <w:rFonts w:hint="eastAsia" w:ascii="宋体" w:hAnsi="宋体"/>
                <w:b/>
                <w:bCs/>
                <w:sz w:val="24"/>
                <w:lang w:val="en-US" w:eastAsia="zh-CN"/>
              </w:rPr>
              <w:t>20</w:t>
            </w:r>
            <w:r>
              <w:rPr>
                <w:rFonts w:hint="eastAsia" w:ascii="宋体" w:hAnsi="宋体"/>
                <w:b/>
                <w:bCs/>
                <w:sz w:val="24"/>
              </w:rPr>
              <w:t>年</w:t>
            </w:r>
            <w:r>
              <w:rPr>
                <w:rFonts w:hint="eastAsia" w:ascii="宋体" w:hAnsi="宋体"/>
                <w:b/>
                <w:bCs/>
                <w:sz w:val="24"/>
                <w:lang w:val="en-US" w:eastAsia="zh-CN"/>
              </w:rPr>
              <w:t>10</w:t>
            </w:r>
            <w:r>
              <w:rPr>
                <w:rFonts w:hint="eastAsia" w:ascii="宋体" w:hAnsi="宋体"/>
                <w:b/>
                <w:bCs/>
                <w:sz w:val="24"/>
              </w:rPr>
              <w:t>月</w:t>
            </w:r>
            <w:r>
              <w:rPr>
                <w:rFonts w:hint="eastAsia" w:ascii="宋体" w:hAnsi="宋体"/>
                <w:b/>
                <w:bCs/>
                <w:sz w:val="24"/>
                <w:lang w:val="en-US" w:eastAsia="zh-CN"/>
              </w:rPr>
              <w:t>2</w:t>
            </w:r>
            <w:r>
              <w:rPr>
                <w:rFonts w:hint="eastAsia" w:ascii="宋体" w:hAnsi="宋体"/>
                <w:b/>
                <w:bCs/>
                <w:sz w:val="24"/>
              </w:rPr>
              <w:t>1-</w:t>
            </w:r>
            <w:r>
              <w:rPr>
                <w:rFonts w:hint="eastAsia" w:ascii="宋体" w:hAnsi="宋体"/>
                <w:b/>
                <w:bCs/>
                <w:sz w:val="24"/>
                <w:lang w:val="en-US" w:eastAsia="zh-CN"/>
              </w:rPr>
              <w:t>2</w:t>
            </w:r>
            <w:r>
              <w:rPr>
                <w:rFonts w:hint="eastAsia" w:ascii="宋体" w:hAnsi="宋体"/>
                <w:b/>
                <w:bCs/>
                <w:sz w:val="24"/>
              </w:rPr>
              <w:t>2日</w:t>
            </w:r>
            <w:r>
              <w:rPr>
                <w:rFonts w:hint="eastAsia" w:ascii="宋体" w:hAnsi="宋体"/>
                <w:b/>
                <w:bCs/>
                <w:szCs w:val="21"/>
              </w:rPr>
              <w:t>，拟定了审核实施表，明确了内审范围，内审人员经培训合格上岗，能力满足要求。开具一个不符合项报告：针对该不符合项，已及时采取纠正措施后，经内审员验证关闭。内审的有效性需要改善。组长：</w:t>
            </w:r>
            <w:r>
              <w:rPr>
                <w:rFonts w:hint="eastAsia" w:ascii="宋体" w:hAnsi="宋体"/>
                <w:b/>
                <w:bCs/>
                <w:sz w:val="20"/>
                <w:szCs w:val="20"/>
              </w:rPr>
              <w:t>组长：</w:t>
            </w:r>
            <w:r>
              <w:rPr>
                <w:rFonts w:hint="eastAsia" w:ascii="宋体" w:hAnsi="宋体"/>
                <w:b/>
                <w:bCs/>
                <w:sz w:val="20"/>
                <w:szCs w:val="20"/>
                <w:lang w:val="en-US" w:eastAsia="zh-CN"/>
              </w:rPr>
              <w:t>黄康</w:t>
            </w:r>
            <w:r>
              <w:rPr>
                <w:rFonts w:hint="eastAsia" w:ascii="宋体" w:hAnsi="宋体"/>
                <w:b/>
                <w:bCs/>
                <w:sz w:val="18"/>
                <w:szCs w:val="18"/>
              </w:rPr>
              <w:t>（</w:t>
            </w:r>
            <w:r>
              <w:rPr>
                <w:rFonts w:hint="eastAsia" w:ascii="宋体" w:hAnsi="宋体"/>
                <w:b/>
                <w:bCs/>
                <w:sz w:val="20"/>
                <w:szCs w:val="20"/>
              </w:rPr>
              <w:t>A</w:t>
            </w:r>
            <w:r>
              <w:rPr>
                <w:rFonts w:hint="eastAsia" w:ascii="宋体" w:hAnsi="宋体"/>
                <w:b/>
                <w:bCs/>
                <w:sz w:val="18"/>
                <w:szCs w:val="18"/>
              </w:rPr>
              <w:t>） 组员：</w:t>
            </w:r>
            <w:r>
              <w:rPr>
                <w:rFonts w:hint="eastAsia" w:ascii="宋体" w:hAnsi="宋体"/>
                <w:b/>
                <w:bCs/>
                <w:sz w:val="18"/>
                <w:szCs w:val="18"/>
                <w:lang w:val="en-US" w:eastAsia="zh-CN"/>
              </w:rPr>
              <w:t>张三元</w:t>
            </w:r>
            <w:r>
              <w:rPr>
                <w:rFonts w:hint="eastAsia" w:ascii="宋体" w:hAnsi="宋体"/>
                <w:b/>
                <w:bCs/>
                <w:sz w:val="18"/>
                <w:szCs w:val="18"/>
              </w:rPr>
              <w:t>（B）</w:t>
            </w:r>
            <w:r>
              <w:rPr>
                <w:rFonts w:hint="eastAsia"/>
                <w:b/>
                <w:bCs/>
                <w:sz w:val="21"/>
                <w:szCs w:val="21"/>
              </w:rPr>
              <w:t>李林祥</w:t>
            </w:r>
            <w:r>
              <w:rPr>
                <w:rFonts w:hint="eastAsia"/>
                <w:b/>
                <w:bCs/>
                <w:sz w:val="21"/>
                <w:szCs w:val="21"/>
                <w:lang w:eastAsia="zh-CN"/>
              </w:rPr>
              <w:t>（</w:t>
            </w:r>
            <w:r>
              <w:rPr>
                <w:rFonts w:hint="eastAsia"/>
                <w:b/>
                <w:bCs/>
                <w:sz w:val="21"/>
                <w:szCs w:val="21"/>
              </w:rPr>
              <w:t>C</w:t>
            </w:r>
            <w:r>
              <w:rPr>
                <w:rFonts w:hint="eastAsia"/>
                <w:b/>
                <w:bCs/>
                <w:sz w:val="21"/>
                <w:szCs w:val="21"/>
                <w:lang w:eastAsia="zh-CN"/>
              </w:rPr>
              <w:t>）</w:t>
            </w:r>
            <w:r>
              <w:rPr>
                <w:rFonts w:hint="eastAsia"/>
                <w:b/>
                <w:bCs/>
                <w:sz w:val="21"/>
                <w:szCs w:val="21"/>
                <w:lang w:val="en-US" w:eastAsia="zh-CN"/>
              </w:rPr>
              <w:t>内审的有效性需得到重视，已交流。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w:t>
            </w:r>
            <w:r>
              <w:rPr>
                <w:rFonts w:hint="eastAsia" w:ascii="宋体" w:hAnsi="宋体" w:cs="宋体"/>
                <w:szCs w:val="21"/>
                <w:lang w:val="en-US" w:eastAsia="zh-CN"/>
              </w:rPr>
              <w:t>规定</w:t>
            </w:r>
            <w:r>
              <w:rPr>
                <w:rFonts w:hint="eastAsia" w:ascii="宋体" w:hAnsi="宋体" w:cs="宋体"/>
                <w:szCs w:val="21"/>
              </w:rPr>
              <w:t>频次为一年一次、本次管理评审于</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16</w:t>
            </w:r>
            <w:r>
              <w:rPr>
                <w:rFonts w:hint="eastAsia" w:ascii="宋体" w:hAnsi="宋体"/>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欠</w:t>
            </w:r>
            <w:r>
              <w:rPr>
                <w:rFonts w:hint="eastAsia" w:ascii="宋体" w:hAnsi="宋体" w:cs="宋体"/>
                <w:szCs w:val="21"/>
              </w:rPr>
              <w:t>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Cs w:val="21"/>
                <w:lang w:val="en-US" w:eastAsia="zh-CN"/>
              </w:rPr>
            </w:pP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被动监测：自体系建立以来没有发生过环境</w:t>
            </w:r>
            <w:r>
              <w:rPr>
                <w:rFonts w:hint="eastAsia"/>
                <w:b/>
                <w:color w:val="000000" w:themeColor="text1"/>
                <w:sz w:val="20"/>
                <w:szCs w:val="20"/>
              </w:rPr>
              <w:t>污水、废气、噪声、废渣</w:t>
            </w:r>
            <w:r>
              <w:rPr>
                <w:rFonts w:hint="eastAsia" w:asciiTheme="minorEastAsia" w:hAnsiTheme="minorEastAsia" w:eastAsiaTheme="minorEastAsia"/>
                <w:b/>
                <w:szCs w:val="21"/>
              </w:rPr>
              <w:t>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rFonts w:hint="default" w:eastAsia="宋体"/>
                <w:b/>
                <w:szCs w:val="21"/>
                <w:lang w:val="en-US" w:eastAsia="zh-CN"/>
              </w:rPr>
            </w:pPr>
            <w:r>
              <w:rPr>
                <w:rFonts w:hint="eastAsia"/>
                <w:b/>
                <w:szCs w:val="21"/>
                <w:lang w:val="en-US" w:eastAsia="zh-CN"/>
              </w:rPr>
              <w:t>提供环评报告，符合。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asciiTheme="minorEastAsia" w:hAnsiTheme="minorEastAsia" w:eastAsiaTheme="minorEastAsia"/>
                <w:b/>
                <w:szCs w:val="21"/>
              </w:rPr>
            </w:pPr>
            <w:r>
              <w:rPr>
                <w:rFonts w:hint="eastAsia" w:asciiTheme="minorEastAsia" w:hAnsiTheme="minorEastAsia" w:eastAsiaTheme="minorEastAsia"/>
                <w:b/>
                <w:szCs w:val="21"/>
              </w:rPr>
              <w:t>职业健康安全监测：每季度进行日常检查。未发生不满足要求的情况。</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70"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rFonts w:hint="eastAsia" w:eastAsia="宋体"/>
                <w:b/>
                <w:sz w:val="20"/>
                <w:szCs w:val="20"/>
                <w:lang w:val="en-US" w:eastAsia="zh-CN"/>
              </w:rPr>
            </w:pPr>
            <w:r>
              <w:rPr>
                <w:rFonts w:hint="eastAsia"/>
                <w:b/>
                <w:sz w:val="20"/>
                <w:szCs w:val="20"/>
              </w:rPr>
              <w:t>公司成立时间</w:t>
            </w:r>
            <w:r>
              <w:rPr>
                <w:rFonts w:hint="eastAsia"/>
                <w:b/>
                <w:sz w:val="20"/>
                <w:szCs w:val="20"/>
                <w:lang w:val="en-US" w:eastAsia="zh-CN"/>
              </w:rPr>
              <w:t>2012</w:t>
            </w:r>
            <w:r>
              <w:rPr>
                <w:rFonts w:hint="eastAsia"/>
                <w:b/>
                <w:sz w:val="20"/>
                <w:szCs w:val="20"/>
              </w:rPr>
              <w:t>年。</w:t>
            </w:r>
            <w:r>
              <w:rPr>
                <w:rFonts w:hint="eastAsia"/>
                <w:b/>
                <w:sz w:val="20"/>
                <w:szCs w:val="20"/>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2" w:firstLineChars="200"/>
              <w:rPr>
                <w:rFonts w:ascii="宋体" w:hAnsi="宋体"/>
                <w:b/>
                <w:bCs/>
                <w:szCs w:val="21"/>
              </w:rPr>
            </w:pPr>
            <w:r>
              <w:rPr>
                <w:rFonts w:hint="eastAsia" w:ascii="宋体" w:hAnsi="宋体" w:cs="宋体"/>
                <w:b/>
                <w:bCs/>
                <w:color w:val="000000" w:themeColor="text1"/>
              </w:rPr>
              <w:t>公司明确通过对内、外审核结果、管理评审输出、监测和测量等活动中识别出</w:t>
            </w:r>
            <w:r>
              <w:rPr>
                <w:rFonts w:hint="eastAsia" w:ascii="宋体" w:hAnsi="宋体"/>
                <w:b/>
                <w:bCs/>
                <w:color w:val="000000" w:themeColor="text1"/>
              </w:rPr>
              <w:t>在产品</w:t>
            </w:r>
            <w:r>
              <w:rPr>
                <w:rFonts w:hint="eastAsia" w:ascii="宋体" w:hAnsi="宋体"/>
                <w:b/>
                <w:bCs/>
                <w:color w:val="000000" w:themeColor="text1"/>
                <w:lang w:val="en-US" w:eastAsia="zh-CN"/>
              </w:rPr>
              <w:t>生产</w:t>
            </w:r>
            <w:r>
              <w:rPr>
                <w:rFonts w:hint="eastAsia" w:ascii="宋体" w:hAnsi="宋体"/>
                <w:b/>
                <w:bCs/>
                <w:color w:val="000000" w:themeColor="text1"/>
              </w:rPr>
              <w:t>/</w:t>
            </w:r>
            <w:r>
              <w:rPr>
                <w:rFonts w:hint="eastAsia" w:ascii="宋体" w:hAnsi="宋体"/>
                <w:b/>
                <w:bCs/>
                <w:color w:val="000000" w:themeColor="text1"/>
                <w:lang w:val="en-US" w:eastAsia="zh-CN"/>
              </w:rPr>
              <w:t>销售</w:t>
            </w:r>
            <w:r>
              <w:rPr>
                <w:rFonts w:hint="eastAsia" w:ascii="宋体" w:hAnsi="宋体"/>
                <w:b/>
                <w:bCs/>
                <w:color w:val="000000" w:themeColor="text1"/>
              </w:rPr>
              <w:t>过程、管理体系等方面</w:t>
            </w:r>
            <w:r>
              <w:rPr>
                <w:rFonts w:hint="eastAsia" w:ascii="宋体" w:hAnsi="宋体" w:cs="宋体"/>
                <w:b/>
                <w:bCs/>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已经有效整改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70"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22" w:firstLineChars="200"/>
              <w:rPr>
                <w:b/>
                <w:color w:val="000000" w:themeColor="text1"/>
                <w:szCs w:val="21"/>
              </w:rPr>
            </w:pPr>
            <w:r>
              <w:rPr>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b/>
        </w:rPr>
        <w:t xml:space="preserve">1. </w:t>
      </w:r>
      <w:r>
        <w:rPr>
          <w:rFonts w:hint="eastAsia"/>
          <w:b/>
        </w:rPr>
        <w:t>本次审核共开具不符合项报告</w:t>
      </w:r>
      <w:r>
        <w:rPr>
          <w:rFonts w:hint="eastAsia"/>
          <w:b/>
          <w:lang w:val="en-US" w:eastAsia="zh-CN"/>
        </w:rPr>
        <w:t>4</w:t>
      </w:r>
      <w:r>
        <w:rPr>
          <w:rFonts w:hint="eastAsia"/>
          <w:b/>
        </w:rPr>
        <w:t>项；其中</w:t>
      </w:r>
      <w:r>
        <w:pict>
          <v:line id="_x0000_s2052" o:spid="_x0000_s2052" o:spt="20" style="position:absolute;left:0pt;margin-left:210pt;margin-top:16.2pt;height:0pt;width:0pt;z-index:251662336;mso-width-relative:page;mso-height-relative:page;" coordsize="21600,21600" o:allowincell="f">
            <v:path arrowok="t"/>
            <v:fill focussize="0,0"/>
            <v:stroke/>
            <v:imagedata o:title=""/>
            <o:lock v:ext="edit"/>
          </v:line>
        </w:pict>
      </w:r>
      <w:r>
        <w:rPr>
          <w:rFonts w:hint="eastAsia"/>
          <w:b/>
        </w:rPr>
        <w:t>严</w:t>
      </w:r>
      <w:r>
        <w:rPr>
          <w:rFonts w:hint="eastAsia"/>
          <w:b/>
          <w:color w:val="auto"/>
        </w:rPr>
        <w:t>重不符合</w:t>
      </w:r>
      <w:r>
        <w:rPr>
          <w:b/>
          <w:color w:val="auto"/>
        </w:rPr>
        <w:t>0</w:t>
      </w:r>
      <w:r>
        <w:rPr>
          <w:rFonts w:hint="eastAsia"/>
          <w:b/>
          <w:color w:val="auto"/>
        </w:rPr>
        <w:t>项，一般不符合</w:t>
      </w:r>
      <w:r>
        <w:rPr>
          <w:rFonts w:hint="eastAsia"/>
          <w:b/>
          <w:color w:val="auto"/>
          <w:lang w:val="en-US" w:eastAsia="zh-CN"/>
        </w:rPr>
        <w:t>4</w:t>
      </w:r>
      <w:r>
        <w:rPr>
          <w:rFonts w:hint="eastAsia"/>
          <w:b/>
          <w:color w:val="auto"/>
        </w:rPr>
        <w:t>项，观察项2项.不符合项分布</w:t>
      </w:r>
      <w:r>
        <w:rPr>
          <w:b/>
          <w:color w:val="auto"/>
        </w:rPr>
        <w:t>在</w:t>
      </w:r>
      <w:r>
        <w:rPr>
          <w:rFonts w:hint="eastAsia"/>
          <w:b/>
          <w:color w:val="auto"/>
        </w:rPr>
        <w:t>1）</w:t>
      </w:r>
      <w:r>
        <w:rPr>
          <w:rFonts w:hint="eastAsia"/>
          <w:b/>
          <w:color w:val="auto"/>
          <w:lang w:val="en-US" w:eastAsia="zh-CN"/>
        </w:rPr>
        <w:t>生产</w:t>
      </w:r>
      <w:r>
        <w:rPr>
          <w:rFonts w:hint="eastAsia"/>
          <w:b/>
          <w:color w:val="auto"/>
        </w:rPr>
        <w:t>部:</w:t>
      </w:r>
      <w:r>
        <w:rPr>
          <w:rFonts w:hint="eastAsia"/>
          <w:b/>
          <w:color w:val="auto"/>
          <w:lang w:val="en-US" w:eastAsia="zh-CN"/>
        </w:rPr>
        <w:t xml:space="preserve">1、Q7.1.3/ </w:t>
      </w:r>
      <w:r>
        <w:rPr>
          <w:b/>
          <w:color w:val="auto"/>
        </w:rPr>
        <w:t>Q7.</w:t>
      </w:r>
      <w:r>
        <w:rPr>
          <w:rFonts w:hint="eastAsia"/>
          <w:b/>
          <w:color w:val="auto"/>
          <w:lang w:val="en-US" w:eastAsia="zh-CN"/>
        </w:rPr>
        <w:t>1.5</w:t>
      </w:r>
      <w:r>
        <w:rPr>
          <w:rFonts w:hint="eastAsia"/>
          <w:b/>
          <w:color w:val="auto"/>
        </w:rPr>
        <w:t>/</w:t>
      </w:r>
      <w:r>
        <w:rPr>
          <w:b/>
          <w:color w:val="auto"/>
        </w:rPr>
        <w:t>/</w:t>
      </w:r>
      <w:r>
        <w:rPr>
          <w:rFonts w:hint="eastAsia"/>
          <w:b/>
          <w:color w:val="auto"/>
          <w:lang w:val="en-US" w:eastAsia="zh-CN"/>
        </w:rPr>
        <w:t>Q8.6 办公室</w:t>
      </w:r>
      <w:r>
        <w:rPr>
          <w:rFonts w:hint="eastAsia"/>
          <w:b/>
          <w:color w:val="auto"/>
        </w:rPr>
        <w:t>:/E</w:t>
      </w:r>
      <w:r>
        <w:rPr>
          <w:b/>
          <w:color w:val="auto"/>
        </w:rPr>
        <w:t>O</w:t>
      </w:r>
      <w:r>
        <w:rPr>
          <w:rFonts w:hint="eastAsia"/>
          <w:b/>
          <w:color w:val="auto"/>
          <w:lang w:val="en-US" w:eastAsia="zh-CN"/>
        </w:rPr>
        <w:t>9</w:t>
      </w:r>
      <w:r>
        <w:rPr>
          <w:b/>
          <w:color w:val="auto"/>
        </w:rPr>
        <w:t>.1</w:t>
      </w:r>
      <w:r>
        <w:rPr>
          <w:rFonts w:hint="eastAsia"/>
          <w:b/>
          <w:color w:val="auto"/>
          <w:lang w:val="en-US" w:eastAsia="zh-CN"/>
        </w:rPr>
        <w:t>.1</w:t>
      </w:r>
      <w:r>
        <w:rPr>
          <w:rFonts w:hint="eastAsia"/>
          <w:b/>
          <w:color w:val="auto"/>
        </w:rPr>
        <w:t>条款，分布见附件。（</w:t>
      </w:r>
      <w:r>
        <w:rPr>
          <w:b/>
          <w:color w:val="auto"/>
        </w:rPr>
        <w:t>Q/J/E/S</w:t>
      </w:r>
      <w:r>
        <w:rPr>
          <w:rFonts w:hint="eastAsia"/>
          <w:b/>
          <w:color w:val="auto"/>
        </w:rPr>
        <w:t>分开填写）</w:t>
      </w:r>
    </w:p>
    <w:p>
      <w:pPr>
        <w:tabs>
          <w:tab w:val="left" w:pos="215"/>
          <w:tab w:val="left" w:pos="430"/>
        </w:tabs>
        <w:spacing w:line="360" w:lineRule="auto"/>
        <w:ind w:left="-190" w:leftChars="-472" w:hanging="801" w:hangingChars="380"/>
        <w:rPr>
          <w:b/>
        </w:rPr>
      </w:pPr>
      <w:r>
        <w:rPr>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hint="eastAsia" w:ascii="宋体" w:hAnsi="宋体"/>
          <w:b/>
          <w:spacing w:val="-10"/>
          <w:szCs w:val="21"/>
        </w:rPr>
        <w:t>■</w:t>
      </w:r>
      <w:r>
        <w:rPr>
          <w:rFonts w:hint="eastAsia"/>
          <w:b/>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b/>
                <w:color w:val="000000" w:themeColor="text1"/>
                <w:szCs w:val="21"/>
              </w:rPr>
            </w:pPr>
          </w:p>
        </w:tc>
      </w:tr>
    </w:tbl>
    <w:p>
      <w:pPr>
        <w:pStyle w:val="2"/>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0080" w:type="dxa"/>
            <w:tcBorders>
              <w:top w:val="single" w:color="auto" w:sz="4" w:space="0"/>
              <w:left w:val="single" w:color="auto" w:sz="4" w:space="0"/>
              <w:bottom w:val="single" w:color="auto" w:sz="4" w:space="0"/>
              <w:right w:val="single" w:color="auto" w:sz="4" w:space="0"/>
            </w:tcBorders>
          </w:tcPr>
          <w:p>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Cs w:val="21"/>
              </w:rPr>
              <w:sym w:font="Wingdings 2" w:char="0052"/>
            </w:r>
            <w:r>
              <w:rPr>
                <w:b/>
                <w:color w:val="000000" w:themeColor="text1"/>
                <w:spacing w:val="-10"/>
                <w:sz w:val="22"/>
                <w:szCs w:val="22"/>
              </w:rPr>
              <w:t xml:space="preserve">QMS    </w:t>
            </w:r>
            <w:r>
              <w:rPr>
                <w:rFonts w:hint="eastAsia"/>
                <w:b/>
                <w:color w:val="000000" w:themeColor="text1"/>
                <w:spacing w:val="-10"/>
                <w:szCs w:val="21"/>
              </w:rPr>
              <w:t>□</w:t>
            </w:r>
            <w:r>
              <w:rPr>
                <w:b/>
                <w:color w:val="000000" w:themeColor="text1"/>
                <w:spacing w:val="-10"/>
                <w:sz w:val="22"/>
                <w:szCs w:val="22"/>
              </w:rPr>
              <w:t xml:space="preserve">50430   </w:t>
            </w:r>
            <w:r>
              <w:rPr>
                <w:rFonts w:hint="eastAsia"/>
                <w:b/>
                <w:color w:val="000000" w:themeColor="text1"/>
                <w:spacing w:val="-10"/>
                <w:szCs w:val="21"/>
              </w:rPr>
              <w:sym w:font="Wingdings 2" w:char="0052"/>
            </w:r>
            <w:r>
              <w:rPr>
                <w:b/>
                <w:color w:val="000000" w:themeColor="text1"/>
                <w:spacing w:val="-10"/>
                <w:sz w:val="22"/>
                <w:szCs w:val="22"/>
              </w:rPr>
              <w:t xml:space="preserve">EMS </w:t>
            </w:r>
            <w:r>
              <w:rPr>
                <w:rFonts w:hint="eastAsia"/>
                <w:b/>
                <w:color w:val="000000" w:themeColor="text1"/>
                <w:spacing w:val="-10"/>
                <w:szCs w:val="21"/>
              </w:rPr>
              <w:sym w:font="Wingdings 2" w:char="0052"/>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pPr>
              <w:spacing w:line="280" w:lineRule="exact"/>
              <w:rPr>
                <w:b/>
                <w:color w:val="000000" w:themeColor="text1"/>
                <w:spacing w:val="-10"/>
                <w:sz w:val="22"/>
                <w:szCs w:val="22"/>
              </w:rPr>
            </w:pPr>
            <w:r>
              <w:rPr>
                <w:rFonts w:hint="eastAsia"/>
                <w:b/>
                <w:color w:val="000000" w:themeColor="text1"/>
                <w:spacing w:val="-10"/>
                <w:sz w:val="22"/>
                <w:szCs w:val="22"/>
              </w:rPr>
              <w:sym w:font="Wingdings 2" w:char="0052"/>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sym w:font="Wingdings 2" w:char="0052"/>
            </w:r>
            <w:r>
              <w:rPr>
                <w:b/>
                <w:color w:val="000000" w:themeColor="text1"/>
                <w:spacing w:val="-10"/>
                <w:sz w:val="22"/>
                <w:szCs w:val="22"/>
              </w:rPr>
              <w:t xml:space="preserve">EMS  </w:t>
            </w:r>
            <w:r>
              <w:rPr>
                <w:rFonts w:hint="eastAsia"/>
                <w:b/>
                <w:color w:val="000000" w:themeColor="text1"/>
                <w:spacing w:val="-10"/>
                <w:sz w:val="22"/>
                <w:szCs w:val="22"/>
              </w:rPr>
              <w:sym w:font="Wingdings 2" w:char="0052"/>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pPr>
              <w:spacing w:line="240" w:lineRule="exact"/>
              <w:rPr>
                <w:b/>
                <w:color w:val="000000" w:themeColor="text1"/>
                <w:sz w:val="28"/>
                <w:szCs w:val="28"/>
              </w:rPr>
            </w:pPr>
            <w:r>
              <w:rPr>
                <w:rFonts w:hint="eastAsia"/>
                <w:b/>
                <w:color w:val="000000" w:themeColor="text1"/>
                <w:spacing w:val="-10"/>
                <w:sz w:val="22"/>
                <w:szCs w:val="22"/>
              </w:rPr>
              <w:t>该公司建立并实施的质量、环境、职业健康安全管理体系基本符合标准要求，对可能存在的重要风险基本可以得到有效控制，</w:t>
            </w:r>
            <w:r>
              <w:rPr>
                <w:rFonts w:hint="eastAsia"/>
                <w:b/>
                <w:color w:val="000000" w:themeColor="text1"/>
                <w:spacing w:val="-10"/>
                <w:sz w:val="22"/>
                <w:szCs w:val="22"/>
                <w:lang w:val="en-US" w:eastAsia="zh-CN"/>
              </w:rPr>
              <w:t>产品</w:t>
            </w:r>
            <w:r>
              <w:rPr>
                <w:rFonts w:hint="eastAsia"/>
                <w:b/>
                <w:color w:val="000000" w:themeColor="text1"/>
                <w:spacing w:val="-10"/>
                <w:sz w:val="22"/>
                <w:szCs w:val="22"/>
              </w:rPr>
              <w:t>质量稳定，没有出现过质量、环境和职业健康安全事故以及顾客投诉等事件，该公司初步建立了自我完善和自我改进机制，管理体系运行基本有效。现场开具的</w:t>
            </w:r>
            <w:r>
              <w:rPr>
                <w:rFonts w:hint="eastAsia"/>
                <w:b/>
                <w:color w:val="000000" w:themeColor="text1"/>
                <w:spacing w:val="-10"/>
                <w:sz w:val="22"/>
                <w:szCs w:val="22"/>
                <w:lang w:val="en-US" w:eastAsia="zh-CN"/>
              </w:rPr>
              <w:t>3</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rPr>
            </w:pPr>
            <w:r>
              <w:rPr>
                <w:b/>
                <w:color w:val="000000" w:themeColor="text1"/>
              </w:rPr>
              <w:t>2.</w:t>
            </w:r>
            <w:r>
              <w:rPr>
                <w:rFonts w:hint="eastAsia"/>
                <w:b/>
                <w:color w:val="000000" w:themeColor="text1"/>
              </w:rPr>
              <w:t>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320" w:lineRule="exact"/>
              <w:rPr>
                <w:rFonts w:ascii="宋体" w:hAnsi="宋体"/>
                <w:b/>
                <w:color w:val="000000" w:themeColor="text1"/>
                <w:u w:val="single"/>
              </w:rPr>
            </w:pPr>
            <w:r>
              <w:rPr>
                <w:rFonts w:hint="eastAsia"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0080" w:type="dxa"/>
            <w:tcBorders>
              <w:top w:val="single" w:color="auto" w:sz="4" w:space="0"/>
              <w:left w:val="single" w:color="auto" w:sz="4" w:space="0"/>
              <w:bottom w:val="single" w:color="auto" w:sz="4" w:space="0"/>
              <w:right w:val="single" w:color="auto" w:sz="4" w:space="0"/>
            </w:tcBorders>
          </w:tcPr>
          <w:p>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ascii="宋体" w:hAnsi="宋体"/>
                <w:b/>
                <w:color w:val="000000" w:themeColor="text1"/>
                <w:spacing w:val="-10"/>
                <w:szCs w:val="21"/>
              </w:rPr>
              <w:t>■</w:t>
            </w:r>
            <w:r>
              <w:rPr>
                <w:b/>
                <w:color w:val="000000" w:themeColor="text1"/>
                <w:szCs w:val="21"/>
              </w:rPr>
              <w:t xml:space="preserve">QMS </w:t>
            </w:r>
            <w:r>
              <w:rPr>
                <w:rFonts w:hint="eastAsia" w:ascii="宋体" w:hAnsi="宋体"/>
                <w:b/>
                <w:color w:val="000000" w:themeColor="text1"/>
                <w:spacing w:val="-10"/>
                <w:szCs w:val="21"/>
              </w:rPr>
              <w:t>■</w:t>
            </w:r>
            <w:r>
              <w:rPr>
                <w:b/>
                <w:color w:val="000000" w:themeColor="text1"/>
                <w:szCs w:val="21"/>
              </w:rPr>
              <w:t xml:space="preserve">EMS  </w:t>
            </w:r>
            <w:r>
              <w:rPr>
                <w:rFonts w:hint="eastAsia" w:ascii="宋体" w:hAnsi="宋体"/>
                <w:b/>
                <w:color w:val="000000" w:themeColor="text1"/>
                <w:spacing w:val="-10"/>
                <w:szCs w:val="21"/>
              </w:rPr>
              <w:t>■</w:t>
            </w:r>
            <w:r>
              <w:rPr>
                <w:b/>
                <w:color w:val="000000" w:themeColor="text1"/>
                <w:szCs w:val="21"/>
              </w:rPr>
              <w:t>OHSMS  )</w:t>
            </w:r>
          </w:p>
          <w:p>
            <w:pPr>
              <w:rPr>
                <w:b/>
                <w:color w:val="000000" w:themeColor="text1"/>
                <w:spacing w:val="-4"/>
                <w:szCs w:val="21"/>
              </w:rPr>
            </w:pPr>
            <w:r>
              <w:rPr>
                <w:rFonts w:hint="eastAsia"/>
                <w:b/>
                <w:color w:val="000000" w:themeColor="text1"/>
                <w:spacing w:val="-10"/>
                <w:szCs w:val="21"/>
              </w:rPr>
              <w:sym w:font="Wingdings 2" w:char="00A3"/>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080" w:type="dxa"/>
            <w:tcBorders>
              <w:top w:val="single" w:color="auto" w:sz="4" w:space="0"/>
              <w:left w:val="nil"/>
              <w:bottom w:val="nil"/>
              <w:right w:val="nil"/>
            </w:tcBorders>
          </w:tcPr>
          <w:p>
            <w:pPr>
              <w:spacing w:line="360" w:lineRule="auto"/>
              <w:rPr>
                <w:b/>
                <w:color w:val="000000" w:themeColor="text1"/>
              </w:rPr>
            </w:pPr>
            <w:bookmarkStart w:id="20" w:name="_GoBack"/>
            <w:bookmarkEnd w:id="20"/>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pPr>
        <w:numPr>
          <w:ilvl w:val="0"/>
          <w:numId w:val="3"/>
        </w:numPr>
        <w:spacing w:line="360" w:lineRule="auto"/>
        <w:ind w:left="-850" w:leftChars="-405" w:firstLine="560" w:firstLineChars="200"/>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pStyle w:val="2"/>
        <w:rPr>
          <w:rFonts w:hint="eastAsia"/>
          <w:b/>
          <w:color w:val="000000" w:themeColor="text1"/>
          <w:sz w:val="26"/>
          <w:szCs w:val="26"/>
        </w:rPr>
      </w:pPr>
    </w:p>
    <w:p>
      <w:pPr>
        <w:pStyle w:val="3"/>
        <w:rPr>
          <w:rFonts w:hint="eastAsia"/>
          <w:b/>
          <w:color w:val="000000" w:themeColor="text1"/>
          <w:sz w:val="26"/>
          <w:szCs w:val="26"/>
        </w:rPr>
      </w:pPr>
    </w:p>
    <w:p>
      <w:pPr>
        <w:pStyle w:val="3"/>
        <w:rPr>
          <w:rFonts w:hint="eastAsia"/>
          <w:b/>
          <w:color w:val="000000" w:themeColor="text1"/>
          <w:sz w:val="26"/>
          <w:szCs w:val="26"/>
        </w:rPr>
      </w:pPr>
    </w:p>
    <w:p>
      <w:pPr>
        <w:snapToGrid w:val="0"/>
        <w:spacing w:afterLines="50" w:line="360" w:lineRule="auto"/>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pStyle w:val="13"/>
        <w:snapToGrid w:val="0"/>
        <w:spacing w:line="360" w:lineRule="auto"/>
        <w:ind w:left="3515" w:firstLine="0" w:firstLineChars="0"/>
        <w:rPr>
          <w:b/>
          <w:color w:val="000000" w:themeColor="text1"/>
          <w:sz w:val="16"/>
          <w:szCs w:val="16"/>
        </w:rPr>
      </w:pPr>
      <w:r>
        <w:rPr>
          <w:rFonts w:hint="eastAsia" w:ascii="宋体" w:hAnsi="宋体"/>
          <w:color w:val="000000" w:themeColor="text1"/>
          <w:szCs w:val="16"/>
          <w:highlight w:val="lightGray"/>
        </w:rPr>
        <w:t>日期</w:t>
      </w:r>
      <w:r>
        <w:rPr>
          <w:rFonts w:hint="eastAsia" w:asciiTheme="minorEastAsia" w:hAnsiTheme="minorEastAsia" w:eastAsiaTheme="minorEastAsia"/>
          <w:b/>
          <w:color w:val="000000" w:themeColor="text1"/>
        </w:rPr>
        <w:t xml:space="preserve">  2020年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ascii="宋体" w:hAnsi="宋体"/>
          <w:b/>
          <w:color w:val="000000" w:themeColor="text1"/>
          <w:spacing w:val="-10"/>
          <w:szCs w:val="21"/>
        </w:rPr>
        <w:t>■</w:t>
      </w:r>
      <w:r>
        <w:rPr>
          <w:b/>
          <w:color w:val="000000" w:themeColor="text1"/>
          <w:szCs w:val="21"/>
        </w:rPr>
        <w:t xml:space="preserve">QMS( </w:t>
      </w:r>
      <w:r>
        <w:rPr>
          <w:rFonts w:hint="eastAsia"/>
          <w:b/>
          <w:color w:val="000000" w:themeColor="text1"/>
          <w:szCs w:val="21"/>
          <w:lang w:val="en-US" w:eastAsia="zh-CN"/>
        </w:rPr>
        <w:t>3</w:t>
      </w:r>
      <w:r>
        <w:rPr>
          <w:b/>
          <w:color w:val="000000" w:themeColor="text1"/>
          <w:szCs w:val="21"/>
        </w:rPr>
        <w:t xml:space="preserve">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50430(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 xml:space="preserve">EMS( </w:t>
      </w:r>
      <w:r>
        <w:rPr>
          <w:rFonts w:hint="eastAsia"/>
          <w:b/>
          <w:color w:val="000000" w:themeColor="text1"/>
          <w:szCs w:val="21"/>
          <w:lang w:val="en-US" w:eastAsia="zh-CN"/>
        </w:rPr>
        <w:t>1</w:t>
      </w:r>
      <w:r>
        <w:rPr>
          <w:b/>
          <w:color w:val="000000" w:themeColor="text1"/>
          <w:szCs w:val="21"/>
        </w:rPr>
        <w:t>)</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sym w:font="Wingdings 2" w:char="0052"/>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b/>
          <w:color w:val="000000" w:themeColor="text1"/>
          <w:szCs w:val="21"/>
        </w:rPr>
        <w:t>OHSMS( 2</w:t>
      </w:r>
      <w:r>
        <w:rPr>
          <w:rFonts w:hint="eastAsia"/>
          <w:b/>
          <w:color w:val="000000" w:themeColor="text1"/>
          <w:szCs w:val="21"/>
          <w:lang w:val="en-US" w:eastAsia="zh-CN"/>
        </w:rPr>
        <w:t>1</w:t>
      </w:r>
      <w:r>
        <w:rPr>
          <w:b/>
          <w:color w:val="000000" w:themeColor="text1"/>
          <w:szCs w:val="21"/>
        </w:rPr>
        <w:t>)</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w:t>
      </w:r>
      <w:r>
        <w:rPr>
          <w:rFonts w:hint="eastAsia"/>
          <w:b/>
          <w:color w:val="000000" w:themeColor="text1"/>
          <w:szCs w:val="21"/>
        </w:rPr>
        <w:t>20年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10</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     年    月       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 xml:space="preserve">                           1</w:t>
      </w:r>
      <w:r>
        <w:rPr>
          <w:rFonts w:hint="eastAsia"/>
          <w:b/>
          <w:color w:val="000000" w:themeColor="text1"/>
        </w:rPr>
        <w:t>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int="eastAsia"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int="eastAsia" w:hAnsi="宋体"/>
          <w:b/>
          <w:bCs/>
          <w:color w:val="000000" w:themeColor="text1"/>
          <w:szCs w:val="28"/>
        </w:rPr>
        <w:t>不符合报告</w:t>
      </w:r>
      <w:r>
        <w:rPr>
          <w:b/>
          <w:bCs/>
          <w:color w:val="000000" w:themeColor="text1"/>
          <w:szCs w:val="28"/>
        </w:rPr>
        <w:t>/</w:t>
      </w:r>
      <w:r>
        <w:rPr>
          <w:rFonts w:hint="eastAsia"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pPr>
        <w:spacing w:line="360" w:lineRule="auto"/>
        <w:ind w:left="-850" w:leftChars="-405"/>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pPr>
        <w:spacing w:line="360" w:lineRule="auto"/>
        <w:ind w:left="-163" w:leftChars="-405" w:hanging="687" w:hangingChars="326"/>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9"/>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6DCA2E3"/>
    <w:multiLevelType w:val="singleLevel"/>
    <w:tmpl w:val="76DCA2E3"/>
    <w:lvl w:ilvl="0" w:tentative="0">
      <w:start w:val="13"/>
      <w:numFmt w:val="chineseCounting"/>
      <w:suff w:val="space"/>
      <w:lvlText w:val="%1、"/>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9208D9"/>
    <w:rsid w:val="53585A6D"/>
    <w:rsid w:val="55F116C9"/>
    <w:rsid w:val="57A421E7"/>
    <w:rsid w:val="5CB753ED"/>
    <w:rsid w:val="6144445D"/>
    <w:rsid w:val="73294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8"/>
        <o:r id="V:Rule2"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2020-12-07T05:37:33Z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