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480" w:lineRule="auto"/>
        <w:rPr>
          <w:b/>
        </w:rPr>
      </w:pPr>
    </w:p>
    <w:p>
      <w:pPr>
        <w:snapToGrid w:val="0"/>
        <w:spacing w:line="480" w:lineRule="auto"/>
        <w:jc w:val="center"/>
        <w:rPr>
          <w:rFonts w:eastAsia="隶书"/>
          <w:sz w:val="52"/>
        </w:rPr>
      </w:pP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25"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line="360" w:lineRule="auto"/>
        <w:rPr>
          <w:b/>
          <w:sz w:val="30"/>
          <w:szCs w:val="30"/>
        </w:rPr>
      </w:pPr>
    </w:p>
    <w:p>
      <w:pPr>
        <w:snapToGrid w:val="0"/>
        <w:spacing w:after="98" w:afterLines="30"/>
        <w:ind w:firstLine="321" w:firstLineChars="100"/>
        <w:rPr>
          <w:rFonts w:ascii="楷体" w:hAnsi="楷体" w:eastAsia="楷体"/>
          <w:b/>
          <w:color w:val="000000"/>
          <w:sz w:val="32"/>
          <w:szCs w:val="32"/>
          <w:u w:val="single"/>
        </w:rPr>
      </w:pPr>
      <w:r>
        <w:rPr>
          <w:rFonts w:hint="eastAsia" w:ascii="楷体" w:hAnsi="楷体" w:eastAsia="楷体"/>
          <w:b/>
          <w:color w:val="000000"/>
          <w:sz w:val="32"/>
          <w:szCs w:val="32"/>
        </w:rPr>
        <w:t>受审核方：</w:t>
      </w:r>
      <w:bookmarkStart w:id="0" w:name="组织名称"/>
      <w:r>
        <w:rPr>
          <w:rFonts w:ascii="楷体" w:hAnsi="楷体" w:eastAsia="楷体"/>
          <w:b/>
          <w:color w:val="000000" w:themeColor="text1"/>
          <w:sz w:val="32"/>
          <w:szCs w:val="32"/>
        </w:rPr>
        <w:t>北京东方远创化工有限责任公司</w:t>
      </w:r>
      <w:bookmarkEnd w:id="0"/>
    </w:p>
    <w:p>
      <w:pPr>
        <w:snapToGrid w:val="0"/>
        <w:spacing w:after="98" w:afterLines="30"/>
        <w:rPr>
          <w:rFonts w:ascii="楷体" w:hAnsi="楷体" w:eastAsia="楷体"/>
          <w:b/>
          <w:color w:val="000000"/>
          <w:sz w:val="32"/>
          <w:szCs w:val="32"/>
        </w:rPr>
      </w:pPr>
    </w:p>
    <w:p>
      <w:pPr>
        <w:snapToGrid w:val="0"/>
        <w:spacing w:after="98"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98"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after="98"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w:t>
      </w:r>
      <w:r>
        <w:rPr>
          <w:rFonts w:hint="eastAsia" w:ascii="楷体_GB2312" w:eastAsia="楷体_GB2312"/>
          <w:b/>
          <w:sz w:val="32"/>
          <w:szCs w:val="32"/>
          <w:lang w:val="en-US" w:eastAsia="zh-CN"/>
        </w:rPr>
        <w:t>1</w:t>
      </w:r>
      <w:r>
        <w:rPr>
          <w:rFonts w:hint="eastAsia" w:ascii="楷体_GB2312" w:eastAsia="楷体_GB2312"/>
          <w:b/>
          <w:sz w:val="32"/>
          <w:szCs w:val="32"/>
        </w:rPr>
        <w:t>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98"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rPr>
          <w:rFonts w:ascii="楷体" w:hAnsi="楷体" w:eastAsia="楷体"/>
          <w:b/>
          <w:color w:val="000000"/>
          <w:sz w:val="36"/>
          <w:szCs w:val="36"/>
        </w:rPr>
        <w:t>www.</w:t>
      </w:r>
      <w:r>
        <w:rPr>
          <w:rFonts w:hint="eastAsia" w:ascii="楷体" w:hAnsi="楷体" w:eastAsia="楷体"/>
          <w:b/>
          <w:color w:val="000000"/>
          <w:sz w:val="36"/>
          <w:szCs w:val="36"/>
        </w:rPr>
        <w:t>china-isc.org.cn</w:t>
      </w:r>
    </w:p>
    <w:p>
      <w:pPr>
        <w:ind w:firstLine="522" w:firstLineChars="200"/>
        <w:rPr>
          <w:rFonts w:asci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李京田</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2020-N1EMS-3014142</w:t>
            </w:r>
          </w:p>
          <w:p>
            <w:pPr>
              <w:jc w:val="center"/>
              <w:rPr>
                <w:b/>
                <w:sz w:val="21"/>
                <w:szCs w:val="21"/>
              </w:rPr>
            </w:pPr>
            <w:r>
              <w:rPr>
                <w:b/>
                <w:sz w:val="21"/>
                <w:szCs w:val="21"/>
              </w:rPr>
              <w:t>2020-N1OHSMS-3014142</w:t>
            </w:r>
          </w:p>
        </w:tc>
        <w:tc>
          <w:tcPr>
            <w:tcW w:w="1728" w:type="dxa"/>
            <w:gridSpan w:val="2"/>
            <w:vAlign w:val="center"/>
          </w:tcPr>
          <w:p>
            <w:pPr>
              <w:jc w:val="center"/>
              <w:rPr>
                <w:b/>
                <w:sz w:val="21"/>
                <w:szCs w:val="21"/>
              </w:rPr>
            </w:pPr>
            <w:r>
              <w:rPr>
                <w:b/>
                <w:sz w:val="21"/>
                <w:szCs w:val="21"/>
              </w:rPr>
              <w:t>E:29.05.02</w:t>
            </w:r>
          </w:p>
          <w:p>
            <w:pPr>
              <w:jc w:val="center"/>
              <w:rPr>
                <w:b/>
                <w:sz w:val="21"/>
                <w:szCs w:val="21"/>
              </w:rPr>
            </w:pPr>
            <w:r>
              <w:rPr>
                <w:b/>
                <w:sz w:val="21"/>
                <w:szCs w:val="21"/>
              </w:rPr>
              <w:t>O:29.05.02</w:t>
            </w:r>
          </w:p>
        </w:tc>
        <w:tc>
          <w:tcPr>
            <w:tcW w:w="1729" w:type="dxa"/>
            <w:gridSpan w:val="2"/>
            <w:vAlign w:val="center"/>
          </w:tcPr>
          <w:p>
            <w:pPr>
              <w:jc w:val="center"/>
              <w:rPr>
                <w:b/>
                <w:sz w:val="21"/>
                <w:szCs w:val="21"/>
              </w:rPr>
            </w:pPr>
            <w:r>
              <w:rPr>
                <w:b/>
                <w:sz w:val="21"/>
                <w:szCs w:val="21"/>
              </w:rPr>
              <w:t>ISC-14142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李雅静</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E:审核员</w:t>
            </w:r>
          </w:p>
          <w:p>
            <w:pPr>
              <w:jc w:val="center"/>
              <w:rPr>
                <w:b/>
                <w:sz w:val="21"/>
                <w:szCs w:val="21"/>
              </w:rPr>
            </w:pPr>
            <w:r>
              <w:rPr>
                <w:b/>
                <w:sz w:val="21"/>
                <w:szCs w:val="21"/>
              </w:rPr>
              <w:t>O:审核员</w:t>
            </w:r>
          </w:p>
        </w:tc>
        <w:tc>
          <w:tcPr>
            <w:tcW w:w="1699" w:type="dxa"/>
            <w:vAlign w:val="center"/>
          </w:tcPr>
          <w:p>
            <w:pPr>
              <w:jc w:val="center"/>
              <w:rPr>
                <w:b/>
                <w:sz w:val="21"/>
                <w:szCs w:val="21"/>
              </w:rPr>
            </w:pPr>
            <w:r>
              <w:rPr>
                <w:b/>
                <w:sz w:val="21"/>
                <w:szCs w:val="21"/>
              </w:rPr>
              <w:t>2020-N1EMS-1218164</w:t>
            </w:r>
          </w:p>
          <w:p>
            <w:pPr>
              <w:jc w:val="center"/>
              <w:rPr>
                <w:b/>
                <w:sz w:val="21"/>
                <w:szCs w:val="21"/>
              </w:rPr>
            </w:pPr>
            <w:r>
              <w:rPr>
                <w:b/>
                <w:sz w:val="21"/>
                <w:szCs w:val="21"/>
              </w:rPr>
              <w:t>2019-N1OHSMS-1218164</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ISC-218164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rFonts w:hint="eastAsia"/>
          <w:b/>
          <w:sz w:val="21"/>
          <w:szCs w:val="21"/>
        </w:rPr>
      </w:pPr>
      <w:r>
        <w:rPr>
          <w:rFonts w:hint="eastAsia"/>
          <w:b/>
          <w:sz w:val="21"/>
          <w:szCs w:val="21"/>
        </w:rPr>
        <w:t>□保持认证注册资格：__________</w:t>
      </w:r>
    </w:p>
    <w:p>
      <w:pPr>
        <w:tabs>
          <w:tab w:val="left" w:pos="645"/>
        </w:tabs>
        <w:rPr>
          <w:rFonts w:hint="eastAsia"/>
          <w:b/>
          <w:sz w:val="21"/>
          <w:szCs w:val="21"/>
        </w:rPr>
      </w:pPr>
      <w:r>
        <w:rPr>
          <w:rFonts w:hint="eastAsia"/>
          <w:b/>
          <w:sz w:val="21"/>
          <w:szCs w:val="21"/>
          <w:lang w:eastAsia="zh-CN"/>
        </w:rPr>
        <w:t>☑</w:t>
      </w:r>
      <w:r>
        <w:rPr>
          <w:rFonts w:hint="eastAsia"/>
          <w:b/>
          <w:sz w:val="21"/>
          <w:szCs w:val="21"/>
        </w:rPr>
        <w:t>恢复认证注册资格：__________</w:t>
      </w:r>
    </w:p>
    <w:p>
      <w:pPr>
        <w:tabs>
          <w:tab w:val="left" w:pos="645"/>
        </w:tabs>
        <w:rPr>
          <w:rFonts w:hint="eastAsia"/>
          <w:b/>
          <w:sz w:val="21"/>
          <w:szCs w:val="21"/>
        </w:rPr>
      </w:pPr>
      <w:r>
        <w:rPr>
          <w:rFonts w:hint="eastAsia"/>
          <w:b/>
          <w:sz w:val="21"/>
          <w:szCs w:val="21"/>
        </w:rPr>
        <w:t>□扩大认证范围 ：</w:t>
      </w:r>
    </w:p>
    <w:p>
      <w:pPr>
        <w:tabs>
          <w:tab w:val="left" w:pos="645"/>
        </w:tabs>
        <w:rPr>
          <w:rFonts w:hint="eastAsia"/>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b/>
          <w:sz w:val="21"/>
          <w:szCs w:val="21"/>
        </w:rPr>
      </w:pPr>
      <w:bookmarkStart w:id="6" w:name="Q勾选15Add"/>
      <w:r>
        <w:rPr>
          <w:rFonts w:hint="eastAsia"/>
          <w:b/>
          <w:sz w:val="21"/>
          <w:szCs w:val="21"/>
        </w:rPr>
        <w:t>□</w:t>
      </w:r>
      <w:bookmarkEnd w:id="6"/>
      <w:r>
        <w:rPr>
          <w:rFonts w:hint="eastAsia"/>
          <w:b/>
          <w:sz w:val="21"/>
          <w:szCs w:val="21"/>
        </w:rPr>
        <w:t xml:space="preserve"> GB/T 19001:2016 idt ISO 9001:2015标准不适用条款: </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1"/>
      <w:r>
        <w:rPr>
          <w:rFonts w:hint="eastAsia"/>
          <w:b/>
          <w:sz w:val="21"/>
          <w:szCs w:val="21"/>
        </w:rPr>
        <w:t>■</w:t>
      </w:r>
      <w:bookmarkEnd w:id="9"/>
      <w:r>
        <w:rPr>
          <w:rFonts w:hint="eastAsia"/>
          <w:b/>
          <w:sz w:val="21"/>
          <w:szCs w:val="21"/>
        </w:rPr>
        <w:t xml:space="preserve"> ISO45001：2018标准</w:t>
      </w:r>
    </w:p>
    <w:p>
      <w:pPr>
        <w:tabs>
          <w:tab w:val="left" w:pos="645"/>
        </w:tabs>
        <w:rPr>
          <w:b/>
          <w:sz w:val="21"/>
          <w:szCs w:val="21"/>
        </w:rPr>
      </w:pPr>
      <w:r>
        <w:rPr>
          <w:rFonts w:hint="eastAsia"/>
          <w:b/>
          <w:sz w:val="21"/>
          <w:szCs w:val="21"/>
        </w:rPr>
        <w:t>□受审核方管理体系文件□适用的法律法规□认证合同</w:t>
      </w:r>
    </w:p>
    <w:p>
      <w:pPr>
        <w:tabs>
          <w:tab w:val="left" w:pos="645"/>
        </w:tabs>
        <w:rPr>
          <w:b/>
          <w:sz w:val="16"/>
          <w:szCs w:val="16"/>
        </w:rPr>
      </w:pPr>
      <w:r>
        <w:rPr>
          <w:rFonts w:hint="eastAsia"/>
          <w:b/>
          <w:sz w:val="26"/>
          <w:szCs w:val="26"/>
        </w:rPr>
        <w:t>四、受审核方基本信息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0" w:name="组织名称Add"/>
            <w:r>
              <w:rPr>
                <w:rFonts w:ascii="宋体"/>
                <w:b/>
                <w:color w:val="FF0000"/>
                <w:sz w:val="21"/>
              </w:rPr>
              <w:t>北京东方远创化工有限责任公司</w:t>
            </w:r>
            <w:bookmarkEnd w:id="10"/>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b/>
                <w:sz w:val="21"/>
                <w:lang w:val="en-US" w:eastAsia="zh-CN"/>
              </w:rPr>
              <w:t>核实10人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1" w:name="注册地址"/>
            <w:r>
              <w:rPr>
                <w:rFonts w:ascii="宋体"/>
                <w:b/>
                <w:sz w:val="21"/>
              </w:rPr>
              <w:t>北京市房山区燕山岗南路东一巷6号C座C211房间</w:t>
            </w:r>
            <w:bookmarkEnd w:id="11"/>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2" w:name="注册邮编"/>
            <w:r>
              <w:rPr>
                <w:rFonts w:ascii="宋体"/>
                <w:b/>
                <w:sz w:val="21"/>
              </w:rPr>
              <w:t>102500</w:t>
            </w:r>
            <w:bookmarkEnd w:id="1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3" w:name="办公地址"/>
            <w:r>
              <w:rPr>
                <w:rFonts w:ascii="宋体"/>
                <w:b/>
                <w:sz w:val="21"/>
              </w:rPr>
              <w:t>北京市房山区燕山迎风四里活动站</w:t>
            </w:r>
            <w:bookmarkEnd w:id="13"/>
          </w:p>
        </w:tc>
        <w:tc>
          <w:tcPr>
            <w:tcW w:w="1672" w:type="dxa"/>
            <w:vMerge w:val="continue"/>
            <w:vAlign w:val="center"/>
          </w:tcPr>
          <w:p>
            <w:pPr>
              <w:jc w:val="center"/>
              <w:rPr>
                <w:rFonts w:ascii="宋体"/>
                <w:b/>
                <w:sz w:val="21"/>
              </w:rPr>
            </w:pPr>
          </w:p>
        </w:tc>
        <w:tc>
          <w:tcPr>
            <w:tcW w:w="1500" w:type="dxa"/>
          </w:tcPr>
          <w:p>
            <w:pPr>
              <w:rPr>
                <w:rFonts w:ascii="宋体"/>
                <w:b/>
                <w:sz w:val="21"/>
              </w:rPr>
            </w:pPr>
            <w:bookmarkStart w:id="14" w:name="办公邮编"/>
            <w:r>
              <w:rPr>
                <w:rFonts w:ascii="宋体"/>
                <w:b/>
                <w:sz w:val="21"/>
              </w:rPr>
              <w:t>102500</w:t>
            </w:r>
            <w:bookmarkEnd w:id="14"/>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5" w:name="生产地址Add"/>
            <w:r>
              <w:rPr>
                <w:rFonts w:ascii="宋体"/>
                <w:b/>
                <w:sz w:val="21"/>
              </w:rPr>
              <w:t>北京市房山区燕山迎风四里活动站</w:t>
            </w:r>
            <w:bookmarkEnd w:id="15"/>
          </w:p>
        </w:tc>
        <w:tc>
          <w:tcPr>
            <w:tcW w:w="1672" w:type="dxa"/>
            <w:vMerge w:val="continue"/>
            <w:vAlign w:val="center"/>
          </w:tcPr>
          <w:p>
            <w:pPr>
              <w:jc w:val="center"/>
              <w:rPr>
                <w:rFonts w:ascii="宋体"/>
                <w:b/>
                <w:sz w:val="21"/>
              </w:rPr>
            </w:pPr>
          </w:p>
        </w:tc>
        <w:tc>
          <w:tcPr>
            <w:tcW w:w="1500" w:type="dxa"/>
          </w:tcPr>
          <w:p>
            <w:pPr>
              <w:rPr>
                <w:rFonts w:ascii="宋体"/>
                <w:b/>
                <w:sz w:val="21"/>
              </w:rPr>
            </w:pPr>
            <w:bookmarkStart w:id="16" w:name="生产邮编"/>
            <w:r>
              <w:rPr>
                <w:rFonts w:ascii="宋体"/>
                <w:b/>
                <w:sz w:val="21"/>
              </w:rPr>
              <w:t>102500</w:t>
            </w:r>
            <w:bookmarkEnd w:id="1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7" w:name="联系人"/>
            <w:r>
              <w:rPr>
                <w:rFonts w:ascii="宋体"/>
                <w:b/>
                <w:sz w:val="21"/>
              </w:rPr>
              <w:t>隗晓宁</w:t>
            </w:r>
            <w:bookmarkEnd w:id="17"/>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8" w:name="联系人电话Add"/>
            <w:r>
              <w:rPr>
                <w:rFonts w:ascii="宋体"/>
                <w:b/>
                <w:sz w:val="21"/>
              </w:rPr>
              <w:t>13911152215</w:t>
            </w:r>
            <w:bookmarkEnd w:id="18"/>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19" w:name="联系人传真"/>
            <w:bookmarkEnd w:id="1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0" w:name="法人"/>
            <w:r>
              <w:rPr>
                <w:rFonts w:ascii="宋体" w:hAnsi="宋体"/>
                <w:b/>
                <w:sz w:val="21"/>
                <w:szCs w:val="21"/>
              </w:rPr>
              <w:t>陶杨</w:t>
            </w:r>
            <w:bookmarkEnd w:id="20"/>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1" w:name="管理者代表"/>
            <w:r>
              <w:rPr>
                <w:rFonts w:ascii="宋体"/>
                <w:b/>
                <w:sz w:val="21"/>
              </w:rPr>
              <w:t>隗晓宁</w:t>
            </w:r>
            <w:bookmarkEnd w:id="2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2" w:name="审核日期"/>
            <w:r>
              <w:rPr>
                <w:rFonts w:ascii="宋体" w:hAnsi="宋体"/>
                <w:b/>
                <w:sz w:val="21"/>
                <w:szCs w:val="21"/>
              </w:rPr>
              <w:t>2020年12月10日 上午至2020年12月11日 上午</w:t>
            </w:r>
            <w:bookmarkEnd w:id="22"/>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是□否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3" w:name="Q勾选15Add1"/>
            <w:r>
              <w:rPr>
                <w:rFonts w:hint="eastAsia" w:ascii="宋体" w:hAnsi="宋体"/>
                <w:b/>
                <w:sz w:val="21"/>
                <w:szCs w:val="21"/>
              </w:rPr>
              <w:t>□</w:t>
            </w:r>
            <w:bookmarkEnd w:id="23"/>
            <w:r>
              <w:rPr>
                <w:rFonts w:ascii="宋体" w:hAnsi="宋体"/>
                <w:b/>
                <w:sz w:val="21"/>
                <w:szCs w:val="21"/>
              </w:rPr>
              <w:t>QMS</w:t>
            </w:r>
            <w:r>
              <w:rPr>
                <w:rFonts w:hint="eastAsia" w:ascii="宋体" w:hAnsi="宋体"/>
                <w:b/>
                <w:sz w:val="21"/>
                <w:szCs w:val="21"/>
              </w:rPr>
              <w:t>：</w:t>
            </w:r>
            <w:bookmarkStart w:id="24" w:name="QJ勾选Add1"/>
            <w:r>
              <w:rPr>
                <w:rFonts w:hint="eastAsia" w:ascii="宋体" w:hAnsi="宋体"/>
                <w:b/>
                <w:sz w:val="21"/>
                <w:szCs w:val="21"/>
              </w:rPr>
              <w:t>□</w:t>
            </w:r>
            <w:bookmarkEnd w:id="24"/>
            <w:r>
              <w:rPr>
                <w:rFonts w:hint="eastAsia" w:ascii="宋体" w:hAnsi="宋体"/>
                <w:b/>
                <w:sz w:val="21"/>
                <w:szCs w:val="21"/>
              </w:rPr>
              <w:t>5</w:t>
            </w:r>
            <w:r>
              <w:rPr>
                <w:rFonts w:ascii="宋体" w:hAnsi="宋体"/>
                <w:b/>
                <w:sz w:val="21"/>
                <w:szCs w:val="21"/>
              </w:rPr>
              <w:t>0430</w:t>
            </w:r>
          </w:p>
          <w:p>
            <w:pPr>
              <w:spacing w:line="0" w:lineRule="atLeast"/>
              <w:jc w:val="left"/>
              <w:rPr>
                <w:rFonts w:hint="eastAsia" w:ascii="宋体" w:hAnsi="宋体"/>
              </w:rPr>
            </w:pPr>
            <w:bookmarkStart w:id="25" w:name="审核范围"/>
            <w:r>
              <w:rPr>
                <w:rFonts w:hint="eastAsia" w:ascii="宋体" w:hAnsi="宋体"/>
              </w:rPr>
              <w:t>E：化工材料，许可范围内危险化学品销售及其所涉及的环境管理活动</w:t>
            </w:r>
          </w:p>
          <w:p>
            <w:pPr>
              <w:spacing w:line="360" w:lineRule="exact"/>
              <w:rPr>
                <w:rFonts w:ascii="宋体" w:hAnsi="宋体"/>
                <w:b/>
                <w:sz w:val="21"/>
                <w:szCs w:val="21"/>
              </w:rPr>
            </w:pPr>
            <w:r>
              <w:rPr>
                <w:rFonts w:hint="eastAsia" w:ascii="宋体" w:hAnsi="宋体"/>
              </w:rPr>
              <w:t>O：化工材料，许可范围内危险化学品销售及其所涉及的职业健康安全管理活动</w:t>
            </w:r>
            <w:bookmarkEnd w:id="25"/>
            <w:r>
              <w:rPr>
                <w:rFonts w:hint="eastAsia" w:ascii="宋体" w:hAnsi="宋体"/>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lang w:eastAsia="zh-CN"/>
              </w:rPr>
              <w:t>☑</w:t>
            </w: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6" w:name="专业代码"/>
            <w:r>
              <w:rPr>
                <w:rFonts w:ascii="宋体" w:hAnsi="宋体"/>
                <w:b/>
                <w:sz w:val="21"/>
                <w:szCs w:val="21"/>
              </w:rPr>
              <w:t>E：29.05.02</w:t>
            </w:r>
          </w:p>
          <w:p>
            <w:pPr>
              <w:spacing w:line="260" w:lineRule="exact"/>
              <w:rPr>
                <w:rFonts w:ascii="宋体" w:hAnsi="宋体"/>
                <w:b/>
                <w:sz w:val="21"/>
                <w:szCs w:val="21"/>
              </w:rPr>
            </w:pPr>
            <w:r>
              <w:rPr>
                <w:rFonts w:ascii="宋体" w:hAnsi="宋体"/>
                <w:b/>
                <w:sz w:val="21"/>
                <w:szCs w:val="21"/>
              </w:rPr>
              <w:t>O：29.05.02</w:t>
            </w:r>
            <w:bookmarkEnd w:id="26"/>
          </w:p>
        </w:tc>
        <w:tc>
          <w:tcPr>
            <w:tcW w:w="1109" w:type="dxa"/>
            <w:vAlign w:val="center"/>
          </w:tcPr>
          <w:p>
            <w:pPr>
              <w:spacing w:line="260" w:lineRule="exact"/>
              <w:jc w:val="center"/>
              <w:rPr>
                <w:rFonts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eastAsia" w:ascii="宋体" w:hAnsi="宋体"/>
                <w:b/>
                <w:sz w:val="21"/>
                <w:szCs w:val="21"/>
                <w:lang w:val="en-US" w:eastAsia="zh-CN"/>
              </w:rPr>
            </w:pPr>
          </w:p>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2022.12.22</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hint="eastAsia" w:ascii="宋体"/>
                <w:b/>
                <w:sz w:val="21"/>
                <w:lang w:val="en-US" w:eastAsia="zh-CN"/>
              </w:rPr>
            </w:pPr>
            <w:r>
              <w:rPr>
                <w:rFonts w:hint="eastAsia" w:ascii="宋体"/>
                <w:b/>
                <w:sz w:val="21"/>
                <w:lang w:val="en-US" w:eastAsia="zh-CN"/>
              </w:rPr>
              <w:t>2019.12.10-</w:t>
            </w:r>
          </w:p>
          <w:p>
            <w:pPr>
              <w:spacing w:line="260" w:lineRule="exact"/>
              <w:rPr>
                <w:rFonts w:hint="eastAsia" w:ascii="宋体"/>
                <w:b/>
                <w:sz w:val="21"/>
                <w:lang w:val="en-US" w:eastAsia="zh-CN"/>
              </w:rPr>
            </w:pPr>
            <w:r>
              <w:rPr>
                <w:rFonts w:hint="eastAsia" w:ascii="宋体"/>
                <w:b/>
                <w:sz w:val="21"/>
                <w:lang w:val="en-US" w:eastAsia="zh-CN"/>
              </w:rPr>
              <w:t>2019.12.14</w:t>
            </w:r>
          </w:p>
          <w:p>
            <w:pPr>
              <w:spacing w:line="260" w:lineRule="exact"/>
              <w:rPr>
                <w:rFonts w:hint="default" w:ascii="宋体" w:eastAsia="宋体"/>
                <w:b/>
                <w:sz w:val="21"/>
                <w:lang w:val="en-US" w:eastAsia="zh-CN"/>
              </w:rPr>
            </w:pPr>
          </w:p>
        </w:tc>
      </w:tr>
    </w:tbl>
    <w:p>
      <w:pPr>
        <w:tabs>
          <w:tab w:val="left" w:pos="645"/>
        </w:tabs>
        <w:spacing w:after="163" w:afterLines="50" w:line="360" w:lineRule="exact"/>
        <w:rPr>
          <w:b/>
          <w:spacing w:val="-6"/>
          <w:sz w:val="16"/>
          <w:szCs w:val="16"/>
        </w:rPr>
      </w:pPr>
      <w:r>
        <w:rPr>
          <w:rFonts w:hint="eastAsia"/>
          <w:b/>
          <w:sz w:val="26"/>
          <w:szCs w:val="26"/>
        </w:rPr>
        <w:t>五、审核活动安排综述</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163"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hint="default" w:ascii="宋体" w:hAnsi="宋体" w:eastAsia="宋体"/>
          <w:b/>
          <w:sz w:val="21"/>
          <w:szCs w:val="21"/>
          <w:lang w:val="en-US" w:eastAsia="zh-CN"/>
        </w:rPr>
      </w:pPr>
      <w:r>
        <w:rPr>
          <w:rFonts w:hint="eastAsia" w:ascii="宋体" w:hAnsi="宋体"/>
          <w:b/>
          <w:sz w:val="21"/>
          <w:szCs w:val="21"/>
          <w:lang w:eastAsia="zh-CN"/>
        </w:rPr>
        <w:t>☑</w:t>
      </w: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r>
        <w:rPr>
          <w:rFonts w:hint="eastAsia" w:ascii="宋体" w:hAnsi="宋体"/>
          <w:b/>
          <w:sz w:val="21"/>
          <w:szCs w:val="21"/>
          <w:lang w:val="en-US" w:eastAsia="zh-CN"/>
        </w:rPr>
        <w:t>管理层、综合部、销售部</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w:t>
      </w:r>
      <w:r>
        <w:rPr>
          <w:rFonts w:hint="eastAsia" w:ascii="宋体" w:hAnsi="宋体"/>
          <w:b/>
          <w:sz w:val="21"/>
          <w:szCs w:val="21"/>
          <w:lang w:val="en-US" w:eastAsia="zh-CN"/>
        </w:rPr>
        <w:t>2019</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14</w:t>
      </w:r>
      <w:r>
        <w:rPr>
          <w:rFonts w:hint="eastAsia" w:ascii="宋体" w:hAnsi="宋体"/>
          <w:b/>
          <w:sz w:val="21"/>
          <w:szCs w:val="21"/>
        </w:rPr>
        <w:t>日至</w:t>
      </w:r>
      <w:r>
        <w:rPr>
          <w:rFonts w:hint="eastAsia" w:ascii="宋体" w:hAnsi="宋体"/>
          <w:b/>
          <w:sz w:val="21"/>
          <w:szCs w:val="21"/>
          <w:lang w:val="en-US" w:eastAsia="zh-CN"/>
        </w:rPr>
        <w:t>2020</w:t>
      </w:r>
      <w:r>
        <w:rPr>
          <w:rFonts w:hint="eastAsia" w:ascii="宋体" w:hAnsi="宋体"/>
          <w:b/>
          <w:sz w:val="21"/>
          <w:szCs w:val="21"/>
        </w:rPr>
        <w:t>年</w:t>
      </w:r>
      <w:r>
        <w:rPr>
          <w:rFonts w:hint="eastAsia" w:ascii="宋体" w:hAnsi="宋体"/>
          <w:b/>
          <w:sz w:val="21"/>
          <w:szCs w:val="21"/>
          <w:lang w:val="en-US" w:eastAsia="zh-CN"/>
        </w:rPr>
        <w:t>12</w:t>
      </w:r>
      <w:r>
        <w:rPr>
          <w:rFonts w:hint="eastAsia" w:ascii="宋体" w:hAnsi="宋体"/>
          <w:b/>
          <w:sz w:val="21"/>
          <w:szCs w:val="21"/>
        </w:rPr>
        <w:t>月</w:t>
      </w:r>
      <w:r>
        <w:rPr>
          <w:rFonts w:hint="eastAsia" w:ascii="宋体" w:hAnsi="宋体"/>
          <w:b/>
          <w:sz w:val="21"/>
          <w:szCs w:val="21"/>
          <w:lang w:val="en-US" w:eastAsia="zh-CN"/>
        </w:rPr>
        <w:t>11</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bookmarkStart w:id="28" w:name="_GoBack"/>
      <w:bookmarkEnd w:id="28"/>
      <w:r>
        <w:rPr>
          <w:rFonts w:hint="eastAsia" w:ascii="宋体" w:hAnsi="宋体"/>
          <w:b/>
          <w:sz w:val="21"/>
          <w:szCs w:val="21"/>
          <w:lang w:eastAsia="zh-CN"/>
        </w:rPr>
        <w:t>☑</w:t>
      </w: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tabs>
          <w:tab w:val="left" w:pos="645"/>
        </w:tabs>
        <w:spacing w:before="326" w:beforeLines="100" w:after="163" w:afterLines="50" w:line="360" w:lineRule="exact"/>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pStyle w:val="14"/>
              <w:rPr>
                <w:rFonts w:hint="eastAsia" w:ascii="宋体" w:hAnsi="宋体"/>
                <w:b/>
                <w:sz w:val="21"/>
                <w:szCs w:val="21"/>
              </w:rPr>
            </w:pPr>
            <w:r>
              <w:rPr>
                <w:rFonts w:ascii="宋体" w:hAnsi="宋体"/>
                <w:b/>
                <w:sz w:val="21"/>
                <w:szCs w:val="21"/>
              </w:rPr>
              <w:t>1</w:t>
            </w:r>
            <w:r>
              <w:rPr>
                <w:rFonts w:hint="eastAsia" w:ascii="宋体" w:hAnsi="宋体"/>
                <w:b/>
                <w:sz w:val="21"/>
                <w:szCs w:val="21"/>
              </w:rPr>
              <w:t>、组织及其环境的识别情况</w:t>
            </w:r>
            <w:bookmarkStart w:id="27" w:name="_Hlk26865933"/>
          </w:p>
          <w:p>
            <w:pPr>
              <w:pStyle w:val="14"/>
              <w:rPr>
                <w:bCs w:val="0"/>
                <w:color w:val="000000" w:themeColor="text1"/>
                <w:spacing w:val="0"/>
                <w:szCs w:val="21"/>
              </w:rPr>
            </w:pPr>
            <w:r>
              <w:rPr>
                <w:color w:val="000000"/>
                <w:szCs w:val="21"/>
              </w:rPr>
              <w:t>北京东方远创化工</w:t>
            </w:r>
            <w:r>
              <w:rPr>
                <w:bCs w:val="0"/>
                <w:color w:val="000000" w:themeColor="text1"/>
                <w:spacing w:val="0"/>
                <w:szCs w:val="21"/>
              </w:rPr>
              <w:t>有限责任公司</w:t>
            </w:r>
            <w:r>
              <w:rPr>
                <w:rFonts w:hint="eastAsia"/>
                <w:bCs w:val="0"/>
                <w:color w:val="000000" w:themeColor="text1"/>
                <w:spacing w:val="0"/>
                <w:szCs w:val="21"/>
              </w:rPr>
              <w:t>，成立于1999-07-21 - 2099-07-20，企业信用代码911103041028024183,注册资本为1001万元的有限责任公司，注册地址：北京市房山区燕山岗南路东一巷6号C座C211房间，经营范围：销售化工材料（含危险化学品经营许可证京房安经字[2008]000184许可范围60种、危化品经营许可证有效期至2021年03月08日；不含其它危险化学品）；销售五金交电、汽车配件、机械零配件、仪器仪表、钢材、木材、医疗器材、计算机、百货、劳保用品；房屋维修；通讯器材维修；货物进出口、技术进出口、代理进出口；聚乙烯、聚丙烯改性加工生产（PPR管材料、熔喷料、瓶盖料、汽车料、HDPE管材料）（限分支机构经营）；委托加工。（企业依法自主选择经营项目，开展经营活动；依法须经批准的项目，经相关部门批准后依批准的内容开展经营活动；不得从事本市产业政策禁止和限制类项目的经营活动。公司的主要客户群为燕山石油化工有限公司及其石油化工企业；公司采用总经理负责制，层层把关，让用户真正放心</w:t>
            </w:r>
          </w:p>
          <w:bookmarkEnd w:id="27"/>
          <w:p>
            <w:pPr>
              <w:rPr>
                <w:color w:val="000000" w:themeColor="text1"/>
                <w:szCs w:val="21"/>
              </w:rPr>
            </w:pPr>
            <w:r>
              <w:rPr>
                <w:rFonts w:hint="eastAsia"/>
                <w:color w:val="000000" w:themeColor="text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spacing w:line="240" w:lineRule="exact"/>
            </w:pPr>
            <w:r>
              <w:rPr>
                <w:rFonts w:ascii="宋体" w:hAnsi="宋体"/>
                <w:b/>
                <w:sz w:val="21"/>
                <w:szCs w:val="21"/>
              </w:rPr>
              <w:t>2</w:t>
            </w:r>
            <w:r>
              <w:rPr>
                <w:rFonts w:hint="eastAsia" w:ascii="宋体" w:hAnsi="宋体"/>
                <w:b/>
                <w:sz w:val="21"/>
                <w:szCs w:val="21"/>
              </w:rPr>
              <w:t>、相关方需求和期望识别情况</w:t>
            </w:r>
          </w:p>
          <w:p>
            <w:r>
              <w:rPr>
                <w:rFonts w:hint="eastAsia"/>
              </w:rPr>
              <w:t>在公司运营过程中充分考虑相关方方面的期望或要求，识别的相关方有：顾客、最终用户或受益人、业主，股东、员工等。销售部门和相关职能部门通过日常例会、市场活动、现场拜访、产品展销会、客户调查等多种渠道和方式方法随时了解相关方的需求和期望。做为公司经营风险分析和发展机遇的可利用资源。</w:t>
            </w:r>
          </w:p>
          <w:p>
            <w:pPr>
              <w:spacing w:line="240" w:lineRule="exact"/>
              <w:rPr>
                <w:rFonts w:ascii="宋体" w:hAnsi="宋体"/>
                <w:b/>
                <w:sz w:val="21"/>
                <w:szCs w:val="21"/>
              </w:rPr>
            </w:pPr>
            <w:r>
              <w:rPr>
                <w:rFonts w:hint="eastAsia"/>
              </w:rPr>
              <w:t>内外部环境要素识别与评估：在每年的管理评审前，由相关部门负责人进行识别并评估其适宜性。以便于持续满足相关方的需求和期望。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tabs>
                <w:tab w:val="left" w:pos="720"/>
                <w:tab w:val="clear" w:pos="312"/>
              </w:tabs>
              <w:spacing w:line="480" w:lineRule="exact"/>
              <w:rPr>
                <w:rFonts w:hint="eastAsia"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lang w:eastAsia="zh-CN"/>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numPr>
                <w:ilvl w:val="0"/>
                <w:numId w:val="0"/>
              </w:numPr>
              <w:tabs>
                <w:tab w:val="left" w:pos="720"/>
              </w:tabs>
              <w:spacing w:line="480" w:lineRule="exact"/>
              <w:rPr>
                <w:rFonts w:ascii="楷体" w:hAnsi="楷体" w:eastAsia="楷体"/>
                <w:color w:val="000000" w:themeColor="text1"/>
                <w:sz w:val="24"/>
              </w:rPr>
            </w:pPr>
            <w:r>
              <w:rPr>
                <w:rFonts w:hint="eastAsia" w:ascii="楷体" w:hAnsi="楷体" w:eastAsia="楷体"/>
                <w:color w:val="000000" w:themeColor="text1"/>
                <w:sz w:val="24"/>
              </w:rPr>
              <w:t>公司的环境、职业健康安全方针：</w:t>
            </w:r>
          </w:p>
          <w:p>
            <w:r>
              <w:rPr>
                <w:rFonts w:hint="eastAsia"/>
              </w:rPr>
              <w:t>守法诚信追求精品，预防污染保护环境；</w:t>
            </w:r>
          </w:p>
          <w:p>
            <w:pPr>
              <w:pStyle w:val="14"/>
            </w:pPr>
            <w:r>
              <w:rPr>
                <w:rFonts w:hint="eastAsia"/>
              </w:rPr>
              <w:t>关爱员工健康安全，持续改进追求卓越</w:t>
            </w:r>
          </w:p>
          <w:p>
            <w:pPr>
              <w:pStyle w:val="14"/>
            </w:pPr>
            <w:r>
              <w:rPr>
                <w:rFonts w:hint="eastAsia"/>
                <w:color w:val="000000"/>
              </w:rPr>
              <w:t>通过管理手册的分发使全体员工理解方针，通过内审和管理评审保持方针的适宜性。</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77"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1"/>
              </w:numPr>
              <w:ind w:left="0" w:leftChars="0" w:firstLine="0" w:firstLineChars="0"/>
              <w:rPr>
                <w:rFonts w:hint="eastAsia" w:ascii="宋体" w:hAnsi="宋体"/>
                <w:b/>
                <w:sz w:val="21"/>
                <w:szCs w:val="21"/>
              </w:rPr>
            </w:pPr>
            <w:r>
              <w:rPr>
                <w:rFonts w:hint="eastAsia" w:ascii="宋体" w:hAnsi="宋体"/>
                <w:b/>
                <w:sz w:val="21"/>
                <w:szCs w:val="21"/>
              </w:rPr>
              <w:t>风险识别与控制策划</w:t>
            </w:r>
          </w:p>
          <w:p>
            <w:pPr>
              <w:numPr>
                <w:ilvl w:val="0"/>
                <w:numId w:val="0"/>
              </w:numPr>
              <w:ind w:leftChars="0"/>
            </w:pPr>
            <w:r>
              <w:rPr>
                <w:rFonts w:hint="eastAsia"/>
              </w:rPr>
              <w:t>制定了《风险和机遇的应对控制程序》，明确风险和机遇事件的识别方法/途径、风险和机遇事件的评估方式、制定主要风险和机遇事件的应对措施的要求、评价这些措施有效性的方法。</w:t>
            </w:r>
          </w:p>
          <w:p>
            <w:pPr>
              <w:spacing w:line="240" w:lineRule="exact"/>
            </w:pPr>
            <w:r>
              <w:rPr>
                <w:rFonts w:hint="eastAsia"/>
              </w:rPr>
              <w:t>提供了“2019年度 SWOT经营环境分析及对策报告”，对影响公司经营和发展的各种因素（内外部环境、相关方要求等）进行分析，确定需要应对的风险和机遇</w:t>
            </w:r>
          </w:p>
          <w:p>
            <w:pPr>
              <w:spacing w:line="28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30"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质量管理体系过程有：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其中关键过程有</w:t>
            </w:r>
          </w:p>
          <w:p>
            <w:pPr>
              <w:tabs>
                <w:tab w:val="left" w:pos="540"/>
              </w:tabs>
              <w:spacing w:line="300" w:lineRule="exact"/>
              <w:ind w:left="211" w:hanging="211" w:hangingChars="100"/>
              <w:rPr>
                <w:rFonts w:ascii="宋体" w:hAnsi="宋体"/>
                <w:b/>
                <w:sz w:val="21"/>
                <w:szCs w:val="21"/>
              </w:rPr>
            </w:pPr>
            <w:r>
              <w:rPr>
                <w:rFonts w:hint="eastAsia" w:ascii="宋体" w:hAnsi="宋体"/>
                <w:b/>
                <w:sz w:val="21"/>
                <w:szCs w:val="21"/>
              </w:rPr>
              <w:t>需要确认过程</w:t>
            </w:r>
          </w:p>
          <w:p>
            <w:pPr>
              <w:tabs>
                <w:tab w:val="left" w:pos="540"/>
              </w:tabs>
              <w:spacing w:line="300" w:lineRule="exact"/>
              <w:ind w:left="211" w:hanging="211" w:hangingChars="100"/>
              <w:rPr>
                <w:rFonts w:ascii="宋体" w:hAnsi="宋体"/>
                <w:b/>
                <w:sz w:val="21"/>
                <w:szCs w:val="21"/>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删减条款是，删减理由：</w:t>
            </w:r>
          </w:p>
          <w:p>
            <w:pPr>
              <w:tabs>
                <w:tab w:val="left" w:pos="540"/>
              </w:tabs>
              <w:spacing w:line="300" w:lineRule="exact"/>
              <w:ind w:left="211" w:hanging="211" w:hangingChars="100"/>
              <w:rPr>
                <w:rFonts w:ascii="宋体" w:hAnsi="宋体"/>
                <w:b/>
                <w:sz w:val="21"/>
                <w:szCs w:val="21"/>
              </w:rPr>
            </w:pPr>
          </w:p>
          <w:p>
            <w:pPr>
              <w:tabs>
                <w:tab w:val="left" w:pos="540"/>
              </w:tabs>
              <w:spacing w:line="300" w:lineRule="exact"/>
              <w:ind w:left="211" w:hanging="211" w:hangingChars="10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pacing w:val="-12"/>
                <w:sz w:val="20"/>
                <w:szCs w:val="20"/>
              </w:rPr>
            </w:pPr>
            <w:r>
              <w:rPr>
                <w:rFonts w:hint="eastAsia"/>
                <w:b/>
                <w:color w:val="000000" w:themeColor="text1"/>
                <w:sz w:val="20"/>
                <w:szCs w:val="20"/>
              </w:rPr>
              <w:t xml:space="preserve">6. </w:t>
            </w:r>
            <w:r>
              <w:rPr>
                <w:b/>
                <w:color w:val="000000" w:themeColor="text1"/>
                <w:spacing w:val="-12"/>
                <w:sz w:val="20"/>
                <w:szCs w:val="20"/>
              </w:rPr>
              <w:t>EMS</w:t>
            </w:r>
            <w:r>
              <w:rPr>
                <w:rFonts w:hint="eastAsia" w:ascii="宋体" w:hAnsi="宋体"/>
                <w:b/>
                <w:color w:val="000000" w:themeColor="text1"/>
                <w:spacing w:val="-12"/>
                <w:sz w:val="20"/>
                <w:szCs w:val="20"/>
              </w:rPr>
              <w:t>环境因素/</w:t>
            </w:r>
            <w:r>
              <w:rPr>
                <w:rFonts w:ascii="宋体" w:hAnsi="宋体"/>
                <w:b/>
                <w:color w:val="000000" w:themeColor="text1"/>
                <w:spacing w:val="-12"/>
                <w:sz w:val="20"/>
                <w:szCs w:val="20"/>
              </w:rPr>
              <w:t xml:space="preserve"> </w:t>
            </w:r>
          </w:p>
          <w:p>
            <w:pPr>
              <w:spacing w:line="300" w:lineRule="exact"/>
              <w:rPr>
                <w:rFonts w:ascii="宋体" w:hAnsi="宋体"/>
                <w:b/>
                <w:color w:val="000000" w:themeColor="text1"/>
                <w:spacing w:val="-8"/>
                <w:sz w:val="20"/>
                <w:szCs w:val="20"/>
              </w:rPr>
            </w:pPr>
            <w:r>
              <w:rPr>
                <w:rFonts w:hint="eastAsia" w:ascii="宋体" w:hAnsi="宋体"/>
                <w:b/>
                <w:color w:val="000000" w:themeColor="text1"/>
                <w:sz w:val="20"/>
                <w:szCs w:val="20"/>
              </w:rPr>
              <w:t>（</w:t>
            </w:r>
            <w:r>
              <w:rPr>
                <w:rFonts w:hint="eastAsia" w:ascii="宋体" w:hAnsi="宋体"/>
                <w:b/>
                <w:color w:val="000000" w:themeColor="text1"/>
                <w:spacing w:val="-8"/>
                <w:sz w:val="20"/>
                <w:szCs w:val="20"/>
              </w:rPr>
              <w:t>环境因素</w:t>
            </w:r>
            <w:r>
              <w:rPr>
                <w:rFonts w:hint="eastAsia" w:ascii="宋体" w:hAnsi="宋体"/>
                <w:b/>
                <w:color w:val="000000" w:themeColor="text1"/>
                <w:sz w:val="20"/>
                <w:szCs w:val="20"/>
              </w:rPr>
              <w:t>辨识是否充分、重要环境因素评价合理性，</w:t>
            </w:r>
            <w:r>
              <w:rPr>
                <w:rFonts w:hint="eastAsia" w:ascii="宋体" w:hAnsi="宋体"/>
                <w:b/>
                <w:color w:val="000000" w:themeColor="text1"/>
                <w:spacing w:val="-8"/>
                <w:sz w:val="20"/>
                <w:szCs w:val="20"/>
              </w:rPr>
              <w:t>以及环境因素动态变更的及时性等）</w:t>
            </w:r>
          </w:p>
          <w:p>
            <w:pPr>
              <w:spacing w:line="394" w:lineRule="exact"/>
              <w:ind w:firstLine="480" w:firstLineChars="200"/>
              <w:rPr>
                <w:szCs w:val="21"/>
              </w:rPr>
            </w:pPr>
            <w:r>
              <w:rPr>
                <w:rFonts w:hint="eastAsia"/>
                <w:szCs w:val="21"/>
              </w:rPr>
              <w:t>编制了</w:t>
            </w:r>
            <w:r>
              <w:rPr>
                <w:szCs w:val="21"/>
              </w:rPr>
              <w:t>《环境因素的识别与评价控制程序》</w:t>
            </w:r>
            <w:r>
              <w:rPr>
                <w:rFonts w:hint="eastAsia"/>
                <w:szCs w:val="21"/>
              </w:rPr>
              <w:t>符合标准要求.</w:t>
            </w:r>
          </w:p>
          <w:p>
            <w:pPr>
              <w:rPr>
                <w:rFonts w:ascii="宋体" w:hAnsi="宋体" w:cs="宋体"/>
                <w:kern w:val="0"/>
                <w:szCs w:val="21"/>
              </w:rPr>
            </w:pPr>
            <w:r>
              <w:rPr>
                <w:rFonts w:hint="eastAsia"/>
                <w:szCs w:val="21"/>
              </w:rPr>
              <w:t>提供的“环境因素识别评价表”“重要环境因素清单”， 评价考虑了三种时态现在、过去、将来、三种状态、异常、正常、紧急考虑了法律法规，并进行了评价，</w:t>
            </w:r>
            <w:r>
              <w:rPr>
                <w:rFonts w:hint="eastAsia" w:ascii="宋体" w:hAnsi="宋体"/>
                <w:szCs w:val="21"/>
              </w:rPr>
              <w:t>铁路专用设备、铁路大型养路机械配套转向架、轨道交通车辆的生产</w:t>
            </w:r>
            <w:r>
              <w:rPr>
                <w:rFonts w:hint="eastAsia" w:ascii="宋体" w:hAnsi="宋体" w:cs="宋体"/>
                <w:kern w:val="0"/>
                <w:szCs w:val="21"/>
              </w:rPr>
              <w:t>及相关环境管理活动</w:t>
            </w:r>
          </w:p>
          <w:p>
            <w:pPr>
              <w:ind w:firstLine="480" w:firstLineChars="200"/>
              <w:rPr>
                <w:szCs w:val="21"/>
              </w:rPr>
            </w:pPr>
            <w:r>
              <w:rPr>
                <w:rFonts w:hint="eastAsia"/>
                <w:szCs w:val="21"/>
              </w:rPr>
              <w:t>根据企业的生产服务过程，用打分法考虑了法规符合性、发生频次、影响范围等, 通过定性判断法，共识别出重大环境因素2项：固废排放、火灾，评价符合程序要求及公司的实际情况。</w:t>
            </w:r>
          </w:p>
          <w:p>
            <w:pPr>
              <w:spacing w:line="300" w:lineRule="exact"/>
              <w:rPr>
                <w:rFonts w:ascii="宋体" w:hAnsi="宋体"/>
                <w:b/>
                <w:sz w:val="21"/>
                <w:szCs w:val="21"/>
              </w:rPr>
            </w:pPr>
            <w:r>
              <w:rPr>
                <w:rFonts w:hint="eastAsia"/>
                <w:szCs w:val="21"/>
              </w:rPr>
              <w:t>对重要环境因素的控制措施包括制定管理制度、监督检查、应急预案、培训等。提供《重要环境因素识别清单》，其中销售涉及的重要环境因素：固废排放、火灾评价基本合理。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pPr>
            <w:r>
              <w:rPr>
                <w:rFonts w:hint="eastAsia"/>
              </w:rPr>
              <w:t xml:space="preserve">7. </w:t>
            </w:r>
            <w:r>
              <w:t>OHSMS</w:t>
            </w:r>
            <w:r>
              <w:rPr>
                <w:rFonts w:hint="eastAsia"/>
              </w:rPr>
              <w:t>职业健康安全危险源</w:t>
            </w:r>
          </w:p>
          <w:p>
            <w:pPr>
              <w:spacing w:line="300" w:lineRule="exact"/>
            </w:pPr>
            <w:r>
              <w:rPr>
                <w:rFonts w:hint="eastAsia"/>
              </w:rPr>
              <w:t>（职业健康安全危险源辨识是否充分、风险评价合理性，以及风险评价动态变更的及时性等）</w:t>
            </w:r>
          </w:p>
          <w:p>
            <w:pPr>
              <w:ind w:firstLine="480" w:firstLineChars="200"/>
              <w:rPr>
                <w:szCs w:val="21"/>
              </w:rPr>
            </w:pPr>
            <w:r>
              <w:rPr>
                <w:rFonts w:hint="eastAsia"/>
                <w:szCs w:val="21"/>
              </w:rPr>
              <w:t>编制《危险源辨识、风险评价和控制措施确定控制程序》，对影响职业健康安全的危险源，评价其风险程度及级别，不可接受风险评价的标准和更新的时机,并确定更新不可接受风险因素从而进行有效控制等方面的管理要求进行了规定，满足要求。</w:t>
            </w:r>
          </w:p>
          <w:p>
            <w:pPr>
              <w:ind w:firstLine="480" w:firstLineChars="200"/>
              <w:rPr>
                <w:szCs w:val="21"/>
              </w:rPr>
            </w:pPr>
            <w:r>
              <w:rPr>
                <w:rFonts w:hint="eastAsia"/>
                <w:szCs w:val="21"/>
              </w:rPr>
              <w:t>提供的：“危险源识别与风险评价表”“不可接受风险源清单”， 评价考虑了将来、状态、可能导致的事件，并进行了评价，用打分法考虑了法规符合性、发生频次、影响范围等, 通过是非法，共识别出不可接受风险3项，涉及：火灾和触电、意外伤害。评价符合程序要求及公司的实际情况。对危险源的控制措施包括制定管理制度、监督检查、应急预案、培训等。</w:t>
            </w:r>
          </w:p>
          <w:p>
            <w:pPr>
              <w:pStyle w:val="14"/>
              <w:rPr>
                <w:rFonts w:ascii="宋体" w:hAnsi="宋体"/>
                <w:b/>
                <w:sz w:val="21"/>
                <w:szCs w:val="21"/>
              </w:rPr>
            </w:pPr>
            <w:r>
              <w:rPr>
                <w:rFonts w:hint="eastAsia"/>
                <w:bCs w:val="0"/>
                <w:spacing w:val="0"/>
                <w:szCs w:val="21"/>
              </w:rPr>
              <w:t>根据组织经营性质，识别了各部门和场所的危险源，并对危险源进行了评价，评价出不可接受风险，识别基本齐全无遗漏；评价合理。基本了解评价动态变更的及时性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90"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pacing w:val="-4"/>
                <w:szCs w:val="21"/>
              </w:rPr>
            </w:pPr>
            <w:r>
              <w:rPr>
                <w:rFonts w:hint="eastAsia"/>
                <w:b/>
                <w:color w:val="000000" w:themeColor="text1"/>
                <w:szCs w:val="21"/>
              </w:rPr>
              <w:t xml:space="preserve">4. </w:t>
            </w:r>
            <w:r>
              <w:rPr>
                <w:rFonts w:hint="eastAsia" w:ascii="宋体" w:hAnsi="宋体"/>
                <w:b/>
                <w:color w:val="000000" w:themeColor="text1"/>
                <w:spacing w:val="-4"/>
                <w:szCs w:val="21"/>
              </w:rPr>
              <w:t>法律法规及其他要求</w:t>
            </w:r>
          </w:p>
          <w:p>
            <w:pPr>
              <w:tabs>
                <w:tab w:val="left" w:pos="540"/>
              </w:tabs>
              <w:spacing w:line="300" w:lineRule="exact"/>
              <w:ind w:left="211" w:hanging="241" w:hangingChars="100"/>
              <w:rPr>
                <w:rFonts w:ascii="宋体" w:hAnsi="宋体"/>
                <w:b/>
                <w:color w:val="000000" w:themeColor="text1"/>
                <w:szCs w:val="21"/>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获取法律法规120项，■法律法规获取充分，□法律法规获取有遗漏，缺少</w:t>
            </w:r>
          </w:p>
          <w:p>
            <w:pPr>
              <w:tabs>
                <w:tab w:val="left" w:pos="540"/>
              </w:tabs>
              <w:spacing w:line="300" w:lineRule="exact"/>
              <w:ind w:left="1" w:leftChars="-43" w:hanging="104" w:hangingChars="43"/>
              <w:rPr>
                <w:rFonts w:ascii="宋体" w:hAnsi="宋体"/>
                <w:b/>
                <w:color w:val="000000" w:themeColor="text1"/>
                <w:szCs w:val="21"/>
                <w:u w:val="single"/>
              </w:rPr>
            </w:pPr>
          </w:p>
          <w:p>
            <w:pPr>
              <w:pStyle w:val="12"/>
              <w:numPr>
                <w:ilvl w:val="0"/>
                <w:numId w:val="3"/>
              </w:numPr>
              <w:tabs>
                <w:tab w:val="left" w:pos="540"/>
              </w:tabs>
              <w:spacing w:line="300" w:lineRule="exact"/>
              <w:ind w:firstLineChars="0"/>
              <w:rPr>
                <w:rFonts w:ascii="宋体" w:hAnsi="宋体"/>
                <w:b/>
                <w:color w:val="000000" w:themeColor="text1"/>
                <w:szCs w:val="21"/>
              </w:rPr>
            </w:pPr>
            <w:r>
              <w:rPr>
                <w:rFonts w:hint="eastAsia" w:ascii="宋体" w:hAnsi="宋体"/>
                <w:b/>
                <w:color w:val="000000" w:themeColor="text1"/>
                <w:szCs w:val="21"/>
              </w:rPr>
              <w:t>结合公司的■产品/服务■环境因素■危险源，■确定 □未确定法律法规要求的具体条款，</w:t>
            </w:r>
          </w:p>
          <w:p>
            <w:pPr>
              <w:pStyle w:val="15"/>
              <w:numPr>
                <w:ilvl w:val="0"/>
                <w:numId w:val="3"/>
              </w:numPr>
              <w:tabs>
                <w:tab w:val="left" w:pos="540"/>
              </w:tabs>
              <w:spacing w:line="300" w:lineRule="exact"/>
              <w:ind w:firstLineChars="0"/>
              <w:rPr>
                <w:rFonts w:ascii="宋体" w:hAnsi="宋体"/>
                <w:szCs w:val="21"/>
              </w:rPr>
            </w:pPr>
            <w:r>
              <w:rPr>
                <w:rFonts w:hint="eastAsia" w:ascii="宋体" w:hAnsi="宋体"/>
                <w:b/>
                <w:color w:val="000000" w:themeColor="text1"/>
                <w:szCs w:val="21"/>
              </w:rPr>
              <w:t>法律法规的宣传方式：</w:t>
            </w:r>
            <w:r>
              <w:rPr>
                <w:rFonts w:hint="eastAsia" w:ascii="宋体" w:hAnsi="宋体"/>
                <w:szCs w:val="21"/>
              </w:rPr>
              <w:t>进行发放纸质文件、电子文件的形式</w:t>
            </w:r>
          </w:p>
          <w:p>
            <w:pPr>
              <w:pStyle w:val="15"/>
              <w:numPr>
                <w:ilvl w:val="0"/>
                <w:numId w:val="3"/>
              </w:numPr>
              <w:tabs>
                <w:tab w:val="left" w:pos="540"/>
              </w:tabs>
              <w:spacing w:line="300" w:lineRule="exact"/>
              <w:ind w:firstLineChars="0"/>
              <w:rPr>
                <w:rFonts w:ascii="宋体" w:hAnsi="宋体"/>
                <w:b/>
                <w:szCs w:val="21"/>
              </w:rPr>
            </w:pPr>
            <w:r>
              <w:rPr>
                <w:rFonts w:hint="eastAsia" w:ascii="宋体" w:hAnsi="宋体"/>
                <w:b/>
                <w:color w:val="000000" w:themeColor="text1"/>
                <w:szCs w:val="21"/>
              </w:rPr>
              <w:t>法律法规要求及时更新了</w:t>
            </w:r>
            <w:r>
              <w:rPr>
                <w:rFonts w:hint="eastAsia" w:ascii="宋体" w:hAnsi="宋体"/>
                <w:szCs w:val="21"/>
              </w:rPr>
              <w:t>每年一次</w:t>
            </w:r>
          </w:p>
          <w:p>
            <w:pPr>
              <w:tabs>
                <w:tab w:val="left" w:pos="0"/>
              </w:tabs>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19"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rFonts w:ascii="宋体" w:hAnsi="宋体"/>
                <w:b/>
                <w:color w:val="000000" w:themeColor="text1"/>
                <w:szCs w:val="21"/>
              </w:rPr>
            </w:pPr>
            <w:r>
              <w:rPr>
                <w:rFonts w:hint="eastAsia"/>
                <w:b/>
                <w:color w:val="000000" w:themeColor="text1"/>
                <w:szCs w:val="21"/>
              </w:rPr>
              <w:t xml:space="preserve">5. </w:t>
            </w:r>
            <w:r>
              <w:rPr>
                <w:rFonts w:hint="eastAsia" w:ascii="宋体" w:hAnsi="宋体"/>
                <w:b/>
                <w:color w:val="000000" w:themeColor="text1"/>
                <w:szCs w:val="21"/>
              </w:rPr>
              <w:t>目标、方案</w:t>
            </w:r>
          </w:p>
          <w:p>
            <w:pPr>
              <w:spacing w:line="300" w:lineRule="exact"/>
              <w:rPr>
                <w:rFonts w:ascii="宋体" w:hAnsi="宋体"/>
                <w:b/>
                <w:color w:val="000000" w:themeColor="text1"/>
                <w:sz w:val="20"/>
                <w:szCs w:val="20"/>
              </w:rPr>
            </w:pPr>
            <w:r>
              <w:rPr>
                <w:rFonts w:hint="eastAsia"/>
                <w:b/>
                <w:color w:val="000000" w:themeColor="text1"/>
                <w:sz w:val="20"/>
                <w:szCs w:val="20"/>
              </w:rPr>
              <w:t>（</w:t>
            </w:r>
            <w:r>
              <w:rPr>
                <w:rFonts w:hint="eastAsia" w:ascii="宋体" w:hAnsi="宋体"/>
                <w:b/>
                <w:color w:val="000000" w:themeColor="text1"/>
                <w:spacing w:val="-4"/>
                <w:sz w:val="20"/>
                <w:szCs w:val="20"/>
              </w:rPr>
              <w:t>在相关层次上建立</w:t>
            </w:r>
            <w:r>
              <w:rPr>
                <w:rFonts w:hint="eastAsia" w:ascii="宋体" w:hAnsi="宋体"/>
                <w:b/>
                <w:color w:val="000000" w:themeColor="text1"/>
                <w:sz w:val="20"/>
                <w:szCs w:val="20"/>
              </w:rPr>
              <w:t>可测量的目标，目标、方案的有效性，对质量目标的实现情况进行评价并叙述测量方法）</w:t>
            </w:r>
          </w:p>
          <w:p>
            <w:pPr>
              <w:pStyle w:val="14"/>
            </w:pPr>
          </w:p>
          <w:p>
            <w:pPr>
              <w:spacing w:line="240" w:lineRule="exact"/>
              <w:ind w:firstLine="480" w:firstLineChars="200"/>
              <w:rPr>
                <w:rFonts w:ascii="宋体" w:hAnsi="宋体"/>
                <w:b/>
                <w:sz w:val="21"/>
                <w:szCs w:val="21"/>
              </w:rPr>
            </w:pPr>
            <w:r>
              <w:rPr>
                <w:rFonts w:hint="eastAsia"/>
                <w:bCs/>
                <w:szCs w:val="21"/>
              </w:rPr>
              <w:t>在组织各职能和层次上建立了管理目标指标，并制定了相应控制方案。基本适宜公司特点。目标具有可测量性，对目标完成情况进行了考核。对制订的管理方案实施情况定期进行检查。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pPr>
            <w:r>
              <w:rPr>
                <w:rFonts w:hint="eastAsia"/>
              </w:rPr>
              <w:t>6. 文件与记录控制 (文审修订后文件与标准的符合程度评价、文件控制管理等)</w:t>
            </w:r>
          </w:p>
          <w:p>
            <w:pPr>
              <w:tabs>
                <w:tab w:val="left" w:pos="540"/>
              </w:tabs>
              <w:spacing w:line="240" w:lineRule="exact"/>
            </w:pPr>
          </w:p>
          <w:p>
            <w:pPr>
              <w:pStyle w:val="14"/>
              <w:rPr>
                <w:rFonts w:ascii="宋体" w:hAnsi="宋体"/>
                <w:b/>
                <w:sz w:val="21"/>
                <w:szCs w:val="21"/>
              </w:rPr>
            </w:pPr>
            <w:r>
              <w:rPr>
                <w:rFonts w:hint="eastAsia"/>
                <w:szCs w:val="21"/>
              </w:rPr>
              <w:t>文审文件符合标准要求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0"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vAlign w:val="top"/>
          </w:tcPr>
          <w:p>
            <w:pPr>
              <w:spacing w:line="300" w:lineRule="exact"/>
              <w:rPr>
                <w:rFonts w:ascii="宋体" w:hAnsi="宋体"/>
                <w:b/>
                <w:color w:val="000000" w:themeColor="text1"/>
                <w:sz w:val="20"/>
                <w:szCs w:val="20"/>
              </w:rPr>
            </w:pPr>
            <w:r>
              <w:rPr>
                <w:rFonts w:hint="eastAsia" w:ascii="宋体" w:hAnsi="宋体"/>
                <w:b/>
                <w:color w:val="000000" w:themeColor="text1"/>
                <w:sz w:val="20"/>
                <w:szCs w:val="20"/>
              </w:rPr>
              <w:t>人力资源的简要说明</w:t>
            </w:r>
            <w:r>
              <w:rPr>
                <w:rFonts w:hint="eastAsia"/>
                <w:b/>
                <w:color w:val="000000" w:themeColor="text1"/>
                <w:sz w:val="20"/>
                <w:szCs w:val="20"/>
              </w:rPr>
              <w:t>.</w:t>
            </w:r>
            <w:r>
              <w:rPr>
                <w:rFonts w:hint="eastAsia" w:ascii="宋体" w:hAnsi="宋体"/>
                <w:b/>
                <w:color w:val="000000" w:themeColor="text1"/>
                <w:sz w:val="20"/>
                <w:szCs w:val="20"/>
              </w:rPr>
              <w:t>:</w:t>
            </w:r>
          </w:p>
          <w:p>
            <w:pPr>
              <w:pStyle w:val="14"/>
            </w:pPr>
          </w:p>
          <w:p>
            <w:pPr>
              <w:spacing w:line="300" w:lineRule="exact"/>
              <w:rPr>
                <w:rFonts w:ascii="宋体" w:hAnsi="宋体"/>
                <w:b/>
                <w:sz w:val="21"/>
                <w:szCs w:val="21"/>
              </w:rPr>
            </w:pPr>
            <w:r>
              <w:rPr>
                <w:rFonts w:hint="eastAsia"/>
                <w:bCs/>
                <w:szCs w:val="21"/>
              </w:rPr>
              <w:t>该公司员工共10人，管理人员2人。有专业的销售人员、技术人员，能满足</w:t>
            </w:r>
            <w:r>
              <w:rPr>
                <w:rFonts w:hint="eastAsia" w:ascii="宋体" w:hAnsi="宋体"/>
                <w:szCs w:val="21"/>
              </w:rPr>
              <w:t>化工材料，许可范围内危险化学品销售</w:t>
            </w:r>
            <w:r>
              <w:rPr>
                <w:rFonts w:hint="eastAsia" w:ascii="宋体" w:hAnsi="宋体" w:cs="宋体"/>
                <w:kern w:val="0"/>
                <w:szCs w:val="21"/>
              </w:rPr>
              <w:t>的环境及职业健康安全要求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0"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设备设施（包括信息系统）、</w:t>
            </w:r>
          </w:p>
          <w:p>
            <w:pPr>
              <w:pStyle w:val="14"/>
            </w:pPr>
            <w:r>
              <w:rPr>
                <w:rFonts w:hint="eastAsia" w:ascii="宋体" w:hAnsi="宋体" w:cs="宋体"/>
                <w:szCs w:val="21"/>
              </w:rPr>
              <w:t>办公设施：电脑、打印机、复印机等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过程运行环境</w:t>
            </w:r>
          </w:p>
          <w:p>
            <w:r>
              <w:rPr>
                <w:rFonts w:hint="eastAsia"/>
              </w:rPr>
              <w:t>现场观察生产车间、办公区域环境卫生管理，工作场所布局合理，温湿度适宜，照明良好，满足办公需求。</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监视和测量资源</w:t>
            </w:r>
          </w:p>
          <w:p>
            <w:pPr>
              <w:spacing w:line="240" w:lineRule="exact"/>
              <w:rPr>
                <w:rFonts w:ascii="宋体" w:hAnsi="宋体"/>
                <w:b/>
                <w:sz w:val="21"/>
                <w:szCs w:val="21"/>
              </w:rPr>
            </w:pPr>
            <w:r>
              <w:rPr>
                <w:rFonts w:hint="eastAsia"/>
              </w:rPr>
              <w:t>编制有环境及职业健康安全运行检查记录，能不定期对环境及职业健康安全进行检查。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知识</w:t>
            </w:r>
          </w:p>
          <w:p>
            <w:r>
              <w:rPr>
                <w:rFonts w:hint="eastAsia"/>
              </w:rPr>
              <w:t>公司确定运行过程所需的知识，内部来源包括公司运作准则（管理制度、工作记录等）等。外部来源包括外来资料如认证标准、法律法规、市场信息等。</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rFonts w:ascii="宋体" w:hAnsi="宋体"/>
                <w:b/>
                <w:color w:val="000000" w:themeColor="text1"/>
                <w:sz w:val="20"/>
                <w:szCs w:val="20"/>
              </w:rPr>
            </w:pPr>
            <w:r>
              <w:rPr>
                <w:rFonts w:hint="eastAsia" w:ascii="宋体" w:hAnsi="宋体"/>
                <w:b/>
                <w:color w:val="000000" w:themeColor="text1"/>
                <w:sz w:val="20"/>
                <w:szCs w:val="20"/>
              </w:rPr>
              <w:t>环保设施：</w:t>
            </w:r>
          </w:p>
          <w:p>
            <w:pPr>
              <w:spacing w:line="240" w:lineRule="exact"/>
              <w:rPr>
                <w:rFonts w:ascii="宋体" w:hAnsi="宋体"/>
                <w:color w:val="000000" w:themeColor="text1"/>
                <w:sz w:val="20"/>
                <w:szCs w:val="20"/>
              </w:rPr>
            </w:pPr>
            <w:r>
              <w:rPr>
                <w:rFonts w:hint="eastAsia"/>
              </w:rPr>
              <w:t>配备有</w:t>
            </w:r>
            <w:r>
              <w:rPr>
                <w:rFonts w:hint="eastAsia"/>
                <w:b/>
                <w:color w:val="000000" w:themeColor="text1"/>
                <w:sz w:val="22"/>
                <w:szCs w:val="22"/>
              </w:rPr>
              <w:t>垃圾桶、</w:t>
            </w:r>
            <w:r>
              <w:rPr>
                <w:rFonts w:hint="eastAsia"/>
              </w:rPr>
              <w:t>灭火器等环保设施。</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8"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bCs/>
              </w:rPr>
            </w:pPr>
            <w:r>
              <w:rPr>
                <w:rFonts w:hint="eastAsia"/>
                <w:b/>
                <w:bCs/>
              </w:rPr>
              <w:t>职业健康安全设施：</w:t>
            </w:r>
          </w:p>
          <w:p>
            <w:pPr>
              <w:spacing w:line="240" w:lineRule="exact"/>
            </w:pPr>
            <w:r>
              <w:rPr>
                <w:rFonts w:hint="eastAsia"/>
              </w:rPr>
              <w:t>配备有灭火器、消防栓等环保设施。</w:t>
            </w:r>
          </w:p>
          <w:p>
            <w:pPr>
              <w:pStyle w:val="14"/>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hint="eastAsia"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rPr>
                <w:rFonts w:hint="eastAsia" w:ascii="宋体" w:hAnsi="宋体"/>
                <w:b/>
                <w:sz w:val="21"/>
                <w:szCs w:val="21"/>
              </w:rPr>
            </w:pPr>
          </w:p>
          <w:p>
            <w:pPr>
              <w:spacing w:line="300" w:lineRule="exact"/>
              <w:ind w:left="1"/>
              <w:rPr>
                <w:b/>
                <w:color w:val="000000" w:themeColor="text1"/>
                <w:sz w:val="20"/>
                <w:szCs w:val="20"/>
              </w:rPr>
            </w:pPr>
            <w:r>
              <w:rPr>
                <w:rFonts w:hint="eastAsia"/>
                <w:bCs/>
                <w:szCs w:val="21"/>
              </w:rPr>
              <w:t>制定的方针符合组织宗旨，对方针进行宣传和传达学习，可以确保方针为员工理解。在管理评审中对方针进行了评价，目前基本适宜。</w:t>
            </w:r>
          </w:p>
          <w:p>
            <w:pPr>
              <w:spacing w:line="300" w:lineRule="exact"/>
              <w:ind w:left="1"/>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rFonts w:ascii="宋体" w:hAnsi="宋体"/>
                <w:b/>
                <w:sz w:val="21"/>
                <w:szCs w:val="21"/>
              </w:rPr>
            </w:pPr>
            <w:r>
              <w:rPr>
                <w:rFonts w:ascii="宋体" w:hAnsi="宋体"/>
                <w:b/>
                <w:sz w:val="21"/>
                <w:szCs w:val="21"/>
              </w:rPr>
              <w:t xml:space="preserve">2. </w:t>
            </w:r>
            <w:r>
              <w:rPr>
                <w:rFonts w:hint="eastAsia" w:ascii="宋体" w:hAnsi="宋体"/>
                <w:b/>
                <w:sz w:val="21"/>
                <w:szCs w:val="21"/>
              </w:rPr>
              <w:t>组织内部沟通的充分性与效果；（</w:t>
            </w:r>
            <w:r>
              <w:rPr>
                <w:rFonts w:ascii="宋体" w:hAnsi="宋体"/>
                <w:b/>
                <w:sz w:val="21"/>
                <w:szCs w:val="21"/>
              </w:rPr>
              <w:t>OHSMS</w:t>
            </w:r>
            <w:r>
              <w:rPr>
                <w:rFonts w:hint="eastAsia" w:ascii="宋体" w:hAnsi="宋体"/>
                <w:b/>
                <w:sz w:val="21"/>
                <w:szCs w:val="21"/>
              </w:rPr>
              <w:t>员工参与风险管理</w:t>
            </w:r>
            <w:r>
              <w:rPr>
                <w:rFonts w:ascii="宋体" w:hAnsi="宋体"/>
                <w:b/>
                <w:sz w:val="21"/>
                <w:szCs w:val="21"/>
              </w:rPr>
              <w:t>/</w:t>
            </w:r>
            <w:r>
              <w:rPr>
                <w:rFonts w:hint="eastAsia" w:ascii="宋体" w:hAnsi="宋体"/>
                <w:b/>
                <w:sz w:val="21"/>
                <w:szCs w:val="21"/>
              </w:rPr>
              <w:t>健康安全事务的关心和影响力；组织对外联络关注顾客的感受情况、信息交流包括通报相关方的情况等）</w:t>
            </w:r>
          </w:p>
          <w:p>
            <w:pPr>
              <w:spacing w:line="240" w:lineRule="exact"/>
              <w:rPr>
                <w:rFonts w:ascii="宋体" w:hAnsi="宋体"/>
                <w:b/>
                <w:sz w:val="21"/>
                <w:szCs w:val="21"/>
              </w:rPr>
            </w:pPr>
          </w:p>
          <w:p>
            <w:pPr>
              <w:spacing w:line="240" w:lineRule="exact"/>
              <w:rPr>
                <w:bCs/>
                <w:szCs w:val="21"/>
              </w:rPr>
            </w:pPr>
            <w:r>
              <w:rPr>
                <w:rFonts w:hint="eastAsia" w:ascii="楷体_GB2312" w:eastAsia="楷体_GB2312"/>
                <w:b/>
                <w:szCs w:val="21"/>
              </w:rPr>
              <w:t>组织对外联络，关注顾客的感受情况（QMS）：</w:t>
            </w:r>
          </w:p>
          <w:p>
            <w:pPr>
              <w:spacing w:line="240" w:lineRule="exact"/>
              <w:rPr>
                <w:rFonts w:ascii="楷体_GB2312" w:eastAsia="楷体_GB2312"/>
                <w:b/>
                <w:szCs w:val="21"/>
              </w:rPr>
            </w:pPr>
            <w:r>
              <w:rPr>
                <w:rFonts w:hint="eastAsia" w:ascii="楷体_GB2312" w:eastAsia="楷体_GB2312"/>
                <w:b/>
                <w:szCs w:val="21"/>
              </w:rPr>
              <w:t>外部信息的接收、成文并答复的情况（E、S填写）：</w:t>
            </w:r>
            <w:r>
              <w:rPr>
                <w:rFonts w:hint="eastAsia"/>
                <w:bCs/>
                <w:szCs w:val="21"/>
              </w:rPr>
              <w:t>进行接收、答复，但未进行记录</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重要环境因素信息对外交流情况（EMS填写）：</w:t>
            </w:r>
            <w:r>
              <w:rPr>
                <w:rFonts w:hint="eastAsia"/>
                <w:bCs/>
                <w:szCs w:val="21"/>
              </w:rPr>
              <w:t>对相关方进行了书面告知，见到相关方告知书。内容符合标准要求</w:t>
            </w:r>
          </w:p>
          <w:p>
            <w:pPr>
              <w:spacing w:line="240" w:lineRule="exact"/>
              <w:rPr>
                <w:rFonts w:ascii="楷体_GB2312" w:eastAsia="楷体_GB2312"/>
                <w:b/>
                <w:szCs w:val="21"/>
              </w:rPr>
            </w:pPr>
          </w:p>
          <w:p>
            <w:pPr>
              <w:spacing w:line="240" w:lineRule="exact"/>
              <w:rPr>
                <w:bCs/>
                <w:szCs w:val="21"/>
              </w:rPr>
            </w:pPr>
            <w:r>
              <w:rPr>
                <w:rFonts w:hint="eastAsia" w:ascii="楷体_GB2312" w:eastAsia="楷体_GB2312"/>
                <w:b/>
                <w:szCs w:val="21"/>
              </w:rPr>
              <w:t>OHSMS事务代表协商和交流的情况（OHSMS填写）：</w:t>
            </w:r>
            <w:r>
              <w:rPr>
                <w:rFonts w:hint="eastAsia"/>
                <w:bCs/>
                <w:szCs w:val="21"/>
              </w:rPr>
              <w:t>，参与了体系文件的制定，每年召开一次员工代表会议。但未保留记录</w:t>
            </w: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与相关方协商的情况（OHSMS填写）：</w:t>
            </w:r>
            <w:r>
              <w:rPr>
                <w:rFonts w:hint="eastAsia"/>
                <w:bCs/>
                <w:szCs w:val="21"/>
              </w:rPr>
              <w:t>对相关方进行了书面告知，见到相关方告知书。内容符合标准要求</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与相关方协商的情况（</w:t>
            </w:r>
            <w:r>
              <w:rPr>
                <w:rFonts w:ascii="宋体" w:hAnsi="宋体"/>
                <w:b/>
                <w:sz w:val="21"/>
                <w:szCs w:val="21"/>
              </w:rPr>
              <w:t>OHSMS</w:t>
            </w:r>
            <w:r>
              <w:rPr>
                <w:rFonts w:hint="eastAsia" w:ascii="宋体" w:hAnsi="宋体"/>
                <w:b/>
                <w:sz w:val="21"/>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ind w:firstLine="211" w:firstLineChars="100"/>
              <w:rPr>
                <w:rFonts w:ascii="宋体" w:hAnsi="宋体"/>
                <w:b/>
                <w:sz w:val="21"/>
                <w:szCs w:val="21"/>
              </w:rPr>
            </w:pPr>
          </w:p>
          <w:p>
            <w:pPr>
              <w:spacing w:line="240" w:lineRule="exact"/>
              <w:ind w:firstLine="211" w:firstLineChars="100"/>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p>
            <w:pPr>
              <w:spacing w:line="300" w:lineRule="exact"/>
              <w:jc w:val="lef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rPr>
                <w:rFonts w:hint="eastAsia"/>
                <w:szCs w:val="21"/>
              </w:rPr>
            </w:pPr>
          </w:p>
          <w:p>
            <w:pPr>
              <w:spacing w:line="240" w:lineRule="exact"/>
              <w:rPr>
                <w:rFonts w:ascii="宋体" w:hAnsi="宋体"/>
                <w:b/>
                <w:sz w:val="21"/>
                <w:szCs w:val="21"/>
              </w:rPr>
            </w:pPr>
            <w:r>
              <w:rPr>
                <w:rFonts w:hint="eastAsia" w:ascii="宋体" w:hAnsi="宋体" w:cs="宋体"/>
                <w:color w:val="000000" w:themeColor="text1"/>
                <w:szCs w:val="21"/>
              </w:rPr>
              <w:t>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7. EMS组织对重要环境因素实施控制的结果</w:t>
            </w:r>
          </w:p>
          <w:p>
            <w:pPr>
              <w:spacing w:line="240" w:lineRule="exact"/>
              <w:rPr>
                <w:b/>
                <w:color w:val="000000" w:themeColor="text1"/>
                <w:sz w:val="20"/>
                <w:szCs w:val="20"/>
              </w:rPr>
            </w:pPr>
            <w:r>
              <w:rPr>
                <w:rFonts w:hint="eastAsia"/>
                <w:b/>
                <w:color w:val="000000" w:themeColor="text1"/>
                <w:sz w:val="20"/>
                <w:szCs w:val="20"/>
              </w:rPr>
              <w:t>（EMS对重要环境因素控制，重大环境因素对周边环境产生的影响及控制;对相关方施加影响）</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对重要环境因素（</w:t>
            </w:r>
            <w:r>
              <w:rPr>
                <w:rFonts w:hint="eastAsia"/>
                <w:szCs w:val="21"/>
              </w:rPr>
              <w:t>固废排放、火灾</w:t>
            </w:r>
            <w:r>
              <w:rPr>
                <w:rFonts w:hint="eastAsia"/>
                <w:bCs/>
                <w:szCs w:val="21"/>
              </w:rPr>
              <w:t>）进行了识别和控制。目前公司重大环境因素对周边环境影响不大，可得到有效控制。对相关方进行了必要告知。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 OHS 组织对不可接受风险实施控制的结果</w:t>
            </w:r>
          </w:p>
          <w:p>
            <w:pPr>
              <w:spacing w:line="240" w:lineRule="exact"/>
              <w:rPr>
                <w:b/>
                <w:color w:val="000000" w:themeColor="text1"/>
                <w:sz w:val="20"/>
                <w:szCs w:val="20"/>
              </w:rPr>
            </w:pPr>
          </w:p>
          <w:p>
            <w:pPr>
              <w:spacing w:line="240" w:lineRule="exact"/>
              <w:rPr>
                <w:rFonts w:ascii="宋体" w:hAnsi="宋体"/>
                <w:b/>
                <w:sz w:val="21"/>
                <w:szCs w:val="21"/>
              </w:rPr>
            </w:pPr>
            <w:r>
              <w:rPr>
                <w:rFonts w:hint="eastAsia"/>
                <w:bCs/>
                <w:szCs w:val="21"/>
              </w:rPr>
              <w:t>对不可接受风险（</w:t>
            </w:r>
            <w:r>
              <w:rPr>
                <w:rFonts w:hint="eastAsia"/>
                <w:szCs w:val="21"/>
              </w:rPr>
              <w:t>火灾和触电、意外伤害。</w:t>
            </w:r>
            <w:r>
              <w:rPr>
                <w:rFonts w:hint="eastAsia"/>
                <w:bCs/>
                <w:szCs w:val="21"/>
              </w:rPr>
              <w:t>）进行了识别和控制。目前公司不可接受风险对公司及周边环境影响不大，可得到有效控制。对相关方进行了必要告知。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3"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ind w:left="201" w:hanging="201" w:hangingChars="100"/>
              <w:rPr>
                <w:b/>
                <w:color w:val="000000" w:themeColor="text1"/>
                <w:sz w:val="20"/>
                <w:szCs w:val="20"/>
              </w:rPr>
            </w:pPr>
            <w:r>
              <w:rPr>
                <w:rFonts w:hint="eastAsia"/>
                <w:b/>
                <w:color w:val="000000" w:themeColor="text1"/>
                <w:sz w:val="20"/>
                <w:szCs w:val="20"/>
              </w:rPr>
              <w:t xml:space="preserve">9. 应急准备与相应活动的演练及对预案可行性的评价(当有规定时) </w:t>
            </w:r>
          </w:p>
          <w:p>
            <w:pPr>
              <w:spacing w:line="240" w:lineRule="exact"/>
              <w:rPr>
                <w:b/>
                <w:color w:val="000000" w:themeColor="text1"/>
                <w:spacing w:val="-4"/>
                <w:sz w:val="20"/>
                <w:szCs w:val="20"/>
              </w:rPr>
            </w:pPr>
          </w:p>
          <w:p>
            <w:pPr>
              <w:spacing w:line="240" w:lineRule="exact"/>
              <w:rPr>
                <w:rFonts w:ascii="宋体" w:hAnsi="宋体"/>
                <w:b/>
                <w:sz w:val="21"/>
                <w:szCs w:val="21"/>
              </w:rPr>
            </w:pPr>
            <w:r>
              <w:rPr>
                <w:rFonts w:hint="eastAsia"/>
                <w:bCs/>
                <w:szCs w:val="21"/>
              </w:rPr>
              <w:t>对火灾等制定了应急预案，并按要求进行了演练和评审，对演练效果进行了评价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61"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10. 对特种设备的维护; </w:t>
            </w:r>
            <w:r>
              <w:rPr>
                <w:rFonts w:hint="eastAsia"/>
                <w:b/>
                <w:sz w:val="20"/>
                <w:szCs w:val="20"/>
              </w:rPr>
              <w:t>（适用时）</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Cs w:val="21"/>
              </w:rPr>
            </w:pPr>
          </w:p>
        </w:tc>
        <w:tc>
          <w:tcPr>
            <w:tcW w:w="9198" w:type="dxa"/>
            <w:vAlign w:val="top"/>
          </w:tcPr>
          <w:p>
            <w:pPr>
              <w:spacing w:line="240" w:lineRule="exact"/>
              <w:rPr>
                <w:b/>
                <w:bCs/>
              </w:rPr>
            </w:pPr>
            <w:r>
              <w:rPr>
                <w:rFonts w:hint="eastAsia"/>
                <w:b/>
                <w:bCs/>
              </w:rPr>
              <w:t>11 .对危险化学品销售、使用、储存、运输处置，规定的执行力度(必要时); （适用时）</w:t>
            </w:r>
          </w:p>
          <w:p>
            <w:pPr>
              <w:pStyle w:val="14"/>
              <w:rPr>
                <w:b/>
                <w:color w:val="FF0000"/>
                <w:sz w:val="20"/>
                <w:szCs w:val="20"/>
              </w:rPr>
            </w:pPr>
          </w:p>
          <w:p>
            <w:pPr>
              <w:pStyle w:val="14"/>
              <w:rPr>
                <w:rFonts w:ascii="宋体" w:hAnsi="宋体"/>
                <w:b/>
                <w:sz w:val="21"/>
                <w:szCs w:val="21"/>
              </w:rPr>
            </w:pPr>
            <w:r>
              <w:rPr>
                <w:rFonts w:hint="eastAsia"/>
                <w:color w:val="000000" w:themeColor="text1"/>
                <w:spacing w:val="0"/>
                <w:sz w:val="20"/>
                <w:szCs w:val="20"/>
              </w:rPr>
              <w:t>公司不存储危化品，公司销售的危化品质检从生产企业直接运输到客户处，提供有运输方的资质，及合同，见附件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26"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1. .对质量/环境/职业健康安全目标指标进行定期监测/检查情况</w:t>
            </w:r>
          </w:p>
          <w:p>
            <w:pPr>
              <w:spacing w:line="240" w:lineRule="exact"/>
              <w:ind w:firstLine="100" w:firstLineChars="50"/>
              <w:rPr>
                <w:b/>
                <w:color w:val="000000" w:themeColor="text1"/>
                <w:sz w:val="20"/>
                <w:szCs w:val="20"/>
              </w:rPr>
            </w:pPr>
          </w:p>
          <w:p>
            <w:pPr>
              <w:spacing w:line="240" w:lineRule="exact"/>
              <w:ind w:firstLine="120" w:firstLineChars="50"/>
              <w:rPr>
                <w:rFonts w:ascii="宋体" w:hAnsi="宋体"/>
                <w:b/>
                <w:sz w:val="21"/>
                <w:szCs w:val="21"/>
              </w:rPr>
            </w:pPr>
            <w:r>
              <w:rPr>
                <w:rFonts w:hint="eastAsia" w:ascii="宋体" w:hAnsi="宋体" w:cs="宋体"/>
                <w:color w:val="auto"/>
                <w:szCs w:val="21"/>
                <w:highlight w:val="none"/>
              </w:rPr>
              <w:t>公司制定、发布了总体目标并分解到相关职能部门和层次，规定了目标值、计算方法、责任部门、检查人、考核频次等。同时，质量目标得到沟通和监视评价，通过数据的汇总统计、描述性统计等方法对目标进行了测量，总体已达到或超过了规定的目标值。通过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1月</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2020年11</w:t>
            </w:r>
            <w:r>
              <w:rPr>
                <w:rFonts w:hint="eastAsia" w:ascii="宋体" w:hAnsi="宋体" w:cs="宋体"/>
                <w:color w:val="auto"/>
                <w:szCs w:val="21"/>
                <w:highlight w:val="none"/>
              </w:rPr>
              <w:t>月目标的测量，总体已达到或超过了规定的目标值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3"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ind w:left="100" w:hanging="100" w:hangingChars="50"/>
              <w:rPr>
                <w:b/>
                <w:color w:val="000000" w:themeColor="text1"/>
                <w:sz w:val="20"/>
                <w:szCs w:val="20"/>
              </w:rPr>
            </w:pPr>
            <w:r>
              <w:rPr>
                <w:rFonts w:hint="eastAsia"/>
                <w:b/>
                <w:color w:val="000000" w:themeColor="text1"/>
                <w:sz w:val="20"/>
                <w:szCs w:val="20"/>
              </w:rPr>
              <w:t>2.顾客满意</w:t>
            </w:r>
          </w:p>
          <w:p>
            <w:pPr>
              <w:spacing w:line="240" w:lineRule="exact"/>
              <w:ind w:left="100" w:hanging="100" w:hangingChars="50"/>
              <w:rPr>
                <w:b/>
                <w:color w:val="000000" w:themeColor="text1"/>
                <w:sz w:val="20"/>
                <w:szCs w:val="20"/>
              </w:rPr>
            </w:pPr>
          </w:p>
          <w:p>
            <w:pPr>
              <w:spacing w:line="240" w:lineRule="exact"/>
              <w:ind w:left="120" w:leftChars="0" w:hanging="120" w:hangingChars="50"/>
              <w:rPr>
                <w:rFonts w:hint="eastAsia"/>
              </w:rPr>
            </w:pPr>
            <w:r>
              <w:rPr>
                <w:rFonts w:hint="eastAsia"/>
              </w:rPr>
              <w:t>公司建立了顾客满意度监视和测量控制程序，对顾客投诉处理及顾客满意度评价做了明确的规定，并按规定对顾客反馈及时处理，但在顾客反馈信息的利用上不够，需要改善。近年来未发生重大顾客投诉和产品质量事故。顾客满意度调查按规定实施，满意度评价</w:t>
            </w:r>
            <w:r>
              <w:rPr>
                <w:rFonts w:hint="eastAsia"/>
                <w:lang w:val="en-US" w:eastAsia="zh-CN"/>
              </w:rPr>
              <w:t>98</w:t>
            </w:r>
            <w:r>
              <w:rPr>
                <w:rFonts w:hint="eastAsia"/>
              </w:rPr>
              <w:t>分，总体实现了顾客满意度的质量目标要求。</w:t>
            </w:r>
          </w:p>
          <w:p>
            <w:pPr>
              <w:spacing w:line="240" w:lineRule="exact"/>
              <w:ind w:left="105" w:leftChars="0" w:hanging="105" w:hangingChars="50"/>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3. 内审（包括内审策划审核方案中考虑拟审核的过程和区域的状况和重要性）</w:t>
            </w:r>
          </w:p>
          <w:p>
            <w:pPr>
              <w:spacing w:line="240" w:lineRule="exact"/>
              <w:rPr>
                <w:b/>
                <w:color w:val="000000" w:themeColor="text1"/>
                <w:spacing w:val="-8"/>
                <w:sz w:val="20"/>
                <w:szCs w:val="20"/>
              </w:rPr>
            </w:pPr>
          </w:p>
          <w:p>
            <w:pPr>
              <w:spacing w:line="240" w:lineRule="exact"/>
              <w:rPr>
                <w:rFonts w:ascii="宋体" w:hAnsi="宋体"/>
                <w:b/>
                <w:sz w:val="21"/>
                <w:szCs w:val="21"/>
              </w:rPr>
            </w:pPr>
            <w:r>
              <w:rPr>
                <w:rFonts w:hint="eastAsia" w:ascii="宋体" w:hAnsi="宋体"/>
                <w:color w:val="auto"/>
                <w:szCs w:val="21"/>
              </w:rPr>
              <w:t>建立有《内部审核控制程序》，规定了内审频次一年一次，拟定了审核实施表，明确了内审范围，内审人员经培训合格上岗，能力满足要求，未出现审核本部门情况，内审</w:t>
            </w:r>
            <w:r>
              <w:rPr>
                <w:rFonts w:hint="eastAsia" w:ascii="宋体" w:hAnsi="宋体"/>
                <w:color w:val="auto"/>
                <w:szCs w:val="21"/>
                <w:highlight w:val="none"/>
              </w:rPr>
              <w:t>不符合项</w:t>
            </w:r>
            <w:r>
              <w:rPr>
                <w:rFonts w:hint="eastAsia" w:ascii="宋体" w:hAnsi="宋体"/>
                <w:color w:val="auto"/>
                <w:szCs w:val="21"/>
                <w:highlight w:val="none"/>
                <w:lang w:val="en-US" w:eastAsia="zh-CN"/>
              </w:rPr>
              <w:t>1</w:t>
            </w:r>
            <w:r>
              <w:rPr>
                <w:rFonts w:hint="eastAsia" w:ascii="宋体" w:hAnsi="宋体"/>
                <w:color w:val="auto"/>
                <w:szCs w:val="21"/>
                <w:highlight w:val="none"/>
              </w:rPr>
              <w:t>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2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4.管理评审（管理评审体系变更需求，纠正和预防措施、体系有效性等）</w:t>
            </w:r>
          </w:p>
          <w:p>
            <w:pPr>
              <w:spacing w:line="240" w:lineRule="exact"/>
              <w:rPr>
                <w:b/>
                <w:color w:val="000000" w:themeColor="text1"/>
                <w:sz w:val="20"/>
                <w:szCs w:val="20"/>
              </w:rPr>
            </w:pPr>
          </w:p>
          <w:p>
            <w:pPr>
              <w:spacing w:line="240" w:lineRule="exact"/>
              <w:rPr>
                <w:rFonts w:ascii="宋体" w:hAnsi="宋体"/>
                <w:b/>
                <w:sz w:val="21"/>
                <w:szCs w:val="21"/>
              </w:rPr>
            </w:pPr>
            <w:r>
              <w:rPr>
                <w:rFonts w:hint="eastAsia" w:ascii="宋体" w:hAnsi="宋体" w:cs="宋体"/>
                <w:color w:val="auto"/>
                <w:szCs w:val="21"/>
              </w:rPr>
              <w:t>管理评审频次为一年一次、本次管理评审由总经理主持完成、提供主要输入材料有各部门总结，输入信息基本充分和满足要求。输出见“管理评审报告”, 做出了管理体系基本适宜、充分和有效的评审结论。管理评审的输出不具体，需要改善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4"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5.  EMS是否按规定对主要污染物（污水、废气、噪声、废渣等）及排放实施了例行的监视或测量，结果是否满足相关要求？</w:t>
            </w:r>
          </w:p>
          <w:p>
            <w:pPr>
              <w:spacing w:line="240" w:lineRule="exact"/>
              <w:rPr>
                <w:b/>
                <w:color w:val="FF0000"/>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 xml:space="preserve">6.  </w:t>
            </w:r>
            <w:r>
              <w:rPr>
                <w:b/>
                <w:color w:val="000000" w:themeColor="text1"/>
                <w:sz w:val="20"/>
                <w:szCs w:val="20"/>
              </w:rPr>
              <w:t>EMS</w:t>
            </w:r>
            <w:r>
              <w:rPr>
                <w:rFonts w:hint="eastAsia"/>
                <w:b/>
                <w:color w:val="000000" w:themeColor="text1"/>
                <w:sz w:val="20"/>
                <w:szCs w:val="20"/>
              </w:rPr>
              <w:t xml:space="preserve">国家/地方环保部门监测结果、新改扩建项目符合环评报告、三同时验收报告要求情况及措施 </w:t>
            </w:r>
          </w:p>
          <w:p>
            <w:pPr>
              <w:spacing w:line="240" w:lineRule="exact"/>
              <w:rPr>
                <w:b/>
                <w:color w:val="000000" w:themeColor="text1"/>
                <w:sz w:val="20"/>
                <w:szCs w:val="20"/>
              </w:rPr>
            </w:pP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7" w:hRule="atLeast"/>
          <w:jc w:val="center"/>
        </w:trPr>
        <w:tc>
          <w:tcPr>
            <w:tcW w:w="720" w:type="dxa"/>
            <w:vMerge w:val="continue"/>
            <w:vAlign w:val="center"/>
          </w:tcPr>
          <w:p>
            <w:pPr>
              <w:spacing w:line="240" w:lineRule="exact"/>
              <w:jc w:val="center"/>
              <w:rPr>
                <w:b/>
                <w:sz w:val="20"/>
              </w:rPr>
            </w:pPr>
          </w:p>
        </w:tc>
        <w:tc>
          <w:tcPr>
            <w:tcW w:w="9198" w:type="dxa"/>
            <w:vAlign w:val="top"/>
          </w:tcPr>
          <w:p>
            <w:pPr>
              <w:spacing w:line="300" w:lineRule="exact"/>
              <w:rPr>
                <w:b/>
                <w:color w:val="000000" w:themeColor="text1"/>
                <w:sz w:val="20"/>
                <w:szCs w:val="20"/>
              </w:rPr>
            </w:pPr>
            <w:r>
              <w:rPr>
                <w:rFonts w:hint="eastAsia"/>
                <w:b/>
                <w:color w:val="000000" w:themeColor="text1"/>
                <w:sz w:val="20"/>
                <w:szCs w:val="20"/>
              </w:rPr>
              <w:t>7. OHSMS是否按规定对职业健康安全项目进行定期测量，结果是否满足相关要求：</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提供有体检报告，公司给员工上意外保险，见附件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02" w:hRule="atLeast"/>
          <w:jc w:val="center"/>
        </w:trPr>
        <w:tc>
          <w:tcPr>
            <w:tcW w:w="720" w:type="dxa"/>
            <w:vMerge w:val="continue"/>
            <w:vAlign w:val="center"/>
          </w:tcPr>
          <w:p>
            <w:pPr>
              <w:spacing w:line="240" w:lineRule="exact"/>
              <w:jc w:val="center"/>
              <w:rPr>
                <w:b/>
                <w:sz w:val="20"/>
              </w:rPr>
            </w:pPr>
          </w:p>
        </w:tc>
        <w:tc>
          <w:tcPr>
            <w:tcW w:w="9198" w:type="dxa"/>
            <w:vAlign w:val="top"/>
          </w:tcPr>
          <w:p>
            <w:pPr>
              <w:spacing w:line="240" w:lineRule="exact"/>
              <w:rPr>
                <w:b/>
                <w:color w:val="000000" w:themeColor="text1"/>
                <w:sz w:val="20"/>
                <w:szCs w:val="20"/>
              </w:rPr>
            </w:pPr>
            <w:r>
              <w:rPr>
                <w:rFonts w:hint="eastAsia"/>
                <w:b/>
                <w:color w:val="000000" w:themeColor="text1"/>
                <w:sz w:val="20"/>
                <w:szCs w:val="20"/>
              </w:rPr>
              <w:t>8.OHSMS国家/地方职业健康安全部门监督检查情况及措施</w:t>
            </w:r>
          </w:p>
          <w:p>
            <w:pPr>
              <w:spacing w:line="240" w:lineRule="exact"/>
              <w:rPr>
                <w:b/>
                <w:color w:val="000000" w:themeColor="text1"/>
                <w:sz w:val="20"/>
                <w:szCs w:val="20"/>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vAlign w:val="top"/>
          </w:tcPr>
          <w:p>
            <w:pPr>
              <w:widowControl/>
              <w:spacing w:line="240" w:lineRule="exact"/>
              <w:rPr>
                <w:b/>
                <w:color w:val="000000" w:themeColor="text1"/>
                <w:sz w:val="20"/>
                <w:szCs w:val="20"/>
              </w:rPr>
            </w:pPr>
            <w:r>
              <w:rPr>
                <w:rFonts w:hint="eastAsia"/>
                <w:b/>
                <w:color w:val="000000" w:themeColor="text1"/>
                <w:sz w:val="20"/>
                <w:szCs w:val="20"/>
              </w:rPr>
              <w:t>9. 其他能够标明组织绩效、信誉的证据/信息：</w:t>
            </w:r>
          </w:p>
          <w:p>
            <w:pPr>
              <w:widowControl/>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vAlign w:val="top"/>
          </w:tcPr>
          <w:p>
            <w:pPr>
              <w:spacing w:line="240" w:lineRule="exact"/>
              <w:rPr>
                <w:b/>
                <w:color w:val="000000" w:themeColor="text1"/>
                <w:sz w:val="20"/>
                <w:szCs w:val="20"/>
              </w:rPr>
            </w:pPr>
            <w:r>
              <w:rPr>
                <w:rFonts w:hint="eastAsia"/>
                <w:b/>
                <w:color w:val="000000" w:themeColor="text1"/>
                <w:sz w:val="20"/>
                <w:szCs w:val="20"/>
              </w:rPr>
              <w:t>1 纠正/预防措施的实施及效果</w:t>
            </w:r>
            <w:r>
              <w:rPr>
                <w:rFonts w:hint="eastAsia"/>
                <w:b/>
                <w:color w:val="000000" w:themeColor="text1"/>
                <w:spacing w:val="-8"/>
                <w:sz w:val="20"/>
                <w:szCs w:val="20"/>
              </w:rPr>
              <w:t>;</w:t>
            </w:r>
          </w:p>
          <w:p>
            <w:pPr>
              <w:spacing w:line="240" w:lineRule="exact"/>
              <w:rPr>
                <w:b/>
                <w:color w:val="000000" w:themeColor="text1"/>
                <w:sz w:val="20"/>
                <w:szCs w:val="20"/>
              </w:rPr>
            </w:pPr>
          </w:p>
          <w:p>
            <w:pPr>
              <w:spacing w:line="240" w:lineRule="exact"/>
              <w:ind w:firstLine="480" w:firstLineChars="200"/>
              <w:rPr>
                <w:rFonts w:hint="eastAsia"/>
                <w:color w:val="auto"/>
              </w:rPr>
            </w:pPr>
            <w:r>
              <w:rPr>
                <w:rFonts w:hint="eastAsia"/>
                <w:color w:val="auto"/>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p>
            <w:pPr>
              <w:spacing w:line="240" w:lineRule="exact"/>
              <w:rPr>
                <w:rFonts w:ascii="宋体" w:hAnsi="宋体"/>
                <w:b/>
                <w:sz w:val="21"/>
                <w:szCs w:val="21"/>
              </w:rPr>
            </w:pPr>
            <w:r>
              <w:rPr>
                <w:rFonts w:hint="eastAsia"/>
                <w:bCs/>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2.</w:t>
            </w: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p>
          <w:p>
            <w:pPr>
              <w:spacing w:line="240" w:lineRule="exact"/>
              <w:rPr>
                <w:rFonts w:ascii="宋体" w:hAnsi="宋体"/>
                <w:b/>
                <w:sz w:val="21"/>
                <w:szCs w:val="21"/>
              </w:rPr>
            </w:pPr>
            <w:r>
              <w:rPr>
                <w:rFonts w:hint="eastAsia"/>
                <w:b/>
                <w:color w:val="000000" w:themeColor="text1"/>
                <w:sz w:val="20"/>
                <w:szCs w:val="20"/>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59"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lang w:eastAsia="zh-CN"/>
              </w:rPr>
            </w:pPr>
            <w:r>
              <w:rPr>
                <w:rFonts w:hint="eastAsia" w:ascii="宋体" w:hAnsi="宋体"/>
                <w:b/>
                <w:sz w:val="21"/>
                <w:szCs w:val="21"/>
              </w:rPr>
              <w:t>创新情况</w:t>
            </w:r>
            <w:r>
              <w:rPr>
                <w:rFonts w:hint="eastAsia" w:ascii="宋体" w:hAnsi="宋体"/>
                <w:b/>
                <w:sz w:val="21"/>
                <w:szCs w:val="21"/>
                <w:lang w:eastAsia="zh-CN"/>
              </w:rPr>
              <w:t>：</w:t>
            </w:r>
          </w:p>
          <w:p>
            <w:pPr>
              <w:numPr>
                <w:ilvl w:val="0"/>
                <w:numId w:val="0"/>
              </w:numPr>
              <w:spacing w:line="240" w:lineRule="exact"/>
              <w:ind w:leftChars="0"/>
              <w:rPr>
                <w:rFonts w:hint="default" w:ascii="宋体" w:hAnsi="宋体" w:eastAsia="宋体"/>
                <w:b/>
                <w:sz w:val="21"/>
                <w:szCs w:val="21"/>
                <w:lang w:val="en-US" w:eastAsia="zh-CN"/>
              </w:rPr>
            </w:pPr>
            <w:r>
              <w:rPr>
                <w:rFonts w:hint="eastAsia" w:ascii="宋体" w:hAnsi="宋体"/>
                <w:b/>
                <w:sz w:val="21"/>
                <w:szCs w:val="21"/>
                <w:lang w:val="en-US" w:eastAsia="zh-CN"/>
              </w:rPr>
              <w:t>无创新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2"/>
              </w:numPr>
              <w:spacing w:line="240" w:lineRule="exact"/>
              <w:ind w:left="0" w:leftChars="0" w:firstLine="0" w:firstLineChars="0"/>
              <w:rPr>
                <w:rFonts w:hint="eastAsia" w:ascii="宋体" w:hAnsi="宋体"/>
                <w:b/>
                <w:sz w:val="21"/>
                <w:szCs w:val="21"/>
              </w:rPr>
            </w:pPr>
            <w:r>
              <w:rPr>
                <w:rFonts w:hint="eastAsia" w:ascii="宋体" w:hAnsi="宋体"/>
                <w:b/>
                <w:sz w:val="21"/>
                <w:szCs w:val="21"/>
              </w:rPr>
              <w:t>上次不符合的整改情况</w:t>
            </w:r>
            <w:r>
              <w:rPr>
                <w:rFonts w:hint="eastAsia" w:ascii="宋体" w:hAnsi="宋体"/>
                <w:b/>
                <w:sz w:val="21"/>
                <w:szCs w:val="21"/>
                <w:lang w:eastAsia="zh-CN"/>
              </w:rPr>
              <w:t>：</w:t>
            </w:r>
          </w:p>
          <w:p>
            <w:pPr>
              <w:numPr>
                <w:ilvl w:val="0"/>
                <w:numId w:val="0"/>
              </w:numPr>
              <w:spacing w:line="240" w:lineRule="exact"/>
              <w:ind w:leftChars="0"/>
              <w:rPr>
                <w:rFonts w:hint="default" w:ascii="宋体" w:hAnsi="宋体"/>
                <w:b/>
                <w:sz w:val="21"/>
                <w:szCs w:val="21"/>
                <w:lang w:val="en-US"/>
              </w:rPr>
            </w:pPr>
            <w:r>
              <w:rPr>
                <w:rFonts w:hint="eastAsia" w:ascii="宋体" w:hAnsi="宋体"/>
                <w:b/>
                <w:sz w:val="21"/>
                <w:szCs w:val="21"/>
                <w:lang w:val="en-US" w:eastAsia="zh-CN"/>
              </w:rPr>
              <w:t>上次不符合：“办公室没有严禁吸烟的标识”，经过本次审核，已经整改完毕，无此情况出现</w:t>
            </w:r>
          </w:p>
          <w:p>
            <w:pPr>
              <w:numPr>
                <w:ilvl w:val="0"/>
                <w:numId w:val="0"/>
              </w:numPr>
              <w:spacing w:line="240" w:lineRule="exact"/>
              <w:ind w:leftChars="0"/>
              <w:rPr>
                <w:rFonts w:hint="default" w:ascii="宋体" w:hAnsi="宋体" w:eastAsia="宋体"/>
                <w:b/>
                <w:sz w:val="21"/>
                <w:szCs w:val="21"/>
                <w:lang w:val="en-US" w:eastAsia="zh-CN"/>
              </w:rPr>
            </w:pPr>
          </w:p>
        </w:tc>
      </w:tr>
    </w:tbl>
    <w:p>
      <w:pPr>
        <w:tabs>
          <w:tab w:val="left" w:pos="645"/>
        </w:tabs>
        <w:spacing w:after="163" w:afterLines="50" w:line="360" w:lineRule="exact"/>
        <w:rPr>
          <w:b/>
          <w:sz w:val="26"/>
          <w:szCs w:val="26"/>
        </w:rPr>
      </w:pPr>
    </w:p>
    <w:p>
      <w:pPr>
        <w:tabs>
          <w:tab w:val="left" w:pos="645"/>
        </w:tabs>
        <w:spacing w:after="163"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hint="eastAsia" w:ascii="宋体" w:eastAsia="宋体"/>
          <w:b/>
          <w:szCs w:val="21"/>
          <w:lang w:val="en-US" w:eastAsia="zh-CN"/>
        </w:rPr>
      </w:pPr>
      <w:r>
        <w:rPr>
          <w:rFonts w:hint="eastAsia"/>
          <w:b/>
          <w:spacing w:val="-10"/>
          <w:szCs w:val="21"/>
          <w:lang w:eastAsia="zh-CN"/>
        </w:rPr>
        <w:t>☑</w:t>
      </w:r>
      <w:r>
        <w:rPr>
          <w:rFonts w:hint="eastAsia" w:ascii="宋体" w:hAnsi="宋体"/>
          <w:b/>
          <w:szCs w:val="21"/>
        </w:rPr>
        <w:t>可能影响本次审核结论可靠性的因素：</w:t>
      </w:r>
      <w:r>
        <w:rPr>
          <w:rFonts w:hint="eastAsia" w:ascii="宋体" w:hAnsi="宋体"/>
          <w:b/>
          <w:szCs w:val="21"/>
          <w:lang w:val="en-US" w:eastAsia="zh-CN"/>
        </w:rPr>
        <w:t>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ind w:left="-211" w:leftChars="-88" w:firstLine="493" w:firstLineChars="223"/>
        <w:rPr>
          <w:b/>
          <w:spacing w:val="-10"/>
          <w:szCs w:val="21"/>
        </w:rPr>
      </w:pPr>
    </w:p>
    <w:p>
      <w:pPr>
        <w:snapToGrid w:val="0"/>
        <w:spacing w:line="360" w:lineRule="auto"/>
        <w:ind w:left="-211" w:leftChars="-88" w:firstLine="493" w:firstLineChars="223"/>
        <w:rPr>
          <w:rFonts w:ascii="宋体"/>
          <w:b/>
          <w:szCs w:val="21"/>
        </w:rPr>
      </w:pPr>
      <w:r>
        <w:rPr>
          <w:rFonts w:hint="eastAsia"/>
          <w:b/>
          <w:spacing w:val="-10"/>
          <w:szCs w:val="21"/>
          <w:lang w:eastAsia="zh-CN"/>
        </w:rPr>
        <w:t>☑</w:t>
      </w:r>
      <w:r>
        <w:rPr>
          <w:rFonts w:hint="eastAsia" w:ascii="宋体" w:hAnsi="宋体"/>
          <w:b/>
          <w:szCs w:val="21"/>
        </w:rPr>
        <w:t>达到审核目的</w:t>
      </w:r>
    </w:p>
    <w:p>
      <w:pPr>
        <w:snapToGrid w:val="0"/>
        <w:spacing w:line="360" w:lineRule="auto"/>
        <w:ind w:left="-211" w:leftChars="-88" w:firstLine="493" w:firstLineChars="223"/>
        <w:rPr>
          <w:rFonts w:ascii="宋体"/>
          <w:b/>
          <w:szCs w:val="21"/>
        </w:rPr>
      </w:pPr>
      <w:r>
        <w:rPr>
          <w:rFonts w:hint="eastAsia"/>
          <w:b/>
          <w:spacing w:val="-10"/>
          <w:szCs w:val="21"/>
        </w:rPr>
        <w:t>□未</w:t>
      </w:r>
      <w:r>
        <w:rPr>
          <w:rFonts w:hint="eastAsia" w:ascii="宋体" w:hAnsi="宋体"/>
          <w:b/>
          <w:szCs w:val="21"/>
        </w:rPr>
        <w:t>达到审核目的，未达到目的的原因是：</w:t>
      </w:r>
    </w:p>
    <w:p>
      <w:pPr>
        <w:tabs>
          <w:tab w:val="left" w:pos="645"/>
        </w:tabs>
        <w:spacing w:before="163" w:beforeLines="50" w:after="163" w:afterLines="50" w:line="360" w:lineRule="exact"/>
        <w:rPr>
          <w:b/>
          <w:sz w:val="16"/>
          <w:szCs w:val="16"/>
        </w:rPr>
      </w:pPr>
      <w:r>
        <w:rPr>
          <w:rFonts w:hint="eastAsia"/>
          <w:b/>
          <w:sz w:val="26"/>
          <w:szCs w:val="26"/>
        </w:rPr>
        <w:t>八、本次审核不符合项</w:t>
      </w:r>
    </w:p>
    <w:p>
      <w:pPr>
        <w:spacing w:line="400" w:lineRule="exact"/>
        <w:ind w:left="420" w:leftChars="175" w:firstLine="101" w:firstLineChars="42"/>
        <w:rPr>
          <w:rFonts w:ascii="宋体" w:hAnsi="宋体"/>
          <w:b/>
          <w:szCs w:val="21"/>
        </w:rPr>
      </w:pPr>
      <w:r>
        <w:rPr>
          <w:rFonts w:hint="eastAsia" w:ascii="宋体" w:hAnsi="宋体"/>
          <w:b/>
          <w:szCs w:val="21"/>
        </w:rPr>
        <w:t>本次审核共开具不符合项报告项；其中</w:t>
      </w:r>
      <w:r>
        <w:rPr>
          <w:rFonts w:ascii="宋体" w:hAnsi="宋体"/>
          <w:b/>
          <w:szCs w:val="21"/>
        </w:rPr>
        <w:pict>
          <v:line id="直接连接符 1" o:spid="_x0000_s1028" o:spt="20" style="position:absolute;left:0pt;margin-left:210pt;margin-top:16.2pt;height:0pt;width:0.05pt;z-index:251658240;mso-width-relative:page;mso-height-relative:page;" coordsize="21600,21600" o:allowincell="f">
            <v:path arrowok="t"/>
            <v:fill focussize="0,0"/>
            <v:stroke/>
            <v:imagedata o:title=""/>
            <o:lock v:ext="edit"/>
          </v:line>
        </w:pict>
      </w:r>
      <w:r>
        <w:rPr>
          <w:rFonts w:hint="eastAsia" w:ascii="宋体" w:hAnsi="宋体"/>
          <w:b/>
          <w:szCs w:val="21"/>
        </w:rPr>
        <w:t>严重不符合项，一般不符合项，观察项项分布在部门条款，见不符合项分布表。（</w:t>
      </w:r>
      <w:r>
        <w:rPr>
          <w:rFonts w:ascii="宋体" w:hAnsi="宋体"/>
          <w:b/>
          <w:szCs w:val="21"/>
        </w:rPr>
        <w:t>Q/J/E/S</w:t>
      </w:r>
      <w:r>
        <w:rPr>
          <w:rFonts w:hint="eastAsia" w:ascii="宋体" w:hAnsi="宋体"/>
          <w:b/>
          <w:szCs w:val="21"/>
        </w:rPr>
        <w:t>分开填写）</w:t>
      </w:r>
    </w:p>
    <w:p>
      <w:pPr>
        <w:tabs>
          <w:tab w:val="left" w:pos="645"/>
        </w:tabs>
        <w:spacing w:after="163"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spacing w:line="280" w:lineRule="exact"/>
              <w:ind w:left="331" w:leftChars="88" w:hanging="120" w:hangingChars="50"/>
              <w:rPr>
                <w:rFonts w:ascii="宋体" w:hAnsi="宋体"/>
                <w:b/>
                <w:szCs w:val="21"/>
              </w:rPr>
            </w:pPr>
            <w:r>
              <w:rPr>
                <w:rFonts w:ascii="宋体" w:hAnsi="宋体"/>
                <w:b/>
                <w:szCs w:val="21"/>
              </w:rPr>
              <w:t>(</w:t>
            </w:r>
            <w:r>
              <w:rPr>
                <w:rFonts w:hint="eastAsia" w:ascii="宋体" w:hAnsi="宋体"/>
                <w:b/>
                <w:szCs w:val="21"/>
              </w:rPr>
              <w:t>描述组织的管理体系在认证周期内持续对过程控制的情况，持续满足标准要求和目标方面的有效性，向顾客提供稳定、合格产品，满足适用的环境</w:t>
            </w:r>
            <w:r>
              <w:rPr>
                <w:rFonts w:ascii="宋体" w:hAnsi="宋体"/>
                <w:b/>
                <w:szCs w:val="21"/>
              </w:rPr>
              <w:t>/</w:t>
            </w:r>
            <w:r>
              <w:rPr>
                <w:rFonts w:hint="eastAsia" w:ascii="宋体" w:hAnsi="宋体"/>
                <w:b/>
                <w:szCs w:val="21"/>
              </w:rPr>
              <w:t>职业健康安全法规、防止污染、重大事故和持续改进而策划的活动的情况；扩大范围部分体系运行情况</w:t>
            </w:r>
            <w:r>
              <w:rPr>
                <w:rFonts w:ascii="宋体" w:hAnsi="宋体"/>
                <w:b/>
                <w:szCs w:val="21"/>
              </w:rPr>
              <w:t>)</w:t>
            </w:r>
          </w:p>
          <w:p>
            <w:pPr>
              <w:spacing w:line="280" w:lineRule="exact"/>
              <w:ind w:firstLine="241" w:firstLineChars="100"/>
              <w:rPr>
                <w:rFonts w:ascii="宋体" w:hAnsi="宋体"/>
                <w:b/>
                <w:szCs w:val="21"/>
              </w:rPr>
            </w:pPr>
          </w:p>
          <w:p>
            <w:pPr>
              <w:pStyle w:val="16"/>
              <w:keepNext w:val="0"/>
              <w:keepLines w:val="0"/>
              <w:pageBreakBefore w:val="0"/>
              <w:widowControl w:val="0"/>
              <w:kinsoku/>
              <w:wordWrap/>
              <w:overflowPunct/>
              <w:topLinePunct w:val="0"/>
              <w:bidi w:val="0"/>
              <w:snapToGrid/>
              <w:spacing w:line="340" w:lineRule="exact"/>
              <w:ind w:left="1453" w:right="0" w:rightChars="0" w:hanging="1033"/>
              <w:outlineLvl w:val="9"/>
              <w:rPr>
                <w:rFonts w:hint="eastAsia"/>
                <w:color w:val="auto"/>
                <w:kern w:val="2"/>
                <w:sz w:val="21"/>
                <w:szCs w:val="21"/>
                <w:lang w:val="en-GB"/>
              </w:rPr>
            </w:pPr>
            <w:r>
              <w:rPr>
                <w:rFonts w:hint="eastAsia"/>
                <w:b/>
                <w:color w:val="auto"/>
                <w:kern w:val="2"/>
                <w:sz w:val="21"/>
                <w:szCs w:val="21"/>
                <w:lang w:val="en-GB"/>
              </w:rPr>
              <w:t>审核结论：</w:t>
            </w:r>
            <w:r>
              <w:rPr>
                <w:rFonts w:hint="eastAsia"/>
                <w:color w:val="auto"/>
                <w:kern w:val="2"/>
                <w:sz w:val="21"/>
                <w:szCs w:val="21"/>
                <w:lang w:val="en-GB"/>
              </w:rPr>
              <w:t>根据审核发现，审核组一致认为，</w:t>
            </w:r>
            <w:r>
              <w:rPr>
                <w:rFonts w:ascii="宋体" w:hAnsi="宋体"/>
                <w:szCs w:val="21"/>
              </w:rPr>
              <w:t>北京东方远创化工有限责任公司</w:t>
            </w:r>
          </w:p>
          <w:p>
            <w:pPr>
              <w:pStyle w:val="16"/>
              <w:keepNext w:val="0"/>
              <w:keepLines w:val="0"/>
              <w:pageBreakBefore w:val="0"/>
              <w:widowControl w:val="0"/>
              <w:kinsoku/>
              <w:wordWrap/>
              <w:overflowPunct/>
              <w:topLinePunct w:val="0"/>
              <w:bidi w:val="0"/>
              <w:snapToGrid/>
              <w:spacing w:line="340" w:lineRule="exact"/>
              <w:ind w:left="1441" w:right="0" w:rightChars="0"/>
              <w:outlineLvl w:val="9"/>
              <w:rPr>
                <w:rFonts w:hint="eastAsia"/>
                <w:color w:val="auto"/>
                <w:kern w:val="2"/>
                <w:sz w:val="21"/>
                <w:szCs w:val="21"/>
                <w:lang w:val="en-GB"/>
              </w:rPr>
            </w:pPr>
            <w:r>
              <w:rPr>
                <w:rFonts w:hint="eastAsia" w:ascii="宋体" w:hAnsi="宋体" w:eastAsia="宋体" w:cs="宋体"/>
                <w:b/>
                <w:color w:val="auto"/>
                <w:kern w:val="2"/>
                <w:sz w:val="21"/>
                <w:szCs w:val="21"/>
                <w:lang w:val="en-GB"/>
              </w:rPr>
              <w:sym w:font="Wingdings" w:char="00A8"/>
            </w:r>
            <w:r>
              <w:rPr>
                <w:rFonts w:hint="eastAsia"/>
                <w:color w:val="auto"/>
                <w:kern w:val="2"/>
                <w:sz w:val="21"/>
                <w:szCs w:val="21"/>
                <w:lang w:val="en-GB"/>
              </w:rPr>
              <w:t>质量</w:t>
            </w:r>
            <w:r>
              <w:rPr>
                <w:rFonts w:hint="eastAsia" w:ascii="宋体" w:hAnsi="宋体" w:eastAsia="宋体" w:cs="宋体"/>
                <w:b/>
                <w:color w:val="auto"/>
                <w:sz w:val="21"/>
                <w:szCs w:val="21"/>
              </w:rPr>
              <w:t>■</w:t>
            </w:r>
            <w:r>
              <w:rPr>
                <w:rFonts w:hint="eastAsia"/>
                <w:color w:val="auto"/>
                <w:kern w:val="2"/>
                <w:sz w:val="21"/>
                <w:szCs w:val="21"/>
                <w:lang w:val="en-GB"/>
              </w:rPr>
              <w:t>环境</w:t>
            </w:r>
            <w:r>
              <w:rPr>
                <w:rFonts w:hint="eastAsia" w:ascii="宋体" w:hAnsi="宋体" w:eastAsia="宋体" w:cs="宋体"/>
                <w:b/>
                <w:color w:val="auto"/>
                <w:kern w:val="2"/>
                <w:sz w:val="21"/>
                <w:szCs w:val="21"/>
                <w:lang w:val="en-GB"/>
              </w:rPr>
              <w:t>▉</w:t>
            </w:r>
            <w:r>
              <w:rPr>
                <w:rFonts w:hint="eastAsia"/>
                <w:color w:val="auto"/>
                <w:kern w:val="2"/>
                <w:sz w:val="21"/>
                <w:szCs w:val="21"/>
                <w:lang w:val="en-GB"/>
              </w:rPr>
              <w:t>职业健康安全</w:t>
            </w:r>
            <w:r>
              <w:rPr>
                <w:rFonts w:hint="eastAsia" w:cs="宋体"/>
                <w:b/>
                <w:color w:val="auto"/>
                <w:sz w:val="21"/>
                <w:szCs w:val="21"/>
              </w:rPr>
              <w:t>□</w:t>
            </w:r>
            <w:r>
              <w:rPr>
                <w:rFonts w:hint="eastAsia"/>
                <w:color w:val="auto"/>
                <w:kern w:val="2"/>
                <w:sz w:val="21"/>
                <w:szCs w:val="21"/>
                <w:lang w:val="en-GB"/>
              </w:rPr>
              <w:t>食品安全 管理体系</w:t>
            </w:r>
            <w:r>
              <w:rPr>
                <w:rFonts w:hint="eastAsia" w:cs="宋体"/>
                <w:b/>
                <w:color w:val="auto"/>
                <w:sz w:val="21"/>
                <w:szCs w:val="21"/>
              </w:rPr>
              <w:t>□</w:t>
            </w:r>
            <w:r>
              <w:rPr>
                <w:rFonts w:hint="eastAsia" w:cs="宋体"/>
                <w:color w:val="auto"/>
                <w:sz w:val="21"/>
                <w:szCs w:val="21"/>
              </w:rPr>
              <w:t>危害分析与关键控制点</w:t>
            </w:r>
            <w:r>
              <w:rPr>
                <w:rFonts w:hint="eastAsia"/>
                <w:color w:val="auto"/>
                <w:kern w:val="2"/>
                <w:sz w:val="21"/>
                <w:szCs w:val="21"/>
                <w:lang w:val="en-GB"/>
              </w:rPr>
              <w:t>体系：</w:t>
            </w:r>
          </w:p>
          <w:tbl>
            <w:tblPr>
              <w:tblStyle w:val="5"/>
              <w:tblW w:w="4904" w:type="dxa"/>
              <w:tblInd w:w="1441" w:type="dxa"/>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Layout w:type="fixed"/>
              <w:tblCellMar>
                <w:top w:w="0" w:type="dxa"/>
                <w:left w:w="108" w:type="dxa"/>
                <w:bottom w:w="0" w:type="dxa"/>
                <w:right w:w="108" w:type="dxa"/>
              </w:tblCellMar>
            </w:tblPr>
            <w:tblGrid>
              <w:gridCol w:w="2803"/>
              <w:gridCol w:w="967"/>
              <w:gridCol w:w="1134"/>
            </w:tblGrid>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审核准则的要求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olor w:val="auto"/>
                      <w:kern w:val="2"/>
                      <w:sz w:val="21"/>
                      <w:szCs w:val="21"/>
                      <w:lang w:val="en-GB"/>
                    </w:rPr>
                    <w:t>符合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olor w:val="auto"/>
                      <w:kern w:val="2"/>
                      <w:sz w:val="21"/>
                      <w:szCs w:val="21"/>
                      <w:lang w:val="en-GB"/>
                    </w:rPr>
                    <w:t>不符合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适用要求</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实现预期结果的能力</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满足</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不满足</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内部审核和管理评审过程</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color w:val="auto"/>
                      <w:sz w:val="21"/>
                      <w:szCs w:val="21"/>
                    </w:rPr>
                    <w:t>审核目的</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达到</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未达到</w:t>
                  </w:r>
                </w:p>
              </w:tc>
            </w:tr>
            <w:tr>
              <w:tblPrEx>
                <w:tblBorders>
                  <w:top w:val="dotted" w:color="EEECE1" w:sz="2" w:space="0"/>
                  <w:left w:val="dotted" w:color="EEECE1" w:sz="2" w:space="0"/>
                  <w:bottom w:val="dotted" w:color="EEECE1" w:sz="2" w:space="0"/>
                  <w:right w:val="dotted" w:color="EEECE1" w:sz="2" w:space="0"/>
                  <w:insideH w:val="dotted" w:color="EEECE1" w:sz="2" w:space="0"/>
                  <w:insideV w:val="dotted" w:color="EEECE1" w:sz="2" w:space="0"/>
                </w:tblBorders>
                <w:tblCellMar>
                  <w:top w:w="0" w:type="dxa"/>
                  <w:left w:w="108" w:type="dxa"/>
                  <w:bottom w:w="0" w:type="dxa"/>
                  <w:right w:w="108" w:type="dxa"/>
                </w:tblCellMar>
              </w:tblPrEx>
              <w:tc>
                <w:tcPr>
                  <w:tcW w:w="2803"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olor w:val="auto"/>
                      <w:kern w:val="2"/>
                      <w:sz w:val="21"/>
                      <w:szCs w:val="21"/>
                      <w:lang w:val="en-GB"/>
                    </w:rPr>
                    <w:t>体系运行</w:t>
                  </w:r>
                </w:p>
              </w:tc>
              <w:tc>
                <w:tcPr>
                  <w:tcW w:w="967"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ascii="宋体" w:hAnsi="宋体" w:eastAsia="宋体" w:cs="宋体"/>
                      <w:b/>
                      <w:color w:val="auto"/>
                      <w:sz w:val="21"/>
                      <w:szCs w:val="21"/>
                    </w:rPr>
                    <w:t>■</w:t>
                  </w:r>
                  <w:r>
                    <w:rPr>
                      <w:rFonts w:hint="eastAsia" w:cs="宋体"/>
                      <w:color w:val="auto"/>
                      <w:sz w:val="21"/>
                      <w:szCs w:val="21"/>
                    </w:rPr>
                    <w:t>有效</w:t>
                  </w:r>
                </w:p>
              </w:tc>
              <w:tc>
                <w:tcPr>
                  <w:tcW w:w="1134" w:type="dxa"/>
                  <w:noWrap w:val="0"/>
                  <w:vAlign w:val="top"/>
                </w:tcPr>
                <w:p>
                  <w:pPr>
                    <w:pStyle w:val="16"/>
                    <w:keepNext w:val="0"/>
                    <w:keepLines w:val="0"/>
                    <w:pageBreakBefore w:val="0"/>
                    <w:widowControl w:val="0"/>
                    <w:kinsoku/>
                    <w:wordWrap/>
                    <w:overflowPunct/>
                    <w:topLinePunct w:val="0"/>
                    <w:bidi w:val="0"/>
                    <w:snapToGrid/>
                    <w:spacing w:line="340" w:lineRule="exact"/>
                    <w:ind w:right="0" w:rightChars="0"/>
                    <w:jc w:val="both"/>
                    <w:outlineLvl w:val="9"/>
                    <w:rPr>
                      <w:rFonts w:hint="eastAsia"/>
                      <w:color w:val="auto"/>
                      <w:kern w:val="2"/>
                      <w:sz w:val="21"/>
                      <w:szCs w:val="21"/>
                      <w:lang w:val="en-GB"/>
                    </w:rPr>
                  </w:pPr>
                  <w:r>
                    <w:rPr>
                      <w:rFonts w:hint="eastAsia" w:cs="宋体"/>
                      <w:b/>
                      <w:color w:val="auto"/>
                      <w:sz w:val="21"/>
                      <w:szCs w:val="21"/>
                    </w:rPr>
                    <w:t>□</w:t>
                  </w:r>
                  <w:r>
                    <w:rPr>
                      <w:rFonts w:hint="eastAsia" w:cs="宋体"/>
                      <w:color w:val="auto"/>
                      <w:sz w:val="21"/>
                      <w:szCs w:val="21"/>
                    </w:rPr>
                    <w:t>无效</w:t>
                  </w:r>
                </w:p>
              </w:tc>
            </w:tr>
          </w:tbl>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hint="eastAsia" w:ascii="宋体" w:hAnsi="宋体"/>
                <w:b/>
                <w:szCs w:val="21"/>
                <w:lang w:eastAsia="zh-CN"/>
              </w:rPr>
              <w:t>☑</w:t>
            </w:r>
            <w:r>
              <w:rPr>
                <w:rFonts w:ascii="宋体" w:hAnsi="宋体"/>
                <w:b/>
                <w:szCs w:val="21"/>
              </w:rPr>
              <w:t xml:space="preserve">EMS  </w:t>
            </w:r>
            <w:r>
              <w:rPr>
                <w:rFonts w:hint="eastAsia" w:ascii="宋体" w:hAnsi="宋体"/>
                <w:b/>
                <w:szCs w:val="21"/>
                <w:lang w:eastAsia="zh-CN"/>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61" w:firstLineChars="150"/>
              <w:rPr>
                <w:rFonts w:ascii="宋体" w:hAnsi="宋体"/>
                <w:b/>
                <w:szCs w:val="21"/>
              </w:rPr>
            </w:pPr>
          </w:p>
          <w:p>
            <w:pPr>
              <w:spacing w:line="240" w:lineRule="exact"/>
              <w:ind w:firstLine="480" w:firstLineChars="200"/>
            </w:pPr>
            <w:r>
              <w:rPr>
                <w:rFonts w:hint="eastAsia"/>
              </w:rPr>
              <w:t>组织建立并实施的管理体系基本符合标准要求，可能存在的重要风险可以得到有效控制，没有出现过环境和安全事故以及顾客投诉事件发生，体系运行基本有效，组织初步建立了自我完善和自我改进机制，同意推荐</w:t>
            </w:r>
            <w:r>
              <w:rPr>
                <w:rFonts w:hint="eastAsia"/>
                <w:lang w:val="en-US" w:eastAsia="zh-CN"/>
              </w:rPr>
              <w:t>保持</w:t>
            </w:r>
            <w:r>
              <w:rPr>
                <w:rFonts w:hint="eastAsia"/>
              </w:rPr>
              <w:t>认证注册。</w:t>
            </w:r>
          </w:p>
          <w:p>
            <w:pPr>
              <w:spacing w:line="280" w:lineRule="exact"/>
              <w:ind w:firstLine="361" w:firstLineChars="150"/>
              <w:rPr>
                <w:rFonts w:ascii="宋体" w:hAnsi="宋体"/>
                <w:b/>
                <w:szCs w:val="21"/>
              </w:rPr>
            </w:pPr>
          </w:p>
          <w:p>
            <w:pPr>
              <w:spacing w:line="280" w:lineRule="exact"/>
              <w:ind w:firstLine="392" w:firstLineChars="150"/>
              <w:rPr>
                <w:b/>
                <w:sz w:val="26"/>
                <w:szCs w:val="26"/>
              </w:rPr>
            </w:pPr>
          </w:p>
        </w:tc>
      </w:tr>
    </w:tbl>
    <w:p>
      <w:pPr>
        <w:snapToGrid w:val="0"/>
        <w:spacing w:line="240" w:lineRule="exact"/>
        <w:rPr>
          <w:b/>
          <w:sz w:val="21"/>
          <w:szCs w:val="21"/>
        </w:rPr>
      </w:pPr>
    </w:p>
    <w:p>
      <w:pPr>
        <w:tabs>
          <w:tab w:val="left" w:pos="645"/>
        </w:tabs>
        <w:spacing w:after="163"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163" w:beforeLines="50" w:after="163" w:afterLines="50"/>
        <w:ind w:left="-122" w:leftChars="-51" w:firstLine="120" w:firstLineChars="46"/>
        <w:rPr>
          <w:b/>
          <w:color w:val="FF0000"/>
          <w:sz w:val="26"/>
          <w:szCs w:val="26"/>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w:t>
      </w:r>
    </w:p>
    <w:p>
      <w:pPr>
        <w:snapToGrid w:val="0"/>
        <w:spacing w:line="360" w:lineRule="exact"/>
        <w:rPr>
          <w:b/>
          <w:bCs/>
          <w:sz w:val="21"/>
          <w:szCs w:val="28"/>
        </w:rPr>
      </w:pPr>
    </w:p>
    <w:p>
      <w:pPr>
        <w:tabs>
          <w:tab w:val="left" w:pos="645"/>
        </w:tabs>
        <w:spacing w:after="163" w:afterLines="50" w:line="360" w:lineRule="exact"/>
        <w:rPr>
          <w:b/>
          <w:sz w:val="16"/>
          <w:szCs w:val="16"/>
        </w:rPr>
      </w:pP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before="163" w:beforeLines="50" w:line="320" w:lineRule="exact"/>
        <w:ind w:firstLine="527" w:firstLineChars="250"/>
        <w:rPr>
          <w:b/>
          <w:sz w:val="21"/>
        </w:rPr>
      </w:pPr>
      <w:r>
        <w:rPr>
          <w:rFonts w:hint="eastAsia"/>
          <w:b/>
          <w:sz w:val="21"/>
        </w:rPr>
        <w:t>审核组组员（签名）：</w:t>
      </w:r>
    </w:p>
    <w:p>
      <w:pPr>
        <w:snapToGrid w:val="0"/>
        <w:spacing w:line="280" w:lineRule="exact"/>
        <w:ind w:firstLine="6325" w:firstLineChars="3000"/>
        <w:rPr>
          <w:b/>
          <w:sz w:val="21"/>
        </w:rPr>
      </w:pPr>
      <w:r>
        <w:rPr>
          <w:rFonts w:hint="eastAsia"/>
          <w:b/>
          <w:sz w:val="21"/>
        </w:rPr>
        <w:t>日期：</w:t>
      </w:r>
    </w:p>
    <w:p>
      <w:pPr>
        <w:snapToGrid w:val="0"/>
        <w:spacing w:line="200" w:lineRule="exact"/>
        <w:ind w:firstLine="482" w:firstLineChars="300"/>
        <w:rPr>
          <w:b/>
          <w:sz w:val="16"/>
          <w:szCs w:val="16"/>
        </w:rPr>
      </w:pPr>
    </w:p>
    <w:p>
      <w:pPr>
        <w:tabs>
          <w:tab w:val="left" w:pos="645"/>
        </w:tabs>
        <w:spacing w:after="163"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bCs/>
          <w:sz w:val="21"/>
          <w:szCs w:val="21"/>
        </w:rPr>
      </w:pPr>
      <w:r>
        <w:rPr>
          <w:b/>
          <w:bCs/>
          <w:sz w:val="21"/>
          <w:szCs w:val="21"/>
        </w:rPr>
        <w:t>1.</w:t>
      </w:r>
      <w:r>
        <w:rPr>
          <w:rFonts w:hint="eastAsia"/>
          <w:b/>
          <w:bCs/>
          <w:sz w:val="21"/>
          <w:szCs w:val="21"/>
        </w:rPr>
        <w:t>审核中发现的</w:t>
      </w:r>
      <w:r>
        <w:rPr>
          <w:rFonts w:hint="eastAsia"/>
          <w:b/>
          <w:sz w:val="21"/>
          <w:szCs w:val="21"/>
        </w:rPr>
        <w:t>□</w:t>
      </w:r>
      <w:r>
        <w:rPr>
          <w:b/>
          <w:sz w:val="21"/>
          <w:szCs w:val="21"/>
        </w:rPr>
        <w:t>QMS ()</w:t>
      </w:r>
      <w:r>
        <w:rPr>
          <w:rFonts w:hint="eastAsia"/>
          <w:b/>
          <w:sz w:val="21"/>
          <w:szCs w:val="21"/>
        </w:rPr>
        <w:t>个一般不符合，</w:t>
      </w:r>
      <w:r>
        <w:rPr>
          <w:b/>
          <w:sz w:val="21"/>
          <w:szCs w:val="21"/>
        </w:rPr>
        <w:t>()</w:t>
      </w:r>
      <w:r>
        <w:rPr>
          <w:rFonts w:hint="eastAsia"/>
          <w:b/>
          <w:sz w:val="21"/>
          <w:szCs w:val="21"/>
        </w:rPr>
        <w:t>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163" w:beforeLines="50" w:line="400" w:lineRule="exact"/>
        <w:rPr>
          <w:b/>
          <w:sz w:val="21"/>
          <w:szCs w:val="21"/>
          <w:u w:val="single"/>
        </w:rPr>
      </w:pPr>
      <w:r>
        <w:rPr>
          <w:rFonts w:hint="eastAsia"/>
          <w:b/>
          <w:sz w:val="21"/>
          <w:szCs w:val="21"/>
        </w:rPr>
        <w:t>存在问题说明及意见：</w:t>
      </w:r>
    </w:p>
    <w:p>
      <w:pPr>
        <w:spacing w:line="400" w:lineRule="exact"/>
        <w:rPr>
          <w:b/>
          <w:sz w:val="21"/>
          <w:szCs w:val="21"/>
          <w:u w:val="single"/>
        </w:rPr>
      </w:pPr>
    </w:p>
    <w:p>
      <w:pPr>
        <w:spacing w:before="163" w:beforeLines="50"/>
        <w:ind w:firstLine="632" w:firstLineChars="300"/>
        <w:rPr>
          <w:b/>
          <w:sz w:val="21"/>
          <w:szCs w:val="21"/>
        </w:rPr>
      </w:pPr>
      <w:r>
        <w:rPr>
          <w:b/>
          <w:sz w:val="21"/>
          <w:szCs w:val="21"/>
        </w:rPr>
        <w:t>2.</w:t>
      </w:r>
      <w:r>
        <w:rPr>
          <w:rFonts w:hint="eastAsia"/>
          <w:b/>
          <w:sz w:val="21"/>
          <w:szCs w:val="21"/>
        </w:rPr>
        <w:t>验证结论：</w:t>
      </w:r>
    </w:p>
    <w:p>
      <w:pPr>
        <w:tabs>
          <w:tab w:val="left" w:pos="6880"/>
          <w:tab w:val="left" w:pos="7740"/>
          <w:tab w:val="left" w:pos="8385"/>
        </w:tabs>
        <w:snapToGrid w:val="0"/>
        <w:spacing w:before="163" w:beforeLines="50"/>
        <w:ind w:firstLine="1717" w:firstLineChars="900"/>
        <w:rPr>
          <w:b/>
          <w:sz w:val="21"/>
          <w:szCs w:val="21"/>
        </w:rPr>
      </w:pP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163" w:beforeLines="50"/>
        <w:ind w:firstLine="723" w:firstLineChars="343"/>
        <w:rPr>
          <w:b/>
          <w:sz w:val="21"/>
          <w:szCs w:val="21"/>
          <w:u w:val="single"/>
        </w:rPr>
      </w:pPr>
      <w:r>
        <w:rPr>
          <w:rFonts w:hint="eastAsia"/>
          <w:b/>
          <w:sz w:val="21"/>
          <w:szCs w:val="21"/>
        </w:rPr>
        <w:t>组长签字：</w:t>
      </w: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4"/>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认证评定负责人：日期：年月日</w:t>
      </w:r>
    </w:p>
    <w:p>
      <w:pPr>
        <w:numPr>
          <w:ilvl w:val="0"/>
          <w:numId w:val="4"/>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批准人（总经理）：日期：年月日</w:t>
      </w:r>
    </w:p>
    <w:p>
      <w:pPr>
        <w:snapToGrid w:val="0"/>
        <w:spacing w:before="163" w:beforeLines="50" w:after="163"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163" w:beforeLines="50" w:after="163"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163" w:beforeLines="50" w:after="163"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Bdr>
        <w:bottom w:val="none" w:color="auto" w:sz="0" w:space="0"/>
      </w:pBdr>
      <w:tabs>
        <w:tab w:val="left" w:pos="8910"/>
        <w:tab w:val="left" w:pos="9142"/>
        <w:tab w:val="clear" w:pos="4153"/>
      </w:tabs>
      <w:spacing w:line="320" w:lineRule="exact"/>
      <w:ind w:left="-98" w:leftChars="-41" w:firstLine="810" w:firstLineChars="450"/>
      <w:jc w:val="left"/>
      <w:rPr>
        <w:rStyle w:val="13"/>
        <w:rFonts w:hint="default"/>
      </w:rPr>
    </w:pPr>
    <w:r>
      <w:pict>
        <v:shape id="_x0000_s2049" o:spid="_x0000_s2049" o:spt="75" type="#_x0000_t75" style="position:absolute;left:0pt;margin-left:-0.05pt;margin-top:0.35pt;height:34.1pt;width:32.3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3"/>
        <w:rFonts w:hint="default"/>
      </w:rPr>
      <w:t>北京国标联合认证有限公司</w:t>
    </w:r>
    <w:r>
      <w:rPr>
        <w:rStyle w:val="13"/>
        <w:rFonts w:hint="default"/>
      </w:rPr>
      <w:tab/>
    </w:r>
    <w:r>
      <w:rPr>
        <w:rStyle w:val="13"/>
        <w:rFonts w:hint="default"/>
      </w:rPr>
      <w:tab/>
    </w:r>
    <w:r>
      <w:rPr>
        <w:rStyle w:val="13"/>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3"/>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0A4B59E"/>
    <w:multiLevelType w:val="singleLevel"/>
    <w:tmpl w:val="E0A4B59E"/>
    <w:lvl w:ilvl="0" w:tentative="0">
      <w:start w:val="3"/>
      <w:numFmt w:val="decimal"/>
      <w:lvlText w:val="%1."/>
      <w:lvlJc w:val="left"/>
      <w:pPr>
        <w:tabs>
          <w:tab w:val="left" w:pos="312"/>
        </w:tabs>
      </w:pPr>
    </w:lvl>
  </w:abstractNum>
  <w:abstractNum w:abstractNumId="1">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2">
    <w:nsid w:val="406EA223"/>
    <w:multiLevelType w:val="singleLevel"/>
    <w:tmpl w:val="406EA223"/>
    <w:lvl w:ilvl="0" w:tentative="0">
      <w:start w:val="2"/>
      <w:numFmt w:val="decimal"/>
      <w:suff w:val="nothing"/>
      <w:lvlText w:val="%1、"/>
      <w:lvlJc w:val="left"/>
    </w:lvl>
  </w:abstractNum>
  <w:abstractNum w:abstractNumId="3">
    <w:nsid w:val="4F3329BA"/>
    <w:multiLevelType w:val="multilevel"/>
    <w:tmpl w:val="4F3329BA"/>
    <w:lvl w:ilvl="0" w:tentative="0">
      <w:start w:val="1"/>
      <w:numFmt w:val="decimal"/>
      <w:lvlText w:val="（%1）"/>
      <w:lvlJc w:val="left"/>
      <w:pPr>
        <w:ind w:left="420" w:hanging="420"/>
      </w:pPr>
      <w:rPr>
        <w:rFonts w:hint="eastAsia"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00000"/>
    <w:rsid w:val="254433F3"/>
    <w:rsid w:val="607F1F6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header"/>
    <w:basedOn w:val="1"/>
    <w:link w:val="10"/>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paragraph" w:styleId="3">
    <w:name w:val="Balloon Text"/>
    <w:basedOn w:val="1"/>
    <w:link w:val="8"/>
    <w:semiHidden/>
    <w:qFormat/>
    <w:uiPriority w:val="99"/>
    <w:rPr>
      <w:sz w:val="18"/>
      <w:szCs w:val="18"/>
    </w:rPr>
  </w:style>
  <w:style w:type="paragraph" w:styleId="4">
    <w:name w:val="footer"/>
    <w:basedOn w:val="1"/>
    <w:link w:val="9"/>
    <w:semiHidden/>
    <w:qFormat/>
    <w:uiPriority w:val="99"/>
    <w:pPr>
      <w:tabs>
        <w:tab w:val="center" w:pos="4153"/>
        <w:tab w:val="right" w:pos="8306"/>
      </w:tabs>
      <w:snapToGrid w:val="0"/>
      <w:jc w:val="left"/>
    </w:pPr>
    <w:rPr>
      <w:sz w:val="18"/>
      <w:szCs w:val="18"/>
    </w:rPr>
  </w:style>
  <w:style w:type="table" w:styleId="6">
    <w:name w:val="Table Grid"/>
    <w:basedOn w:val="5"/>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
    <w:name w:val="批注框文本 Char"/>
    <w:link w:val="3"/>
    <w:semiHidden/>
    <w:qFormat/>
    <w:locked/>
    <w:uiPriority w:val="99"/>
    <w:rPr>
      <w:rFonts w:ascii="Times New Roman" w:hAnsi="Times New Roman" w:eastAsia="宋体" w:cs="Times New Roman"/>
      <w:sz w:val="18"/>
      <w:szCs w:val="18"/>
    </w:rPr>
  </w:style>
  <w:style w:type="character" w:customStyle="1" w:styleId="9">
    <w:name w:val="页脚 Char"/>
    <w:link w:val="4"/>
    <w:semiHidden/>
    <w:qFormat/>
    <w:locked/>
    <w:uiPriority w:val="99"/>
    <w:rPr>
      <w:rFonts w:ascii="Times New Roman" w:hAnsi="Times New Roman" w:eastAsia="宋体" w:cs="Times New Roman"/>
      <w:sz w:val="18"/>
      <w:szCs w:val="18"/>
    </w:rPr>
  </w:style>
  <w:style w:type="character" w:customStyle="1" w:styleId="10">
    <w:name w:val="页眉 Char"/>
    <w:link w:val="2"/>
    <w:qFormat/>
    <w:locked/>
    <w:uiPriority w:val="0"/>
    <w:rPr>
      <w:sz w:val="18"/>
    </w:rPr>
  </w:style>
  <w:style w:type="character" w:customStyle="1" w:styleId="11">
    <w:name w:val="页眉 Char1"/>
    <w:semiHidden/>
    <w:uiPriority w:val="99"/>
    <w:rPr>
      <w:rFonts w:ascii="Times New Roman" w:hAnsi="Times New Roman" w:eastAsia="宋体" w:cs="Times New Roman"/>
      <w:sz w:val="18"/>
      <w:szCs w:val="18"/>
    </w:rPr>
  </w:style>
  <w:style w:type="paragraph" w:styleId="12">
    <w:name w:val="List Paragraph"/>
    <w:basedOn w:val="1"/>
    <w:qFormat/>
    <w:uiPriority w:val="99"/>
    <w:pPr>
      <w:ind w:firstLine="420" w:firstLineChars="200"/>
    </w:pPr>
    <w:rPr>
      <w:sz w:val="21"/>
      <w:szCs w:val="24"/>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表格文字"/>
    <w:basedOn w:val="1"/>
    <w:qFormat/>
    <w:uiPriority w:val="0"/>
    <w:pPr>
      <w:spacing w:before="25" w:after="25"/>
    </w:pPr>
    <w:rPr>
      <w:bCs/>
      <w:spacing w:val="10"/>
    </w:rPr>
  </w:style>
  <w:style w:type="paragraph" w:customStyle="1" w:styleId="15">
    <w:name w:val="列出段落1"/>
    <w:basedOn w:val="1"/>
    <w:qFormat/>
    <w:uiPriority w:val="34"/>
    <w:pPr>
      <w:ind w:firstLine="420" w:firstLineChars="200"/>
    </w:pPr>
  </w:style>
  <w:style w:type="paragraph" w:customStyle="1" w:styleId="16">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11</Pages>
  <Words>655</Words>
  <Characters>3739</Characters>
  <Lines>31</Lines>
  <Paragraphs>8</Paragraphs>
  <TotalTime>1</TotalTime>
  <ScaleCrop>false</ScaleCrop>
  <LinksUpToDate>false</LinksUpToDate>
  <CharactersWithSpaces>4386</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叶子</cp:lastModifiedBy>
  <cp:lastPrinted>2019-04-18T08:15:00Z</cp:lastPrinted>
  <dcterms:modified xsi:type="dcterms:W3CDTF">2020-12-10T02:44:15Z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