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425"/>
        <w:gridCol w:w="11063"/>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42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63" w:type="dxa"/>
            <w:vAlign w:val="center"/>
          </w:tcPr>
          <w:p>
            <w:pPr>
              <w:rPr>
                <w:rFonts w:hint="eastAsia"/>
              </w:rPr>
            </w:pPr>
            <w:r>
              <w:rPr>
                <w:rFonts w:hint="eastAsia"/>
              </w:rPr>
              <w:t>受审核部门：销售部  综合部  生产部  技术部  质检部</w:t>
            </w:r>
          </w:p>
          <w:p>
            <w:pPr>
              <w:rPr>
                <w:sz w:val="24"/>
                <w:szCs w:val="24"/>
              </w:rPr>
            </w:pPr>
            <w:r>
              <w:rPr>
                <w:rFonts w:hint="eastAsia"/>
                <w:sz w:val="24"/>
                <w:szCs w:val="24"/>
              </w:rPr>
              <w:t>总经理：</w:t>
            </w:r>
            <w:r>
              <w:rPr>
                <w:rFonts w:hint="eastAsia"/>
              </w:rPr>
              <w:t xml:space="preserve">李萌迪  </w:t>
            </w:r>
            <w:r>
              <w:rPr>
                <w:rFonts w:hint="eastAsia"/>
                <w:szCs w:val="22"/>
              </w:rPr>
              <w:t xml:space="preserve"> 管代：</w:t>
            </w:r>
            <w:r>
              <w:rPr>
                <w:rFonts w:hint="eastAsia"/>
              </w:rPr>
              <w:t xml:space="preserve">韩伟 </w:t>
            </w:r>
            <w:r>
              <w:rPr>
                <w:rFonts w:hint="eastAsia" w:ascii="宋体" w:hAnsi="宋体"/>
                <w:szCs w:val="21"/>
              </w:rPr>
              <w:t xml:space="preserve"> 员工代表：</w:t>
            </w:r>
            <w:r>
              <w:rPr>
                <w:rFonts w:hint="eastAsia"/>
              </w:rPr>
              <w:t>曾丽欢</w:t>
            </w:r>
          </w:p>
        </w:tc>
        <w:tc>
          <w:tcPr>
            <w:tcW w:w="106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425" w:type="dxa"/>
            <w:vMerge w:val="continue"/>
            <w:vAlign w:val="center"/>
          </w:tcPr>
          <w:p/>
        </w:tc>
        <w:tc>
          <w:tcPr>
            <w:tcW w:w="11063" w:type="dxa"/>
            <w:vAlign w:val="center"/>
          </w:tcPr>
          <w:p>
            <w:pPr>
              <w:spacing w:before="120"/>
              <w:rPr>
                <w:rFonts w:hint="default" w:eastAsia="宋体"/>
                <w:lang w:val="en-US" w:eastAsia="zh-CN"/>
              </w:rPr>
            </w:pPr>
            <w:r>
              <w:rPr>
                <w:rFonts w:hint="eastAsia"/>
                <w:sz w:val="24"/>
                <w:szCs w:val="24"/>
              </w:rPr>
              <w:t xml:space="preserve">审核员：李京田 </w:t>
            </w:r>
            <w:r>
              <w:rPr>
                <w:sz w:val="24"/>
                <w:szCs w:val="24"/>
              </w:rPr>
              <w:t xml:space="preserve">  </w:t>
            </w:r>
            <w:r>
              <w:rPr>
                <w:rFonts w:hint="eastAsia"/>
                <w:sz w:val="24"/>
                <w:szCs w:val="24"/>
                <w:lang w:val="en-US" w:eastAsia="zh-CN"/>
              </w:rPr>
              <w:t>李雅静</w:t>
            </w:r>
            <w:r>
              <w:rPr>
                <w:rFonts w:hint="eastAsia"/>
                <w:sz w:val="24"/>
                <w:szCs w:val="24"/>
              </w:rPr>
              <w:t xml:space="preserve">   审核时间： 20</w:t>
            </w:r>
            <w:r>
              <w:rPr>
                <w:sz w:val="24"/>
                <w:szCs w:val="24"/>
              </w:rPr>
              <w:t>20.</w:t>
            </w:r>
            <w:r>
              <w:rPr>
                <w:rFonts w:hint="eastAsia"/>
                <w:sz w:val="24"/>
                <w:szCs w:val="24"/>
                <w:lang w:val="en-US" w:eastAsia="zh-CN"/>
              </w:rPr>
              <w:t>12.18</w:t>
            </w:r>
          </w:p>
        </w:tc>
        <w:tc>
          <w:tcPr>
            <w:tcW w:w="10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425" w:type="dxa"/>
            <w:vMerge w:val="continue"/>
            <w:vAlign w:val="center"/>
          </w:tcPr>
          <w:p/>
        </w:tc>
        <w:tc>
          <w:tcPr>
            <w:tcW w:w="11063" w:type="dxa"/>
            <w:vAlign w:val="center"/>
          </w:tcPr>
          <w:p>
            <w:pPr>
              <w:rPr>
                <w:sz w:val="24"/>
                <w:szCs w:val="24"/>
              </w:rPr>
            </w:pPr>
            <w:r>
              <w:rPr>
                <w:rFonts w:hint="eastAsia"/>
                <w:sz w:val="24"/>
                <w:szCs w:val="24"/>
              </w:rPr>
              <w:t>审核条款：</w:t>
            </w:r>
          </w:p>
        </w:tc>
        <w:tc>
          <w:tcPr>
            <w:tcW w:w="10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numPr>
                <w:ilvl w:val="0"/>
                <w:numId w:val="1"/>
              </w:numPr>
              <w:shd w:val="clear" w:color="auto" w:fill="FFFFFF"/>
              <w:spacing w:line="400" w:lineRule="exact"/>
              <w:rPr>
                <w:rFonts w:ascii="宋体" w:hAnsi="宋体" w:cs="宋体"/>
                <w:bCs/>
                <w:szCs w:val="21"/>
              </w:rPr>
            </w:pPr>
            <w:r>
              <w:rPr>
                <w:rFonts w:hint="eastAsia" w:ascii="宋体" w:hAnsi="宋体" w:cs="宋体"/>
                <w:bCs/>
                <w:szCs w:val="21"/>
              </w:rPr>
              <w:t>营业执照、资质、组织机构代码等原件的确认；</w:t>
            </w:r>
          </w:p>
          <w:p>
            <w:pPr>
              <w:pStyle w:val="8"/>
              <w:rPr>
                <w:rFonts w:ascii="宋体" w:hAnsi="宋体" w:cs="宋体"/>
                <w:szCs w:val="21"/>
              </w:rPr>
            </w:pPr>
          </w:p>
          <w:p>
            <w:pPr>
              <w:pStyle w:val="8"/>
              <w:rPr>
                <w:rFonts w:ascii="宋体" w:hAnsi="宋体" w:cs="宋体"/>
                <w:szCs w:val="21"/>
              </w:rPr>
            </w:pPr>
          </w:p>
          <w:p>
            <w:pPr>
              <w:pStyle w:val="8"/>
              <w:rPr>
                <w:rFonts w:ascii="宋体" w:hAnsi="宋体" w:cs="宋体"/>
                <w:szCs w:val="21"/>
              </w:rPr>
            </w:pPr>
          </w:p>
          <w:p>
            <w:pPr>
              <w:shd w:val="clear" w:color="auto" w:fill="FFFFFF"/>
              <w:spacing w:line="400" w:lineRule="exact"/>
              <w:rPr>
                <w:rFonts w:ascii="宋体" w:hAnsi="宋体" w:cs="宋体"/>
                <w:bCs/>
                <w:szCs w:val="21"/>
              </w:rPr>
            </w:pPr>
            <w:r>
              <w:rPr>
                <w:rFonts w:hint="eastAsia" w:ascii="宋体" w:hAnsi="宋体" w:cs="宋体"/>
                <w:bCs/>
                <w:szCs w:val="21"/>
              </w:rPr>
              <w:t>审核范围的确认；</w:t>
            </w:r>
          </w:p>
          <w:p>
            <w:pPr>
              <w:pStyle w:val="8"/>
              <w:rPr>
                <w:rFonts w:ascii="宋体" w:hAnsi="宋体" w:cs="宋体"/>
                <w:szCs w:val="21"/>
              </w:rPr>
            </w:pPr>
          </w:p>
          <w:p/>
        </w:tc>
        <w:tc>
          <w:tcPr>
            <w:tcW w:w="425" w:type="dxa"/>
          </w:tcPr>
          <w:p/>
        </w:tc>
        <w:tc>
          <w:tcPr>
            <w:tcW w:w="11063" w:type="dxa"/>
          </w:tcPr>
          <w:p>
            <w:pPr>
              <w:rPr>
                <w:rFonts w:hint="default"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rPr>
              <w:t>北京德宝豪特能源科技有限公司,2001年04月28日成立，</w:t>
            </w:r>
            <w:r>
              <w:rPr>
                <w:rFonts w:hint="eastAsia" w:ascii="Times New Roman" w:hAnsi="Times New Roman" w:eastAsia="宋体" w:cs="Times New Roman"/>
                <w:color w:val="000000" w:themeColor="text1"/>
                <w:szCs w:val="21"/>
                <w:lang w:val="en-US" w:eastAsia="zh-CN"/>
              </w:rPr>
              <w:t>经营期限：2001-04-28 至 2031-04-27</w:t>
            </w:r>
          </w:p>
          <w:p>
            <w:pPr>
              <w:rPr>
                <w:rFonts w:hint="default"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lang w:val="en-US" w:eastAsia="zh-CN"/>
              </w:rPr>
              <w:t>注册地址：</w:t>
            </w:r>
            <w:bookmarkStart w:id="0" w:name="注册地址"/>
            <w:r>
              <w:t>北京市海淀区上地十街1号院4号楼10层1012</w:t>
            </w:r>
            <w:bookmarkEnd w:id="0"/>
          </w:p>
          <w:p>
            <w:pPr>
              <w:rPr>
                <w:rFonts w:hint="default"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lang w:val="en-US" w:eastAsia="zh-CN"/>
              </w:rPr>
              <w:t>生产经营地址：</w:t>
            </w:r>
            <w:bookmarkStart w:id="1" w:name="生产地址"/>
            <w:r>
              <w:t>北京市昌平区沙河镇昌平路97号5幢C门402（昌平示范园）</w:t>
            </w:r>
            <w:bookmarkEnd w:id="1"/>
          </w:p>
          <w:p>
            <w:pPr>
              <w:rPr>
                <w:rFonts w:hint="eastAsia"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经营范围包括热能表的开发、生产；（限分支机构经营）；专业承包；工程勘察设计；技术开发、技术推广、技术服务；销售机械设备、通讯设备。（企业依法自主选择经营项目，开展经营活动；依法须经批准的项目，经相关部门批准后依批准的内容开展经营活动；不得从事本市产业政策禁止和限制类项目的经营活动。）</w:t>
            </w:r>
          </w:p>
          <w:p>
            <w:r>
              <w:rPr>
                <w:rFonts w:hint="eastAsia"/>
                <w:color w:val="000000" w:themeColor="text1"/>
                <w:szCs w:val="21"/>
              </w:rPr>
              <w:t>公司的主要客户群为全国各地的</w:t>
            </w:r>
            <w:r>
              <w:rPr>
                <w:rFonts w:hint="eastAsia"/>
                <w:color w:val="000000" w:themeColor="text1"/>
                <w:szCs w:val="21"/>
                <w:lang w:val="en-US" w:eastAsia="zh-CN"/>
              </w:rPr>
              <w:t>企事业</w:t>
            </w:r>
            <w:r>
              <w:rPr>
                <w:rFonts w:hint="eastAsia"/>
                <w:color w:val="000000" w:themeColor="text1"/>
                <w:szCs w:val="21"/>
              </w:rPr>
              <w:t>；公司采用总经理负责制，层层把关，让用户真正放心</w:t>
            </w:r>
          </w:p>
          <w:p>
            <w:pPr>
              <w:spacing w:line="400" w:lineRule="exact"/>
              <w:rPr>
                <w:color w:val="000000" w:themeColor="text1"/>
                <w:szCs w:val="21"/>
              </w:rPr>
            </w:pPr>
            <w:r>
              <w:rPr>
                <w:rFonts w:hint="eastAsia"/>
                <w:color w:val="000000" w:themeColor="text1"/>
                <w:szCs w:val="21"/>
              </w:rPr>
              <w:t>现场见到营业执照，见附件。总经理为：</w:t>
            </w:r>
            <w:bookmarkStart w:id="2" w:name="法人"/>
            <w:r>
              <w:t>张礼祥</w:t>
            </w:r>
            <w:bookmarkEnd w:id="2"/>
          </w:p>
          <w:p>
            <w:pPr>
              <w:pStyle w:val="8"/>
              <w:rPr>
                <w:rFonts w:asciiTheme="minorEastAsia" w:hAnsiTheme="minorEastAsia" w:eastAsiaTheme="minorEastAsia" w:cstheme="minorEastAsia"/>
                <w:bCs w:val="0"/>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rPr>
                <w:rFonts w:ascii="宋体" w:hAnsi="宋体"/>
                <w:szCs w:val="21"/>
              </w:rPr>
            </w:pPr>
            <w:bookmarkStart w:id="3" w:name="审核范围"/>
            <w:r>
              <w:rPr>
                <w:rFonts w:hint="eastAsia" w:ascii="宋体" w:hAnsi="宋体"/>
                <w:szCs w:val="21"/>
              </w:rPr>
              <w:t>O：</w:t>
            </w:r>
            <w:bookmarkEnd w:id="3"/>
            <w:r>
              <w:rPr>
                <w:rFonts w:hint="eastAsia" w:ascii="宋体" w:hAnsi="宋体"/>
                <w:szCs w:val="21"/>
              </w:rPr>
              <w:t xml:space="preserve">型式批准范围内超声波式热量表的开发和生产(仅限北京德宝豪特能源科技有限公司昌平分公司经营)及相关技术服务;供热管理系统（管理系统软件、集中器）的开发及相关技术服务 </w:t>
            </w:r>
          </w:p>
          <w:p>
            <w:pPr>
              <w:rPr>
                <w:rFonts w:hint="eastAsia" w:ascii="宋体" w:hAnsi="宋体" w:eastAsia="宋体" w:cs="Times New Roman"/>
                <w:szCs w:val="21"/>
                <w:lang w:val="en-US" w:eastAsia="zh-CN"/>
              </w:rPr>
            </w:pPr>
          </w:p>
          <w:p>
            <w:pPr>
              <w:rPr>
                <w:rFonts w:hint="eastAsia" w:ascii="宋体" w:hAnsi="宋体" w:eastAsia="宋体" w:cs="Times New Roman"/>
                <w:szCs w:val="21"/>
              </w:rPr>
            </w:pPr>
            <w:r>
              <w:rPr>
                <w:rFonts w:hint="eastAsia" w:ascii="宋体" w:hAnsi="宋体" w:eastAsia="宋体" w:cs="Times New Roman"/>
                <w:szCs w:val="21"/>
                <w:lang w:val="en-US" w:eastAsia="zh-CN"/>
              </w:rPr>
              <w:t>范围变更为：</w:t>
            </w:r>
            <w:r>
              <w:rPr>
                <w:rFonts w:hint="eastAsia" w:ascii="宋体" w:hAnsi="宋体" w:eastAsia="宋体" w:cs="Times New Roman"/>
                <w:szCs w:val="21"/>
              </w:rPr>
              <w:t>型式批准范围内超声波式热量表的开发和生产(仅限北京德宝豪特能源科技有限公司昌平分公司经营)及相关技术服务;供热管理系统（管理系统软件、抄表器、集中器、采集器）的开发及相关技术服务</w:t>
            </w:r>
          </w:p>
          <w:p>
            <w:pPr>
              <w:rPr>
                <w:rFonts w:hint="default" w:asciiTheme="minorEastAsia" w:hAnsiTheme="minorEastAsia" w:eastAsiaTheme="minorEastAsia" w:cstheme="minorEastAsia"/>
                <w:szCs w:val="21"/>
                <w:lang w:val="en-US" w:eastAsia="zh-CN"/>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认证范围在经营范围内。</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pStyle w:val="8"/>
              <w:rPr>
                <w:rFonts w:asciiTheme="minorEastAsia" w:hAnsiTheme="minorEastAsia" w:eastAsiaTheme="minorEastAsia" w:cstheme="minorEastAsia"/>
                <w:bCs w:val="0"/>
                <w:color w:val="auto"/>
                <w:szCs w:val="21"/>
              </w:rPr>
            </w:pPr>
            <w:r>
              <w:rPr>
                <w:rFonts w:hint="eastAsia" w:asciiTheme="minorEastAsia" w:hAnsiTheme="minorEastAsia" w:eastAsiaTheme="minorEastAsia" w:cstheme="minorEastAsia"/>
                <w:bCs w:val="0"/>
                <w:color w:val="auto"/>
                <w:szCs w:val="21"/>
              </w:rPr>
              <w:t>对于企业的外包过程也进行了充分识别，公司无外包、无承包</w:t>
            </w:r>
          </w:p>
          <w:p>
            <w:pPr>
              <w:pStyle w:val="8"/>
            </w:pPr>
          </w:p>
          <w:p>
            <w:pPr>
              <w:pStyle w:val="8"/>
            </w:pP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60" w:type="dxa"/>
          </w:tcPr>
          <w:p>
            <w:pPr>
              <w:shd w:val="clear" w:color="auto" w:fill="FFFFFF"/>
              <w:spacing w:line="400" w:lineRule="exact"/>
              <w:rPr>
                <w:rFonts w:ascii="宋体" w:hAnsi="宋体" w:cs="宋体"/>
                <w:bCs/>
                <w:szCs w:val="21"/>
              </w:rPr>
            </w:pPr>
            <w:r>
              <w:rPr>
                <w:rFonts w:hint="eastAsia" w:ascii="宋体" w:hAnsi="宋体" w:cs="宋体"/>
                <w:bCs/>
                <w:szCs w:val="21"/>
              </w:rPr>
              <w:t>体系的总体策划及运行情况；管理方针、目标的策划、形成、批准过程及适宜性；</w:t>
            </w:r>
          </w:p>
          <w:p>
            <w:pPr>
              <w:rPr>
                <w:rFonts w:ascii="宋体" w:hAnsi="宋体" w:cs="宋体"/>
                <w:kern w:val="0"/>
                <w:szCs w:val="21"/>
              </w:rPr>
            </w:pPr>
          </w:p>
        </w:tc>
        <w:tc>
          <w:tcPr>
            <w:tcW w:w="425" w:type="dxa"/>
          </w:tcPr>
          <w:p/>
        </w:tc>
        <w:tc>
          <w:tcPr>
            <w:tcW w:w="11063" w:type="dxa"/>
          </w:tcPr>
          <w:p>
            <w:pPr>
              <w:spacing w:line="400" w:lineRule="exact"/>
              <w:ind w:firstLine="210" w:firstLineChars="100"/>
            </w:pPr>
            <w:r>
              <w:rPr>
                <w:rFonts w:hint="eastAsia"/>
              </w:rPr>
              <w:t>组织于</w:t>
            </w:r>
            <w:r>
              <w:rPr>
                <w:rFonts w:hint="eastAsia"/>
                <w:lang w:val="en-US" w:eastAsia="zh-CN"/>
              </w:rPr>
              <w:t>2020.4.10</w:t>
            </w:r>
            <w:r>
              <w:rPr>
                <w:rFonts w:hint="eastAsia"/>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pPr>
            <w:r>
              <w:rPr>
                <w:rFonts w:hint="eastAsia"/>
              </w:rPr>
              <w:t>确定了管理体系所需的过程，如文件与记录管理过程、合同评审过程、</w:t>
            </w:r>
            <w:r>
              <w:rPr>
                <w:rFonts w:hint="eastAsia"/>
                <w:lang w:val="en-US" w:eastAsia="zh-CN"/>
              </w:rPr>
              <w:t>设计开发过程、生产</w:t>
            </w:r>
            <w:r>
              <w:rPr>
                <w:rFonts w:hint="eastAsia"/>
              </w:rPr>
              <w:t>过程等，并明确各过程的目标和职责，及各过程之间的衔接和影响。 提供了支持过程策划和运行的形成文件的信息。见“部门管理目标策划记录”对管理目标完成情况进行检查、统计、记录。</w:t>
            </w:r>
          </w:p>
          <w:p>
            <w:pPr>
              <w:spacing w:line="400" w:lineRule="exact"/>
              <w:ind w:firstLine="420" w:firstLineChars="200"/>
            </w:pPr>
            <w:r>
              <w:rPr>
                <w:rFonts w:hint="eastAsia"/>
              </w:rPr>
              <w:t>体系从建立至今运行良好，没有变化。</w:t>
            </w:r>
          </w:p>
          <w:p>
            <w:pPr>
              <w:pStyle w:val="8"/>
            </w:pPr>
            <w:r>
              <w:rPr>
                <w:rFonts w:hint="eastAsia"/>
              </w:rPr>
              <w:t>公司的管理方针为：</w:t>
            </w:r>
          </w:p>
          <w:p>
            <w:pPr>
              <w:rPr>
                <w:rFonts w:hint="eastAsia"/>
              </w:rPr>
            </w:pPr>
            <w:r>
              <w:rPr>
                <w:rFonts w:hint="eastAsia"/>
              </w:rPr>
              <w:t>守法诚信追求精品，预防污染保护环境；</w:t>
            </w:r>
          </w:p>
          <w:p>
            <w:pPr>
              <w:rPr>
                <w:rFonts w:hint="eastAsia"/>
              </w:rPr>
            </w:pPr>
            <w:r>
              <w:rPr>
                <w:rFonts w:hint="eastAsia"/>
              </w:rPr>
              <w:t>关爱员工健康安全，持续改进追求卓越。</w:t>
            </w:r>
          </w:p>
          <w:p>
            <w:pPr>
              <w:pStyle w:val="8"/>
            </w:pPr>
          </w:p>
          <w:p>
            <w:pPr>
              <w:pStyle w:val="2"/>
              <w:pBdr>
                <w:bottom w:val="none" w:color="auto" w:sz="0" w:space="0"/>
              </w:pBdr>
              <w:tabs>
                <w:tab w:val="center" w:pos="5737"/>
                <w:tab w:val="clear" w:pos="4153"/>
              </w:tabs>
              <w:jc w:val="left"/>
              <w:rPr>
                <w:sz w:val="21"/>
                <w:szCs w:val="20"/>
              </w:rPr>
            </w:pPr>
            <w:r>
              <w:rPr>
                <w:rFonts w:hint="eastAsia"/>
                <w:sz w:val="21"/>
                <w:szCs w:val="20"/>
              </w:rPr>
              <w:t>制定了本公司的职业健康安全的目标为：</w:t>
            </w:r>
          </w:p>
          <w:p>
            <w:pPr>
              <w:rPr>
                <w:rFonts w:hint="eastAsia"/>
              </w:rPr>
            </w:pPr>
            <w:r>
              <w:rPr>
                <w:rFonts w:hint="eastAsia"/>
              </w:rPr>
              <w:t xml:space="preserve">1、杜绝各类重伤以上事故，且事故发生率为零； </w:t>
            </w:r>
          </w:p>
          <w:p>
            <w:pPr>
              <w:rPr>
                <w:rFonts w:hint="eastAsia"/>
              </w:rPr>
            </w:pPr>
            <w:r>
              <w:rPr>
                <w:rFonts w:hint="eastAsia"/>
              </w:rPr>
              <w:t>2、杜绝火灾事故，火灾事故发生率为零。</w:t>
            </w:r>
          </w:p>
          <w:p>
            <w:r>
              <w:t xml:space="preserve">  </w:t>
            </w:r>
          </w:p>
          <w:p>
            <w:r>
              <w:t xml:space="preserve">   </w:t>
            </w:r>
          </w:p>
          <w:p>
            <w:pPr>
              <w:pStyle w:val="8"/>
              <w:ind w:firstLine="230" w:firstLineChars="100"/>
              <w:rPr>
                <w:rFonts w:hint="default" w:eastAsia="宋体"/>
                <w:lang w:val="en-US" w:eastAsia="zh-CN"/>
              </w:rPr>
            </w:pPr>
            <w:r>
              <w:rPr>
                <w:rFonts w:hint="eastAsia" w:asciiTheme="minorEastAsia" w:hAnsiTheme="minorEastAsia" w:eastAsiaTheme="minorEastAsia" w:cstheme="minorEastAsia"/>
                <w:bCs w:val="0"/>
                <w:szCs w:val="21"/>
              </w:rPr>
              <w:t>提供法律法规清单</w:t>
            </w:r>
            <w:r>
              <w:t xml:space="preserve"> </w:t>
            </w:r>
            <w:r>
              <w:rPr>
                <w:rFonts w:hint="eastAsia"/>
                <w:color w:val="auto"/>
              </w:rPr>
              <w:t>，</w:t>
            </w:r>
            <w:r>
              <w:rPr>
                <w:rFonts w:hint="eastAsia" w:ascii="宋体" w:hAnsi="宋体" w:cs="宋体"/>
                <w:color w:val="auto"/>
                <w:spacing w:val="0"/>
                <w:kern w:val="10"/>
                <w:sz w:val="24"/>
                <w:szCs w:val="22"/>
              </w:rPr>
              <w:t>法律法规识别</w:t>
            </w:r>
            <w:r>
              <w:rPr>
                <w:rFonts w:hint="eastAsia" w:ascii="宋体" w:hAnsi="宋体" w:cs="宋体"/>
                <w:color w:val="auto"/>
                <w:spacing w:val="0"/>
                <w:kern w:val="10"/>
                <w:sz w:val="24"/>
                <w:szCs w:val="22"/>
                <w:lang w:val="en-US" w:eastAsia="zh-CN"/>
              </w:rPr>
              <w:t>70种，识别全面</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60" w:type="dxa"/>
          </w:tcPr>
          <w:p>
            <w:pPr>
              <w:rPr>
                <w:rFonts w:ascii="宋体" w:hAnsi="宋体" w:cs="宋体"/>
                <w:kern w:val="0"/>
                <w:szCs w:val="21"/>
              </w:rPr>
            </w:pPr>
            <w:r>
              <w:rPr>
                <w:rFonts w:hint="eastAsia" w:ascii="宋体" w:hAnsi="宋体" w:cs="宋体"/>
                <w:szCs w:val="21"/>
              </w:rPr>
              <w:t>内审策划、实施的符合性。</w:t>
            </w:r>
          </w:p>
        </w:tc>
        <w:tc>
          <w:tcPr>
            <w:tcW w:w="425" w:type="dxa"/>
          </w:tcPr>
          <w:p/>
        </w:tc>
        <w:tc>
          <w:tcPr>
            <w:tcW w:w="11063"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》，提供了《2019年内部审核实施计划》，计划内容有：目的、范围、审核准则、拟</w:t>
            </w:r>
            <w:bookmarkStart w:id="4" w:name="_Hlk22672377"/>
            <w:r>
              <w:rPr>
                <w:rFonts w:hint="eastAsia" w:asciiTheme="minorEastAsia" w:hAnsiTheme="minorEastAsia" w:eastAsiaTheme="minorEastAsia" w:cstheme="minorEastAsia"/>
                <w:szCs w:val="21"/>
              </w:rPr>
              <w:t>审核时间</w:t>
            </w:r>
            <w:bookmarkEnd w:id="4"/>
            <w:r>
              <w:rPr>
                <w:rFonts w:hint="eastAsia" w:asciiTheme="minorEastAsia" w:hAnsiTheme="minorEastAsia" w:eastAsiaTheme="minorEastAsia" w:cstheme="minorEastAsia"/>
                <w:szCs w:val="21"/>
              </w:rPr>
              <w:t>2020年10月11日－2020年10月12日</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组长：曹瑞新</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组员：彭浦  娄来智</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提供了《内审不合格报告》，不符合和项1个，进行了原因分析并制定纠正措施计划，经过审核组验证，纠正措施有效。</w:t>
            </w:r>
          </w:p>
          <w:p>
            <w:r>
              <w:rPr>
                <w:rFonts w:hint="eastAsia" w:asciiTheme="minorEastAsia" w:hAnsiTheme="minorEastAsia" w:eastAsiaTheme="minorEastAsia" w:cstheme="minorEastAsia"/>
                <w:szCs w:val="21"/>
              </w:rPr>
              <w:t>提供《审核报告》，提供了内审员培训记录，审核员没有审核自己部门工作，具有独立性。</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ascii="宋体" w:hAnsi="宋体" w:cs="宋体"/>
                <w:kern w:val="0"/>
                <w:szCs w:val="21"/>
              </w:rPr>
            </w:pPr>
            <w:r>
              <w:rPr>
                <w:rFonts w:hint="eastAsia" w:ascii="宋体" w:hAnsi="宋体" w:cs="宋体"/>
                <w:bCs/>
                <w:szCs w:val="21"/>
              </w:rPr>
              <w:t>管理评审的策划、实施情况及符合性、有效性</w:t>
            </w:r>
          </w:p>
        </w:tc>
        <w:tc>
          <w:tcPr>
            <w:tcW w:w="425" w:type="dxa"/>
          </w:tcPr>
          <w:p/>
        </w:tc>
        <w:tc>
          <w:tcPr>
            <w:tcW w:w="11063" w:type="dxa"/>
          </w:tcPr>
          <w:p>
            <w:pPr>
              <w:ind w:firstLine="420" w:firstLineChars="200"/>
            </w:pPr>
            <w:r>
              <w:rPr>
                <w:rFonts w:hint="eastAsia"/>
              </w:rPr>
              <w:t>公司于</w:t>
            </w:r>
            <w:r>
              <w:rPr>
                <w:rFonts w:hint="eastAsia" w:asciiTheme="minorEastAsia" w:hAnsiTheme="minorEastAsia" w:eastAsiaTheme="minorEastAsia" w:cstheme="minorEastAsia"/>
                <w:szCs w:val="21"/>
              </w:rPr>
              <w:t>2020年10月18日</w:t>
            </w:r>
            <w:r>
              <w:rPr>
                <w:rFonts w:hint="eastAsia"/>
              </w:rPr>
              <w:t>，依据：</w:t>
            </w:r>
            <w:r>
              <w:t>ISO45001:2018</w:t>
            </w:r>
            <w:r>
              <w:rPr>
                <w:rFonts w:hint="eastAsia"/>
              </w:rPr>
              <w:t>标准进行管理评审。</w:t>
            </w:r>
          </w:p>
          <w:p>
            <w:pPr>
              <w:ind w:firstLine="420" w:firstLineChars="200"/>
            </w:pPr>
            <w:r>
              <w:rPr>
                <w:rFonts w:hint="eastAsia"/>
              </w:rPr>
              <w:t>目前按标准要求平稳运行，至今暂无变更情况发生。</w:t>
            </w:r>
          </w:p>
          <w:p>
            <w:r>
              <w:rPr>
                <w:rFonts w:hint="eastAsia"/>
              </w:rPr>
              <w:t>查阅公司管理评审资料：</w:t>
            </w:r>
          </w:p>
          <w:p>
            <w:pPr>
              <w:numPr>
                <w:ilvl w:val="0"/>
                <w:numId w:val="2"/>
              </w:numPr>
              <w:rPr>
                <w:rFonts w:hint="eastAsia"/>
              </w:rPr>
            </w:pPr>
            <w:r>
              <w:rPr>
                <w:rFonts w:hint="eastAsia"/>
              </w:rPr>
              <w:t>综合部 发布管理评审计划， 拟稿-综合部 ，批准：</w:t>
            </w:r>
            <w:r>
              <w:rPr>
                <w:rFonts w:hint="eastAsia" w:asciiTheme="minorEastAsia" w:hAnsiTheme="minorEastAsia" w:eastAsiaTheme="minorEastAsia" w:cstheme="minorEastAsia"/>
                <w:szCs w:val="21"/>
              </w:rPr>
              <w:t>张礼祥</w:t>
            </w:r>
            <w:r>
              <w:rPr>
                <w:rFonts w:hint="eastAsia"/>
              </w:rPr>
              <w:t>，评审方式：会议评审，</w:t>
            </w:r>
          </w:p>
          <w:p>
            <w:pPr>
              <w:numPr>
                <w:ilvl w:val="0"/>
                <w:numId w:val="2"/>
              </w:numPr>
            </w:pPr>
            <w:r>
              <w:rPr>
                <w:rFonts w:hint="eastAsia"/>
              </w:rPr>
              <w:t>管理评审输入：</w:t>
            </w:r>
          </w:p>
          <w:p>
            <w:pPr>
              <w:ind w:firstLine="420" w:firstLineChars="200"/>
            </w:pPr>
            <w:r>
              <w:rPr>
                <w:rFonts w:hint="eastAsia"/>
              </w:rPr>
              <w:t>方针目标适宜性、质量目标的实现程度、体系策划和运行情况、可能的变更、外部供方的绩效、内审情况、顾客满意情况及纠正措施完成情况，应对风险和机遇所采取措施的有效性以及改进的建议等等。</w:t>
            </w:r>
          </w:p>
          <w:p>
            <w:pPr>
              <w:numPr>
                <w:ilvl w:val="0"/>
                <w:numId w:val="3"/>
              </w:numPr>
            </w:pPr>
            <w:r>
              <w:rPr>
                <w:rFonts w:hint="eastAsia"/>
              </w:rPr>
              <w:t>查看“管理评审报告”，报告中对本次管理评审做了总结，评价了公司建立、运行管理体系的效果。</w:t>
            </w:r>
          </w:p>
          <w:p>
            <w:r>
              <w:rPr>
                <w:rFonts w:hint="eastAsia"/>
              </w:rPr>
              <w:t>四、管理评审输出/评审结论：</w:t>
            </w:r>
          </w:p>
          <w:p>
            <w:r>
              <w:rPr>
                <w:rFonts w:hint="eastAsia"/>
              </w:rPr>
              <w:t>通过本次评审，最终得出本公司管理体系是适宜的、充分的、有效的，方针和目标是适宜的和有效的。提出了管理评审改进决议：</w:t>
            </w:r>
            <w:r>
              <w:rPr>
                <w:rFonts w:hint="eastAsia" w:asciiTheme="minorEastAsia" w:hAnsiTheme="minorEastAsia" w:eastAsiaTheme="minorEastAsia" w:cstheme="minorEastAsia"/>
                <w:szCs w:val="21"/>
              </w:rPr>
              <w:t>基本符合。</w:t>
            </w:r>
            <w:r>
              <w:rPr>
                <w:rFonts w:hint="eastAsia" w:ascii="宋体" w:hAnsi="宋体"/>
                <w:szCs w:val="21"/>
              </w:rPr>
              <w:t>。</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jc w:val="left"/>
              <w:rPr>
                <w:rFonts w:ascii="宋体" w:hAnsi="宋体" w:cs="宋体"/>
                <w:szCs w:val="21"/>
              </w:rPr>
            </w:pPr>
            <w:r>
              <w:rPr>
                <w:rFonts w:hint="eastAsia" w:ascii="宋体" w:hAnsi="宋体" w:cs="宋体"/>
                <w:szCs w:val="21"/>
              </w:rPr>
              <w:t>内外部沟通及相关方抱怨、投诉的处理情况。</w:t>
            </w:r>
          </w:p>
          <w:p>
            <w:pPr>
              <w:rPr>
                <w:rFonts w:ascii="宋体" w:hAnsi="宋体" w:cs="宋体"/>
                <w:kern w:val="0"/>
                <w:szCs w:val="21"/>
              </w:rPr>
            </w:pPr>
          </w:p>
        </w:tc>
        <w:tc>
          <w:tcPr>
            <w:tcW w:w="425" w:type="dxa"/>
          </w:tcPr>
          <w:p/>
        </w:tc>
        <w:tc>
          <w:tcPr>
            <w:tcW w:w="11063" w:type="dxa"/>
          </w:tcPr>
          <w:p>
            <w:pPr>
              <w:spacing w:line="400" w:lineRule="exact"/>
              <w:rPr>
                <w:rFonts w:ascii="宋体" w:hAnsi="宋体"/>
                <w:szCs w:val="21"/>
                <w:lang w:val="zh-CN"/>
              </w:rPr>
            </w:pPr>
            <w:r>
              <w:rPr>
                <w:rFonts w:hint="eastAsia" w:ascii="宋体" w:hAnsi="宋体"/>
                <w:szCs w:val="21"/>
                <w:lang w:val="zh-CN"/>
              </w:rPr>
              <w:t>内外部沟通的主要方式为：</w:t>
            </w:r>
          </w:p>
          <w:p>
            <w:pPr>
              <w:spacing w:line="400" w:lineRule="exact"/>
              <w:rPr>
                <w:rFonts w:ascii="宋体" w:hAnsi="宋体"/>
                <w:szCs w:val="21"/>
                <w:lang w:val="zh-CN"/>
              </w:rPr>
            </w:pPr>
            <w:r>
              <w:rPr>
                <w:rFonts w:hint="eastAsia" w:ascii="宋体" w:hAnsi="宋体"/>
                <w:szCs w:val="21"/>
                <w:lang w:val="zh-CN"/>
              </w:rPr>
              <w:t>a)会议形式。如各种例会、协调会、座谈会、评审会和研讨会等；</w:t>
            </w:r>
          </w:p>
          <w:p>
            <w:pPr>
              <w:spacing w:line="400" w:lineRule="exact"/>
              <w:rPr>
                <w:rFonts w:ascii="宋体" w:hAnsi="宋体"/>
                <w:szCs w:val="21"/>
                <w:lang w:val="zh-CN"/>
              </w:rPr>
            </w:pPr>
            <w:r>
              <w:rPr>
                <w:rFonts w:hint="eastAsia" w:ascii="宋体" w:hAnsi="宋体"/>
                <w:szCs w:val="21"/>
                <w:lang w:val="zh-CN"/>
              </w:rPr>
              <w:t>b)文件形式。如工作报告、情况简报、技术服务报告、各种分析报告和布告等；</w:t>
            </w:r>
          </w:p>
          <w:p>
            <w:pPr>
              <w:spacing w:line="400" w:lineRule="exact"/>
              <w:rPr>
                <w:rFonts w:ascii="宋体" w:hAnsi="宋体"/>
                <w:szCs w:val="21"/>
                <w:lang w:val="zh-CN"/>
              </w:rPr>
            </w:pPr>
            <w:r>
              <w:rPr>
                <w:rFonts w:hint="eastAsia" w:ascii="宋体" w:hAnsi="宋体"/>
                <w:szCs w:val="21"/>
                <w:lang w:val="zh-CN"/>
              </w:rPr>
              <w:t>c)电子媒介形式。如录像、广播、信息网络等；</w:t>
            </w:r>
          </w:p>
          <w:p>
            <w:pPr>
              <w:spacing w:line="400" w:lineRule="exact"/>
              <w:rPr>
                <w:rFonts w:ascii="宋体" w:hAnsi="宋体"/>
                <w:szCs w:val="21"/>
                <w:lang w:val="zh-CN"/>
              </w:rPr>
            </w:pPr>
            <w:r>
              <w:rPr>
                <w:rFonts w:hint="eastAsia" w:ascii="宋体" w:hAnsi="宋体"/>
                <w:szCs w:val="21"/>
                <w:lang w:val="zh-CN"/>
              </w:rPr>
              <w:t>d)管理评审及内审；</w:t>
            </w:r>
          </w:p>
          <w:p>
            <w:pPr>
              <w:spacing w:line="400" w:lineRule="exact"/>
              <w:rPr>
                <w:rFonts w:ascii="宋体" w:hAnsi="宋体"/>
                <w:szCs w:val="21"/>
                <w:lang w:val="zh-CN"/>
              </w:rPr>
            </w:pPr>
            <w:r>
              <w:rPr>
                <w:rFonts w:hint="eastAsia" w:ascii="宋体" w:hAnsi="宋体"/>
                <w:szCs w:val="21"/>
                <w:lang w:val="zh-CN"/>
              </w:rPr>
              <w:t>e)谈话交流等方式。</w:t>
            </w:r>
          </w:p>
          <w:p>
            <w:pPr>
              <w:spacing w:line="400" w:lineRule="exact"/>
              <w:ind w:firstLine="420" w:firstLineChars="200"/>
              <w:rPr>
                <w:rFonts w:ascii="宋体" w:hAnsi="宋体"/>
                <w:szCs w:val="21"/>
                <w:lang w:val="zh-CN"/>
              </w:rPr>
            </w:pPr>
            <w:r>
              <w:rPr>
                <w:rFonts w:hint="eastAsia" w:ascii="宋体" w:hAnsi="宋体"/>
                <w:szCs w:val="21"/>
                <w:lang w:val="zh-CN"/>
              </w:rPr>
              <w:t>内部沟通的主要内容为：</w:t>
            </w:r>
          </w:p>
          <w:p>
            <w:pPr>
              <w:spacing w:line="400" w:lineRule="exact"/>
              <w:rPr>
                <w:rFonts w:ascii="宋体" w:hAnsi="宋体"/>
                <w:szCs w:val="21"/>
                <w:lang w:val="zh-CN"/>
              </w:rPr>
            </w:pPr>
            <w:r>
              <w:rPr>
                <w:rFonts w:hint="eastAsia" w:ascii="宋体" w:hAnsi="宋体"/>
                <w:szCs w:val="21"/>
                <w:lang w:val="zh-CN"/>
              </w:rPr>
              <w:t>a)质量管理体系运行状态、业绩及任何需要改进的信息；</w:t>
            </w:r>
          </w:p>
          <w:p>
            <w:pPr>
              <w:spacing w:line="400" w:lineRule="exact"/>
              <w:rPr>
                <w:rFonts w:ascii="宋体" w:hAnsi="宋体"/>
                <w:szCs w:val="21"/>
                <w:lang w:val="zh-CN"/>
              </w:rPr>
            </w:pPr>
            <w:r>
              <w:rPr>
                <w:rFonts w:hint="eastAsia" w:ascii="宋体" w:hAnsi="宋体"/>
                <w:szCs w:val="21"/>
                <w:lang w:val="zh-CN"/>
              </w:rPr>
              <w:t>b)产品要求，特别是顾客要求；</w:t>
            </w:r>
          </w:p>
          <w:p>
            <w:pPr>
              <w:spacing w:line="400" w:lineRule="exact"/>
              <w:rPr>
                <w:rFonts w:ascii="宋体" w:hAnsi="宋体"/>
                <w:szCs w:val="21"/>
                <w:lang w:val="zh-CN"/>
              </w:rPr>
            </w:pPr>
            <w:r>
              <w:rPr>
                <w:rFonts w:hint="eastAsia" w:ascii="宋体" w:hAnsi="宋体"/>
                <w:szCs w:val="21"/>
                <w:lang w:val="zh-CN"/>
              </w:rPr>
              <w:t>c)顾客反馈，包括顾客投诉与抱怨的信息；</w:t>
            </w:r>
          </w:p>
          <w:p>
            <w:pPr>
              <w:spacing w:line="400" w:lineRule="exact"/>
              <w:rPr>
                <w:rFonts w:ascii="宋体" w:hAnsi="宋体"/>
                <w:szCs w:val="21"/>
                <w:lang w:val="zh-CN"/>
              </w:rPr>
            </w:pPr>
            <w:r>
              <w:rPr>
                <w:rFonts w:hint="eastAsia" w:ascii="宋体" w:hAnsi="宋体"/>
                <w:szCs w:val="21"/>
                <w:lang w:val="zh-CN"/>
              </w:rPr>
              <w:t>d)产品的采购、生产、试验、交付、交付后活动等过程和信息；</w:t>
            </w:r>
          </w:p>
          <w:p>
            <w:pPr>
              <w:spacing w:line="400" w:lineRule="exact"/>
              <w:rPr>
                <w:rFonts w:ascii="宋体" w:hAnsi="宋体"/>
                <w:szCs w:val="21"/>
                <w:lang w:val="zh-CN"/>
              </w:rPr>
            </w:pPr>
            <w:r>
              <w:rPr>
                <w:rFonts w:hint="eastAsia" w:ascii="宋体" w:hAnsi="宋体"/>
                <w:szCs w:val="21"/>
                <w:lang w:val="zh-CN"/>
              </w:rPr>
              <w:t>e)质量方针、质量目标，职责、权限和相互关系；</w:t>
            </w:r>
          </w:p>
          <w:p>
            <w:pPr>
              <w:spacing w:line="400" w:lineRule="exact"/>
              <w:rPr>
                <w:rFonts w:ascii="宋体" w:hAnsi="宋体"/>
                <w:szCs w:val="21"/>
                <w:lang w:val="zh-CN"/>
              </w:rPr>
            </w:pPr>
            <w:r>
              <w:rPr>
                <w:rFonts w:hint="eastAsia" w:ascii="宋体" w:hAnsi="宋体"/>
                <w:szCs w:val="21"/>
                <w:lang w:val="zh-CN"/>
              </w:rPr>
              <w:t>f)质量问题的通报与处理等。</w:t>
            </w:r>
          </w:p>
          <w:p>
            <w:pPr>
              <w:spacing w:line="400" w:lineRule="exact"/>
              <w:ind w:firstLine="420" w:firstLineChars="200"/>
              <w:rPr>
                <w:rFonts w:ascii="宋体" w:hAnsi="宋体"/>
                <w:szCs w:val="21"/>
                <w:lang w:val="zh-CN"/>
              </w:rPr>
            </w:pPr>
            <w:r>
              <w:rPr>
                <w:rFonts w:hint="eastAsia" w:ascii="宋体" w:hAnsi="宋体"/>
                <w:szCs w:val="21"/>
                <w:lang w:val="zh-CN"/>
              </w:rPr>
              <w:t>外部沟通的主要内容为：</w:t>
            </w:r>
          </w:p>
          <w:p>
            <w:pPr>
              <w:numPr>
                <w:ilvl w:val="0"/>
                <w:numId w:val="4"/>
              </w:numPr>
              <w:spacing w:line="400" w:lineRule="exact"/>
              <w:rPr>
                <w:rFonts w:ascii="宋体" w:hAnsi="宋体"/>
                <w:szCs w:val="21"/>
                <w:lang w:val="zh-CN"/>
              </w:rPr>
            </w:pPr>
            <w:r>
              <w:rPr>
                <w:rFonts w:hint="eastAsia" w:ascii="宋体" w:hAnsi="宋体"/>
                <w:szCs w:val="21"/>
                <w:lang w:val="zh-CN"/>
              </w:rPr>
              <w:t>法规要求/技术规范要求/上级或行业要求；</w:t>
            </w:r>
            <w:r>
              <w:rPr>
                <w:rFonts w:hint="eastAsia" w:ascii="宋体" w:hAnsi="宋体"/>
                <w:szCs w:val="21"/>
                <w:lang w:val="zh-CN"/>
              </w:rPr>
              <w:br w:type="textWrapping"/>
            </w:r>
            <w:r>
              <w:rPr>
                <w:rFonts w:hint="eastAsia" w:ascii="宋体" w:hAnsi="宋体"/>
                <w:szCs w:val="21"/>
                <w:lang w:val="zh-CN"/>
              </w:rPr>
              <w:t>b)相关方的要求和期望，以及顾客反馈的信息；</w:t>
            </w:r>
            <w:r>
              <w:rPr>
                <w:rFonts w:hint="eastAsia" w:ascii="宋体" w:hAnsi="宋体"/>
                <w:szCs w:val="21"/>
                <w:lang w:val="zh-CN"/>
              </w:rPr>
              <w:br w:type="textWrapping"/>
            </w:r>
            <w:r>
              <w:rPr>
                <w:rFonts w:hint="eastAsia" w:ascii="宋体" w:hAnsi="宋体"/>
                <w:szCs w:val="21"/>
                <w:lang w:val="zh-CN"/>
              </w:rPr>
              <w:t>c)对相关方施加影响；</w:t>
            </w:r>
          </w:p>
          <w:p>
            <w:pPr>
              <w:spacing w:line="400" w:lineRule="exact"/>
              <w:ind w:firstLine="420" w:firstLineChars="200"/>
            </w:pPr>
            <w:r>
              <w:rPr>
                <w:rFonts w:hint="eastAsia" w:ascii="宋体" w:hAnsi="宋体"/>
                <w:szCs w:val="21"/>
                <w:lang w:val="zh-CN"/>
              </w:rPr>
              <w:t>对于承包方，应就影响他们的职业健康安全的变更进行协商。在管理需要时，应就有关的职业健康安全事务与相关的外部相关方进行协商。具体按《信息交流与协商沟通控制程序》要求执行。</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numPr>
                <w:ilvl w:val="0"/>
                <w:numId w:val="5"/>
              </w:numPr>
              <w:spacing w:line="360" w:lineRule="auto"/>
              <w:jc w:val="left"/>
              <w:rPr>
                <w:rFonts w:ascii="宋体" w:hAnsi="宋体" w:cs="宋体"/>
                <w:szCs w:val="21"/>
              </w:rPr>
            </w:pPr>
            <w:r>
              <w:rPr>
                <w:rFonts w:hint="eastAsia" w:ascii="宋体" w:hAnsi="宋体" w:cs="宋体"/>
                <w:szCs w:val="21"/>
              </w:rPr>
              <w:t>财务部资金投入</w:t>
            </w:r>
          </w:p>
          <w:p>
            <w:pPr>
              <w:rPr>
                <w:rFonts w:ascii="宋体" w:hAnsi="宋体" w:cs="宋体"/>
                <w:kern w:val="0"/>
                <w:szCs w:val="21"/>
              </w:rPr>
            </w:pPr>
          </w:p>
        </w:tc>
        <w:tc>
          <w:tcPr>
            <w:tcW w:w="425" w:type="dxa"/>
          </w:tcPr>
          <w:p/>
        </w:tc>
        <w:tc>
          <w:tcPr>
            <w:tcW w:w="11063" w:type="dxa"/>
          </w:tcPr>
          <w:p>
            <w:r>
              <w:rPr>
                <w:rFonts w:hint="eastAsia" w:ascii="宋体" w:hAnsi="宋体"/>
                <w:szCs w:val="21"/>
              </w:rPr>
              <w:t>经与财务部负责人沟通，对职业健康安全目标及管理方案已经进行了资金投入；对公司员工按法律法规要求，缴纳了养老、医疗、意外等社会保险</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160" w:type="dxa"/>
          </w:tcPr>
          <w:p>
            <w:pPr>
              <w:rPr>
                <w:rFonts w:ascii="宋体" w:hAnsi="宋体" w:cs="宋体"/>
                <w:kern w:val="0"/>
                <w:szCs w:val="21"/>
              </w:rPr>
            </w:pPr>
            <w:r>
              <w:rPr>
                <w:rFonts w:hint="eastAsia" w:ascii="宋体" w:hAnsi="宋体" w:cs="宋体"/>
                <w:szCs w:val="21"/>
              </w:rPr>
              <w:t>了解产品实现过程的策划、实施和监视测量情况</w:t>
            </w:r>
          </w:p>
        </w:tc>
        <w:tc>
          <w:tcPr>
            <w:tcW w:w="425" w:type="dxa"/>
          </w:tcPr>
          <w:p/>
        </w:tc>
        <w:tc>
          <w:tcPr>
            <w:tcW w:w="11063" w:type="dxa"/>
          </w:tcPr>
          <w:p>
            <w:pPr>
              <w:tabs>
                <w:tab w:val="left" w:pos="7380"/>
              </w:tabs>
              <w:rPr>
                <w:szCs w:val="21"/>
              </w:rPr>
            </w:pPr>
            <w:r>
              <w:rPr>
                <w:rFonts w:hint="eastAsia" w:ascii="宋体" w:hAnsi="宋体"/>
                <w:szCs w:val="21"/>
              </w:rPr>
              <w:t>超声波式热量表，供热管理系统（管理系统软件、抄表器、集中器、采集器）</w:t>
            </w:r>
            <w:r>
              <w:rPr>
                <w:rFonts w:hint="eastAsia"/>
                <w:szCs w:val="21"/>
              </w:rPr>
              <w:t>开发、技术服务实现流程图</w:t>
            </w:r>
          </w:p>
          <w:p>
            <w:pPr>
              <w:tabs>
                <w:tab w:val="left" w:pos="7380"/>
              </w:tabs>
              <w:rPr>
                <w:szCs w:val="21"/>
              </w:rPr>
            </w:pPr>
            <w:r>
              <w:rPr>
                <w:rFonts w:hint="eastAsia"/>
                <w:szCs w:val="21"/>
              </w:rPr>
              <w:t>立项--需求分析--设计（图纸设计：结构设计、电路设计、软件设计）—样机加工--测试---主管部门型式检验、批准—交付—售后服务（系统升级、技术指导等）</w:t>
            </w:r>
          </w:p>
          <w:p>
            <w:pPr>
              <w:tabs>
                <w:tab w:val="left" w:pos="7380"/>
              </w:tabs>
              <w:rPr>
                <w:szCs w:val="21"/>
              </w:rPr>
            </w:pPr>
            <w:r>
              <w:rPr>
                <w:rFonts w:hint="eastAsia"/>
                <w:szCs w:val="21"/>
              </w:rPr>
              <w:t xml:space="preserve">管理系统软件：立项--需求分析--概要设计--详细设计—客户确认--测试—验收--交付使用—售后服务（系统升级、技术指导等）。 </w:t>
            </w:r>
          </w:p>
          <w:p>
            <w:pPr>
              <w:tabs>
                <w:tab w:val="left" w:pos="7380"/>
              </w:tabs>
              <w:rPr>
                <w:rFonts w:hint="eastAsia" w:ascii="宋体" w:hAnsi="宋体" w:eastAsia="宋体" w:cs="Times New Roman"/>
                <w:szCs w:val="21"/>
              </w:rPr>
            </w:pPr>
            <w:r>
              <w:rPr>
                <w:rFonts w:hint="eastAsia" w:asciiTheme="minorEastAsia" w:hAnsiTheme="minorEastAsia" w:eastAsiaTheme="minorEastAsia" w:cstheme="minorEastAsia"/>
                <w:szCs w:val="21"/>
                <w:lang w:val="en-US" w:eastAsia="zh-CN"/>
              </w:rPr>
              <w:t>生产</w:t>
            </w:r>
            <w:r>
              <w:rPr>
                <w:rFonts w:hint="eastAsia" w:asciiTheme="minorEastAsia" w:hAnsiTheme="minorEastAsia" w:eastAsiaTheme="minorEastAsia" w:cstheme="minorEastAsia"/>
                <w:szCs w:val="21"/>
              </w:rPr>
              <w:t>流程：</w:t>
            </w:r>
            <w:r>
              <w:rPr>
                <w:rFonts w:hint="eastAsia"/>
                <w:bCs/>
                <w:szCs w:val="21"/>
              </w:rPr>
              <w:t>进货检验--组装（流量传感器组装---线路板检测----热量表外壳组装---外壳与流量传感器连接）--成品检验—</w:t>
            </w:r>
            <w:r>
              <w:rPr>
                <w:rFonts w:hint="eastAsia" w:ascii="宋体" w:hAnsi="宋体" w:eastAsia="宋体" w:cs="Times New Roman"/>
                <w:szCs w:val="21"/>
              </w:rPr>
              <w:t>包装</w:t>
            </w:r>
          </w:p>
          <w:p>
            <w:pPr>
              <w:tabs>
                <w:tab w:val="left" w:pos="7380"/>
              </w:tabs>
              <w:rPr>
                <w:rFonts w:hint="default" w:ascii="宋体" w:hAnsi="宋体" w:eastAsia="宋体" w:cs="Times New Roman"/>
                <w:szCs w:val="21"/>
                <w:lang w:val="en-US"/>
              </w:rPr>
            </w:pPr>
            <w:r>
              <w:rPr>
                <w:rFonts w:hint="eastAsia" w:ascii="宋体" w:hAnsi="宋体" w:eastAsia="宋体" w:cs="Times New Roman"/>
                <w:szCs w:val="21"/>
                <w:lang w:val="en-US" w:eastAsia="zh-CN"/>
              </w:rPr>
              <w:t>其中关键过程：线路板检测过程</w:t>
            </w:r>
          </w:p>
          <w:p>
            <w:pPr>
              <w:tabs>
                <w:tab w:val="left" w:pos="7380"/>
              </w:tabs>
              <w:rPr>
                <w:rFonts w:hint="eastAsia" w:ascii="宋体" w:hAnsi="宋体" w:eastAsia="宋体" w:cs="Times New Roman"/>
                <w:szCs w:val="21"/>
              </w:rPr>
            </w:pPr>
            <w:r>
              <w:rPr>
                <w:rFonts w:hint="eastAsia" w:ascii="宋体" w:hAnsi="宋体" w:eastAsia="宋体" w:cs="Times New Roman"/>
                <w:szCs w:val="21"/>
              </w:rPr>
              <w:t xml:space="preserve">其中关键过程有   </w:t>
            </w:r>
            <w:r>
              <w:rPr>
                <w:rFonts w:hint="eastAsia" w:ascii="宋体" w:hAnsi="宋体" w:eastAsia="宋体" w:cs="Times New Roman"/>
                <w:szCs w:val="21"/>
                <w:lang w:val="en-US" w:eastAsia="zh-CN"/>
              </w:rPr>
              <w:t>线路板检测检验规范</w:t>
            </w:r>
            <w:r>
              <w:rPr>
                <w:rFonts w:hint="eastAsia" w:ascii="宋体" w:hAnsi="宋体" w:eastAsia="宋体" w:cs="Times New Roman"/>
                <w:szCs w:val="21"/>
                <w:lang w:eastAsia="zh-CN"/>
              </w:rPr>
              <w:t xml:space="preserve">  </w:t>
            </w:r>
          </w:p>
          <w:p>
            <w:pPr>
              <w:tabs>
                <w:tab w:val="left" w:pos="7380"/>
              </w:tabs>
              <w:rPr>
                <w:rFonts w:hint="eastAsia" w:ascii="宋体" w:hAnsi="宋体" w:eastAsia="宋体" w:cs="Times New Roman"/>
                <w:szCs w:val="21"/>
              </w:rPr>
            </w:pPr>
            <w:r>
              <w:rPr>
                <w:rFonts w:hint="eastAsia" w:ascii="宋体" w:hAnsi="宋体" w:eastAsia="宋体" w:cs="Times New Roman"/>
                <w:szCs w:val="21"/>
              </w:rPr>
              <w:t>需要确认过程    -线路板检测</w:t>
            </w:r>
            <w:r>
              <w:rPr>
                <w:rFonts w:hint="eastAsia" w:ascii="宋体" w:hAnsi="宋体" w:eastAsia="宋体" w:cs="Times New Roman"/>
                <w:szCs w:val="21"/>
                <w:lang w:val="en-US" w:eastAsia="zh-CN"/>
              </w:rPr>
              <w:t>过程</w:t>
            </w:r>
            <w:r>
              <w:rPr>
                <w:rFonts w:hint="eastAsia" w:ascii="宋体" w:hAnsi="宋体" w:eastAsia="宋体" w:cs="Times New Roman"/>
                <w:szCs w:val="21"/>
              </w:rPr>
              <w:t xml:space="preserve"> </w:t>
            </w:r>
            <w:r>
              <w:rPr>
                <w:rFonts w:hint="eastAsia" w:ascii="宋体" w:hAnsi="宋体" w:eastAsia="宋体" w:cs="Times New Roman"/>
                <w:szCs w:val="21"/>
                <w:lang w:eastAsia="zh-CN"/>
              </w:rPr>
              <w:t xml:space="preserve"> </w:t>
            </w:r>
          </w:p>
          <w:p>
            <w:pPr>
              <w:rPr>
                <w:rFonts w:hint="default" w:eastAsia="宋体"/>
                <w:lang w:val="en-US" w:eastAsia="zh-CN"/>
              </w:rPr>
            </w:pPr>
            <w:r>
              <w:rPr>
                <w:rFonts w:hint="eastAsia" w:ascii="宋体" w:hAnsi="宋体" w:eastAsia="宋体" w:cs="Times New Roman"/>
                <w:color w:val="000000" w:themeColor="text1"/>
                <w:szCs w:val="21"/>
                <w:lang w:val="en-US" w:eastAsia="zh-CN"/>
                <w14:textFill>
                  <w14:solidFill>
                    <w14:schemeClr w14:val="tx1"/>
                  </w14:solidFill>
                </w14:textFill>
              </w:rPr>
              <w:t>监视测量设备：</w:t>
            </w:r>
            <w:r>
              <w:rPr>
                <w:rFonts w:hint="eastAsia"/>
                <w:color w:val="000000" w:themeColor="text1"/>
                <w14:textFill>
                  <w14:solidFill>
                    <w14:schemeClr w14:val="tx1"/>
                  </w14:solidFill>
                </w14:textFill>
              </w:rPr>
              <w:t>标准铂电阻</w:t>
            </w:r>
            <w:r>
              <w:rPr>
                <w:rFonts w:hint="eastAsia"/>
              </w:rPr>
              <w:t>温度计</w:t>
            </w:r>
            <w:r>
              <w:rPr>
                <w:rFonts w:hint="eastAsia"/>
                <w:lang w:eastAsia="zh-CN"/>
              </w:rPr>
              <w:t>、</w:t>
            </w:r>
            <w:r>
              <w:rPr>
                <w:rFonts w:hint="eastAsia"/>
              </w:rPr>
              <w:t>高精度温度显示仪</w:t>
            </w:r>
            <w:r>
              <w:rPr>
                <w:rFonts w:hint="eastAsia"/>
                <w:lang w:eastAsia="zh-CN"/>
              </w:rPr>
              <w:t>、</w:t>
            </w:r>
            <w:r>
              <w:rPr>
                <w:rFonts w:hint="eastAsia"/>
              </w:rPr>
              <w:t xml:space="preserve">热能表检定用恒温槽 </w:t>
            </w:r>
            <w:r>
              <w:rPr>
                <w:rFonts w:hint="eastAsia"/>
                <w:lang w:val="en-US" w:eastAsia="zh-CN"/>
              </w:rPr>
              <w:t>等，提供有检验报告</w:t>
            </w:r>
          </w:p>
          <w:p>
            <w:pPr>
              <w:pStyle w:val="8"/>
              <w:rPr>
                <w:rFonts w:hint="default" w:ascii="宋体" w:hAnsi="宋体"/>
                <w:szCs w:val="21"/>
                <w:lang w:val="en-US" w:eastAsia="zh-CN"/>
              </w:rPr>
            </w:pPr>
          </w:p>
          <w:p>
            <w:pPr>
              <w:tabs>
                <w:tab w:val="left" w:pos="415"/>
              </w:tabs>
              <w:ind w:firstLine="420" w:firstLineChars="200"/>
            </w:pPr>
            <w:r>
              <w:rPr>
                <w:rFonts w:hint="eastAsia"/>
              </w:rPr>
              <w:tab/>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szCs w:val="21"/>
              </w:rPr>
            </w:pPr>
            <w:r>
              <w:rPr>
                <w:rFonts w:hint="eastAsia" w:ascii="宋体" w:hAnsi="宋体" w:cs="宋体"/>
                <w:szCs w:val="21"/>
              </w:rPr>
              <w:t>不符合、纠正预防措施的控制与实施的有效性（Q/E/S）；</w:t>
            </w:r>
          </w:p>
        </w:tc>
        <w:tc>
          <w:tcPr>
            <w:tcW w:w="425" w:type="dxa"/>
          </w:tcPr>
          <w:p/>
        </w:tc>
        <w:tc>
          <w:tcPr>
            <w:tcW w:w="11063"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经过策划，采用对产品的监视和测量，对不合格品控制等来证实产品的符合性。企业通过过程的监视和测量、绩效考核、内审、管理评审等方式和机制，确保质量管理制度有效执行。制定《不合格品控制程序》、《事故、事件、不符合管理程序》和《纠正预防措施控制程序》等，通过分析实际存在的或潜在的不符合的原因，制定纠正和预防措施，并验证其效果，以防止不符合的发生／再发生，实现持续改进绩效的目的。</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对内审中的不符合，采取了纠正措施，并验证；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为保证公司职业健康安全管理体系的有效运行，通过对安全事件的调查处理，以确保管理体系运行的有效性。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经查在公司正常经营活动中，出现了轻微不符合，部门已经采取纠正和纠正措施，经验证纠正措施有效。</w:t>
            </w:r>
          </w:p>
          <w:p>
            <w:pPr>
              <w:ind w:firstLine="420" w:firstLineChars="200"/>
              <w:rPr>
                <w:rFonts w:ascii="宋体" w:hAnsi="宋体"/>
                <w:szCs w:val="21"/>
                <w:lang w:val="zh-CN"/>
              </w:rPr>
            </w:pPr>
            <w:r>
              <w:rPr>
                <w:rFonts w:hint="eastAsia" w:asciiTheme="minorEastAsia" w:hAnsiTheme="minorEastAsia" w:eastAsiaTheme="minorEastAsia" w:cstheme="minorEastAsia"/>
                <w:szCs w:val="21"/>
              </w:rPr>
              <w:t>公司未发生过环境、安全等事故。</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rPr>
                <w:rFonts w:ascii="宋体" w:hAnsi="宋体" w:cs="宋体"/>
                <w:szCs w:val="21"/>
              </w:rPr>
            </w:pPr>
            <w:r>
              <w:rPr>
                <w:rFonts w:hint="eastAsia" w:ascii="宋体" w:hAnsi="宋体"/>
                <w:szCs w:val="21"/>
              </w:rPr>
              <w:t>了解公司危险源的识别、评价和控制情况</w:t>
            </w:r>
          </w:p>
        </w:tc>
        <w:tc>
          <w:tcPr>
            <w:tcW w:w="425" w:type="dxa"/>
          </w:tcPr>
          <w:p/>
        </w:tc>
        <w:tc>
          <w:tcPr>
            <w:tcW w:w="11063" w:type="dxa"/>
          </w:tcPr>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4</w:t>
            </w:r>
            <w:r>
              <w:rPr>
                <w:rFonts w:hint="eastAsia"/>
                <w:szCs w:val="21"/>
              </w:rPr>
              <w:t>项，涉及：火灾、触电、意外伤害</w:t>
            </w:r>
            <w:r>
              <w:rPr>
                <w:rFonts w:hint="eastAsia"/>
                <w:szCs w:val="21"/>
                <w:lang w:eastAsia="zh-CN"/>
              </w:rPr>
              <w:t>、</w:t>
            </w:r>
            <w:r>
              <w:rPr>
                <w:rFonts w:hint="eastAsia"/>
                <w:szCs w:val="21"/>
                <w:lang w:val="en-US" w:eastAsia="zh-CN"/>
              </w:rPr>
              <w:t>机械伤害</w:t>
            </w:r>
            <w:r>
              <w:rPr>
                <w:rFonts w:hint="eastAsia"/>
                <w:szCs w:val="21"/>
              </w:rPr>
              <w:t>。评价符合程序要求及公司的实际情况。对危险源的控制措施包括制定管理制度、监督检查、应急预案、培训等。</w:t>
            </w:r>
          </w:p>
          <w:p>
            <w:pPr>
              <w:ind w:firstLine="420" w:firstLineChars="200"/>
              <w:rPr>
                <w:rFonts w:ascii="宋体" w:hAnsi="宋体"/>
                <w:szCs w:val="21"/>
              </w:rPr>
            </w:pP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0" w:type="dxa"/>
          </w:tcPr>
          <w:p>
            <w:pPr>
              <w:spacing w:line="400" w:lineRule="exact"/>
              <w:rPr>
                <w:rFonts w:ascii="宋体" w:hAnsi="宋体" w:cs="宋体"/>
                <w:szCs w:val="21"/>
              </w:rPr>
            </w:pPr>
            <w:r>
              <w:rPr>
                <w:rFonts w:hint="eastAsia" w:ascii="宋体" w:hAnsi="宋体" w:cs="宋体"/>
                <w:szCs w:val="21"/>
              </w:rPr>
              <w:t>运行控制和应急准备与响应活动的符合性（S）；</w:t>
            </w:r>
          </w:p>
          <w:p>
            <w:pPr>
              <w:rPr>
                <w:rFonts w:ascii="宋体" w:hAnsi="宋体" w:cs="宋体"/>
                <w:szCs w:val="21"/>
              </w:rPr>
            </w:pPr>
          </w:p>
        </w:tc>
        <w:tc>
          <w:tcPr>
            <w:tcW w:w="425" w:type="dxa"/>
          </w:tcPr>
          <w:p/>
        </w:tc>
        <w:tc>
          <w:tcPr>
            <w:tcW w:w="11063" w:type="dxa"/>
          </w:tcPr>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运行控制情况：办公区域内配置的灭火器,在有效期内，</w:t>
            </w:r>
            <w:r>
              <w:rPr>
                <w:rFonts w:hint="eastAsia" w:asciiTheme="minorEastAsia" w:hAnsiTheme="minorEastAsia" w:eastAsiaTheme="minorEastAsia" w:cstheme="minorEastAsia"/>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spacing w:line="400" w:lineRule="exact"/>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提供有</w:t>
            </w:r>
            <w:r>
              <w:rPr>
                <w:rFonts w:hint="eastAsia" w:asciiTheme="minorEastAsia" w:hAnsiTheme="minorEastAsia" w:eastAsiaTheme="minorEastAsia" w:cstheme="minorEastAsia"/>
                <w:szCs w:val="21"/>
                <w:lang w:val="en-US" w:eastAsia="zh-CN"/>
              </w:rPr>
              <w:t>员工</w:t>
            </w:r>
            <w:r>
              <w:rPr>
                <w:rFonts w:hint="eastAsia" w:asciiTheme="minorEastAsia" w:hAnsiTheme="minorEastAsia" w:eastAsiaTheme="minorEastAsia" w:cstheme="minorEastAsia"/>
                <w:szCs w:val="21"/>
                <w:lang w:val="en-GB"/>
              </w:rPr>
              <w:t>的体检证明。体检结果，健康，</w:t>
            </w:r>
          </w:p>
          <w:p>
            <w:pPr>
              <w:spacing w:line="400" w:lineRule="exact"/>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提供有社保缴费证明，</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驾驶员要求遵守道路交通安全法，不违章驾车，驾驶证和车辆定期年审，确保行车安全。</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查到</w:t>
            </w:r>
            <w:r>
              <w:rPr>
                <w:rFonts w:hint="eastAsia" w:asciiTheme="minorEastAsia" w:hAnsiTheme="minorEastAsia" w:eastAsiaTheme="minorEastAsia" w:cstheme="minorEastAsia"/>
                <w:szCs w:val="21"/>
                <w:lang w:val="en-GB"/>
              </w:rPr>
              <w:t xml:space="preserve">《应急准备与响应控制程序 》，及《应急预案 》包含有事件级别及不同级别事件的处理程序、事件处理组织机构及职责分工、通用及特殊处理程序、各岗位要求等。具有可操作性。编制：综合部   </w:t>
            </w:r>
          </w:p>
          <w:p>
            <w:pPr>
              <w:ind w:firstLine="420" w:firstLineChars="200"/>
              <w:rPr>
                <w:rFonts w:asciiTheme="minorEastAsia" w:hAnsiTheme="minorEastAsia" w:eastAsiaTheme="minorEastAsia" w:cstheme="minorEastAsia"/>
                <w:szCs w:val="21"/>
                <w:lang w:val="en-GB"/>
              </w:rPr>
            </w:pPr>
            <w:r>
              <w:t xml:space="preserve"> </w:t>
            </w:r>
            <w:r>
              <w:rPr>
                <w:rFonts w:hint="eastAsia" w:asciiTheme="minorEastAsia" w:hAnsiTheme="minorEastAsia" w:eastAsiaTheme="minorEastAsia" w:cstheme="minorEastAsia"/>
                <w:szCs w:val="21"/>
                <w:lang w:val="en-GB"/>
              </w:rPr>
              <w:t>时间：</w:t>
            </w:r>
            <w:r>
              <w:rPr>
                <w:rFonts w:hint="eastAsia" w:cs="Lucida Sans"/>
              </w:rPr>
              <w:t>2020年0</w:t>
            </w:r>
            <w:r>
              <w:rPr>
                <w:rFonts w:hint="eastAsia" w:cs="Lucida Sans"/>
                <w:lang w:val="en-US" w:eastAsia="zh-CN"/>
              </w:rPr>
              <w:t>8</w:t>
            </w:r>
            <w:r>
              <w:rPr>
                <w:rFonts w:hint="eastAsia" w:cs="Lucida Sans"/>
              </w:rPr>
              <w:t>月10日</w:t>
            </w:r>
          </w:p>
          <w:p>
            <w:pPr>
              <w:spacing w:line="400" w:lineRule="exact"/>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抽查消防安全应急预案演练记录</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bCs/>
                <w:szCs w:val="21"/>
              </w:rPr>
              <w:t xml:space="preserve"> </w:t>
            </w:r>
            <w:r>
              <w:rPr>
                <w:rFonts w:hint="eastAsia" w:ascii="宋体" w:hAnsi="宋体" w:cs="宋体"/>
                <w:bCs/>
                <w:color w:val="000000"/>
                <w:szCs w:val="21"/>
              </w:rPr>
              <w:t>详见二阶段记录</w:t>
            </w:r>
            <w:bookmarkStart w:id="5" w:name="_GoBack"/>
            <w:bookmarkEnd w:id="5"/>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2160" w:type="dxa"/>
          </w:tcPr>
          <w:p>
            <w:pPr>
              <w:rPr>
                <w:rFonts w:ascii="宋体" w:hAnsi="宋体" w:cs="宋体"/>
                <w:szCs w:val="21"/>
              </w:rPr>
            </w:pPr>
          </w:p>
        </w:tc>
        <w:tc>
          <w:tcPr>
            <w:tcW w:w="425" w:type="dxa"/>
          </w:tcPr>
          <w:p/>
        </w:tc>
        <w:tc>
          <w:tcPr>
            <w:tcW w:w="11063" w:type="dxa"/>
          </w:tcPr>
          <w:p>
            <w:pPr>
              <w:spacing w:line="400" w:lineRule="exact"/>
              <w:rPr>
                <w:rFonts w:ascii="宋体" w:hAnsi="宋体"/>
                <w:szCs w:val="21"/>
              </w:rPr>
            </w:pPr>
            <w:r>
              <w:rPr>
                <w:rFonts w:hint="eastAsia" w:ascii="宋体" w:hAnsi="宋体"/>
                <w:szCs w:val="21"/>
              </w:rPr>
              <w:t>该公司无员工宿舍和食堂，办公环境适宜，无异常。</w:t>
            </w:r>
          </w:p>
          <w:p>
            <w:pPr>
              <w:spacing w:line="400" w:lineRule="exact"/>
              <w:ind w:firstLine="420" w:firstLineChars="200"/>
              <w:rPr>
                <w:rFonts w:ascii="宋体" w:hAnsi="宋体"/>
                <w:szCs w:val="21"/>
              </w:rPr>
            </w:pPr>
            <w:r>
              <w:rPr>
                <w:rFonts w:hint="eastAsia" w:ascii="宋体" w:hAnsi="宋体"/>
                <w:szCs w:val="21"/>
              </w:rPr>
              <w:t>危险源：办公区域危险源主要是安全标识不清、电器设备漏电等，均安排专人检查，及时改善，更换危险的电器设备。财务部室外装有摄像头，室内有保险柜，防盗门等安全措施。</w:t>
            </w:r>
          </w:p>
          <w:p>
            <w:pPr>
              <w:spacing w:line="400" w:lineRule="exact"/>
              <w:ind w:firstLine="420" w:firstLineChars="200"/>
            </w:pPr>
            <w:r>
              <w:rPr>
                <w:rFonts w:hint="eastAsia" w:ascii="宋体" w:hAnsi="宋体"/>
                <w:szCs w:val="21"/>
                <w:lang w:val="zh-CN"/>
              </w:rPr>
              <w:t>二阶段细查。</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tcPr>
          <w:p>
            <w:pPr>
              <w:rPr>
                <w:rFonts w:ascii="宋体" w:hAnsi="宋体" w:cs="宋体"/>
                <w:szCs w:val="21"/>
              </w:rPr>
            </w:pPr>
            <w:r>
              <w:rPr>
                <w:rFonts w:hint="eastAsia" w:ascii="宋体" w:hAnsi="宋体" w:cs="宋体"/>
                <w:bCs/>
                <w:szCs w:val="21"/>
              </w:rPr>
              <w:t>近两年公司里管理服务环境和安全等是否有违规被处罚、曝光情况；</w:t>
            </w:r>
          </w:p>
        </w:tc>
        <w:tc>
          <w:tcPr>
            <w:tcW w:w="425" w:type="dxa"/>
          </w:tcPr>
          <w:p/>
        </w:tc>
        <w:tc>
          <w:tcPr>
            <w:tcW w:w="11063" w:type="dxa"/>
          </w:tcPr>
          <w:p>
            <w:pPr>
              <w:spacing w:line="400" w:lineRule="exact"/>
              <w:ind w:firstLine="420" w:firstLineChars="200"/>
              <w:rPr>
                <w:rFonts w:ascii="宋体" w:hAnsi="宋体"/>
                <w:szCs w:val="21"/>
                <w:lang w:val="zh-CN"/>
              </w:rPr>
            </w:pPr>
            <w:r>
              <w:rPr>
                <w:rFonts w:hint="eastAsia" w:ascii="宋体" w:hAnsi="宋体"/>
                <w:szCs w:val="21"/>
              </w:rPr>
              <w:t>经查，</w:t>
            </w:r>
            <w:r>
              <w:rPr>
                <w:rFonts w:hint="eastAsia" w:ascii="宋体" w:hAnsi="宋体"/>
                <w:szCs w:val="21"/>
                <w:lang w:val="zh-CN"/>
              </w:rPr>
              <w:t>近两年</w:t>
            </w:r>
            <w:r>
              <w:rPr>
                <w:rFonts w:hint="eastAsia" w:ascii="宋体" w:hAnsi="宋体"/>
                <w:szCs w:val="21"/>
              </w:rPr>
              <w:t>没有发生</w:t>
            </w:r>
            <w:r>
              <w:rPr>
                <w:rFonts w:hint="eastAsia" w:ascii="宋体" w:hAnsi="宋体"/>
                <w:szCs w:val="21"/>
                <w:lang w:val="zh-CN"/>
              </w:rPr>
              <w:t>生产制造的环境和安全等是否有违规被处罚、曝光情况。</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是否具备二阶段审核结论</w:t>
            </w:r>
          </w:p>
          <w:p>
            <w:pPr>
              <w:tabs>
                <w:tab w:val="left" w:pos="7380"/>
              </w:tabs>
              <w:rPr>
                <w:rFonts w:hint="eastAsia" w:ascii="宋体" w:hAnsi="宋体" w:eastAsia="宋体" w:cs="Tahoma"/>
                <w:szCs w:val="21"/>
                <w:lang w:val="en-US" w:eastAsia="zh-CN"/>
              </w:rPr>
            </w:pPr>
          </w:p>
          <w:p>
            <w:pPr>
              <w:tabs>
                <w:tab w:val="left" w:pos="7380"/>
              </w:tabs>
              <w:rPr>
                <w:rFonts w:hint="eastAsia" w:ascii="宋体" w:hAnsi="宋体" w:eastAsia="宋体" w:cs="Tahoma"/>
                <w:kern w:val="2"/>
                <w:sz w:val="21"/>
                <w:szCs w:val="21"/>
                <w:lang w:val="en-US" w:eastAsia="zh-CN" w:bidi="ar-SA"/>
              </w:rPr>
            </w:pPr>
            <w:r>
              <w:rPr>
                <w:rFonts w:hint="eastAsia" w:ascii="宋体" w:hAnsi="宋体" w:eastAsia="宋体" w:cs="Tahoma"/>
                <w:szCs w:val="21"/>
                <w:lang w:val="en-US" w:eastAsia="zh-CN"/>
              </w:rPr>
              <w:t>第二阶段重要审核点等相关内容</w:t>
            </w:r>
          </w:p>
        </w:tc>
        <w:tc>
          <w:tcPr>
            <w:tcW w:w="425" w:type="dxa"/>
            <w:vAlign w:val="top"/>
          </w:tcPr>
          <w:p>
            <w:pPr>
              <w:tabs>
                <w:tab w:val="left" w:pos="7380"/>
              </w:tabs>
              <w:rPr>
                <w:rFonts w:hint="eastAsia" w:ascii="宋体" w:hAnsi="宋体" w:eastAsia="宋体" w:cs="Tahoma"/>
                <w:kern w:val="2"/>
                <w:sz w:val="21"/>
                <w:szCs w:val="21"/>
                <w:lang w:val="en-US" w:eastAsia="zh-CN" w:bidi="ar-SA"/>
              </w:rPr>
            </w:pPr>
          </w:p>
        </w:tc>
        <w:tc>
          <w:tcPr>
            <w:tcW w:w="11063"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通过一阶段对受审核方的管理、生产及设计开发巡视和观察，对管理体系绩效要求有重大影响的过程、活动、场所和现场运行进行观察、巡视及总体性评价，组织具备二阶段审核条件，可进行二阶段审核。</w:t>
            </w:r>
          </w:p>
          <w:p>
            <w:pPr>
              <w:tabs>
                <w:tab w:val="left" w:pos="7380"/>
              </w:tabs>
              <w:rPr>
                <w:rFonts w:hint="eastAsia" w:ascii="宋体" w:hAnsi="宋体" w:eastAsia="宋体" w:cs="Tahoma"/>
                <w:szCs w:val="21"/>
                <w:lang w:val="en-US" w:eastAsia="zh-CN"/>
              </w:rPr>
            </w:pP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二阶段重点审核：</w:t>
            </w:r>
          </w:p>
          <w:p>
            <w:pPr>
              <w:pStyle w:val="8"/>
              <w:rPr>
                <w:rFonts w:hint="default"/>
                <w:lang w:val="en-US" w:eastAsia="zh-CN"/>
              </w:rPr>
            </w:pPr>
            <w:r>
              <w:rPr>
                <w:rFonts w:hint="eastAsia" w:ascii="宋体" w:hAnsi="宋体" w:cs="Tahoma"/>
                <w:szCs w:val="21"/>
                <w:lang w:val="en-US" w:eastAsia="zh-CN"/>
              </w:rPr>
              <w:t>O:危险源辨识、不可接受风险识别及管理方案、</w:t>
            </w:r>
            <w:r>
              <w:rPr>
                <w:rFonts w:hint="eastAsia" w:ascii="宋体" w:hAnsi="宋体" w:eastAsia="宋体" w:cs="Tahoma"/>
                <w:szCs w:val="21"/>
                <w:lang w:val="en-US" w:eastAsia="zh-CN"/>
              </w:rPr>
              <w:t>相关方的信息沟通、应急准备和响应控制措施等</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重点审核部门：</w:t>
            </w:r>
            <w:r>
              <w:rPr>
                <w:rFonts w:hint="eastAsia" w:eastAsia="宋体"/>
                <w:lang w:val="en-US" w:eastAsia="zh-CN"/>
              </w:rPr>
              <w:t>生产部</w:t>
            </w:r>
            <w:r>
              <w:rPr>
                <w:rFonts w:hint="eastAsia"/>
              </w:rPr>
              <w:t xml:space="preserve">  </w:t>
            </w:r>
            <w:r>
              <w:rPr>
                <w:rFonts w:hint="eastAsia"/>
                <w:lang w:val="en-US" w:eastAsia="zh-CN"/>
              </w:rPr>
              <w:t>技术部</w:t>
            </w:r>
            <w:r>
              <w:rPr>
                <w:rFonts w:hint="eastAsia"/>
              </w:rPr>
              <w:t xml:space="preserve">  </w:t>
            </w:r>
            <w:r>
              <w:rPr>
                <w:rFonts w:hint="eastAsia"/>
                <w:lang w:val="en-US" w:eastAsia="zh-CN"/>
              </w:rPr>
              <w:t>综合部</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重点审核过程：风险识别评价、运行过程、监视和测量、不符合控制、合规性评价等。</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重点审核场所：生产场所、设计开发场所、办公场所。</w:t>
            </w:r>
          </w:p>
          <w:p>
            <w:pPr>
              <w:tabs>
                <w:tab w:val="left" w:pos="7380"/>
              </w:tabs>
              <w:rPr>
                <w:rFonts w:hint="default" w:ascii="宋体" w:hAnsi="宋体" w:eastAsia="宋体" w:cs="Tahoma"/>
                <w:kern w:val="2"/>
                <w:sz w:val="21"/>
                <w:szCs w:val="21"/>
                <w:lang w:val="en-US" w:eastAsia="zh-CN" w:bidi="ar-SA"/>
              </w:rPr>
            </w:pPr>
            <w:r>
              <w:rPr>
                <w:rFonts w:hint="eastAsia" w:ascii="宋体" w:hAnsi="宋体" w:eastAsia="宋体" w:cs="Tahoma"/>
                <w:szCs w:val="21"/>
                <w:lang w:val="en-US" w:eastAsia="zh-CN"/>
              </w:rPr>
              <w:t>审核时间：2020.</w:t>
            </w:r>
            <w:r>
              <w:rPr>
                <w:rFonts w:hint="eastAsia" w:ascii="宋体" w:hAnsi="宋体" w:cs="Tahoma"/>
                <w:szCs w:val="21"/>
                <w:lang w:val="en-US" w:eastAsia="zh-CN"/>
              </w:rPr>
              <w:t>12.19-21</w:t>
            </w:r>
          </w:p>
        </w:tc>
        <w:tc>
          <w:tcPr>
            <w:tcW w:w="1061" w:type="dxa"/>
          </w:tc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7ACCB"/>
    <w:multiLevelType w:val="singleLevel"/>
    <w:tmpl w:val="8E57ACCB"/>
    <w:lvl w:ilvl="0" w:tentative="0">
      <w:start w:val="1"/>
      <w:numFmt w:val="lowerLetter"/>
      <w:lvlText w:val="%1)"/>
      <w:lvlJc w:val="left"/>
      <w:pPr>
        <w:tabs>
          <w:tab w:val="left" w:pos="312"/>
        </w:tabs>
      </w:pPr>
    </w:lvl>
  </w:abstractNum>
  <w:abstractNum w:abstractNumId="1">
    <w:nsid w:val="901E1307"/>
    <w:multiLevelType w:val="singleLevel"/>
    <w:tmpl w:val="901E1307"/>
    <w:lvl w:ilvl="0" w:tentative="0">
      <w:start w:val="3"/>
      <w:numFmt w:val="chineseCounting"/>
      <w:suff w:val="nothing"/>
      <w:lvlText w:val="%1、"/>
      <w:lvlJc w:val="left"/>
      <w:rPr>
        <w:rFonts w:hint="eastAsia"/>
      </w:rPr>
    </w:lvl>
  </w:abstractNum>
  <w:abstractNum w:abstractNumId="2">
    <w:nsid w:val="398FFAE9"/>
    <w:multiLevelType w:val="singleLevel"/>
    <w:tmpl w:val="398FFAE9"/>
    <w:lvl w:ilvl="0" w:tentative="0">
      <w:start w:val="1"/>
      <w:numFmt w:val="chineseCounting"/>
      <w:suff w:val="nothing"/>
      <w:lvlText w:val="%1，"/>
      <w:lvlJc w:val="left"/>
      <w:rPr>
        <w:rFonts w:hint="eastAsia"/>
      </w:rPr>
    </w:lvl>
  </w:abstractNum>
  <w:abstractNum w:abstractNumId="3">
    <w:nsid w:val="5A6A4FD1"/>
    <w:multiLevelType w:val="singleLevel"/>
    <w:tmpl w:val="5A6A4FD1"/>
    <w:lvl w:ilvl="0" w:tentative="0">
      <w:start w:val="1"/>
      <w:numFmt w:val="decimal"/>
      <w:suff w:val="nothing"/>
      <w:lvlText w:val="%1、"/>
      <w:lvlJc w:val="left"/>
    </w:lvl>
  </w:abstractNum>
  <w:abstractNum w:abstractNumId="4">
    <w:nsid w:val="77443122"/>
    <w:multiLevelType w:val="singleLevel"/>
    <w:tmpl w:val="77443122"/>
    <w:lvl w:ilvl="0" w:tentative="0">
      <w:start w:val="7"/>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1D38"/>
    <w:rsid w:val="0003373A"/>
    <w:rsid w:val="00056413"/>
    <w:rsid w:val="000721DC"/>
    <w:rsid w:val="000B049F"/>
    <w:rsid w:val="000F4DCE"/>
    <w:rsid w:val="00105451"/>
    <w:rsid w:val="001348C9"/>
    <w:rsid w:val="00152F99"/>
    <w:rsid w:val="001626F1"/>
    <w:rsid w:val="00162831"/>
    <w:rsid w:val="00180C1F"/>
    <w:rsid w:val="001864C7"/>
    <w:rsid w:val="001A2D7F"/>
    <w:rsid w:val="001F557B"/>
    <w:rsid w:val="001F570B"/>
    <w:rsid w:val="00207719"/>
    <w:rsid w:val="00234147"/>
    <w:rsid w:val="002763D0"/>
    <w:rsid w:val="002A3289"/>
    <w:rsid w:val="00337922"/>
    <w:rsid w:val="00340867"/>
    <w:rsid w:val="00342E11"/>
    <w:rsid w:val="00377A70"/>
    <w:rsid w:val="00380837"/>
    <w:rsid w:val="003E456A"/>
    <w:rsid w:val="003E5D09"/>
    <w:rsid w:val="00407778"/>
    <w:rsid w:val="00410914"/>
    <w:rsid w:val="0043217F"/>
    <w:rsid w:val="004803CD"/>
    <w:rsid w:val="00491D64"/>
    <w:rsid w:val="004B3BA2"/>
    <w:rsid w:val="004B5C10"/>
    <w:rsid w:val="004F6CF4"/>
    <w:rsid w:val="00521B15"/>
    <w:rsid w:val="00536930"/>
    <w:rsid w:val="00564E53"/>
    <w:rsid w:val="005F0D5C"/>
    <w:rsid w:val="00644FE2"/>
    <w:rsid w:val="0067107F"/>
    <w:rsid w:val="0067640C"/>
    <w:rsid w:val="006E678B"/>
    <w:rsid w:val="007757F3"/>
    <w:rsid w:val="007E34EF"/>
    <w:rsid w:val="007E6AEB"/>
    <w:rsid w:val="00820434"/>
    <w:rsid w:val="008204C1"/>
    <w:rsid w:val="008870AB"/>
    <w:rsid w:val="00892097"/>
    <w:rsid w:val="008973EE"/>
    <w:rsid w:val="008D4A76"/>
    <w:rsid w:val="00917FB8"/>
    <w:rsid w:val="00971600"/>
    <w:rsid w:val="009973B4"/>
    <w:rsid w:val="009F0A1E"/>
    <w:rsid w:val="009F7804"/>
    <w:rsid w:val="009F7EED"/>
    <w:rsid w:val="00A72519"/>
    <w:rsid w:val="00A97AA2"/>
    <w:rsid w:val="00AB6679"/>
    <w:rsid w:val="00AC766E"/>
    <w:rsid w:val="00AD2399"/>
    <w:rsid w:val="00AF0AAB"/>
    <w:rsid w:val="00B93DBA"/>
    <w:rsid w:val="00BC009D"/>
    <w:rsid w:val="00BE12EA"/>
    <w:rsid w:val="00BF597E"/>
    <w:rsid w:val="00C51A36"/>
    <w:rsid w:val="00C55228"/>
    <w:rsid w:val="00C81A4B"/>
    <w:rsid w:val="00CE315A"/>
    <w:rsid w:val="00D02E43"/>
    <w:rsid w:val="00D06F59"/>
    <w:rsid w:val="00D50C26"/>
    <w:rsid w:val="00D8388C"/>
    <w:rsid w:val="00DE064B"/>
    <w:rsid w:val="00DE6976"/>
    <w:rsid w:val="00DF6D84"/>
    <w:rsid w:val="00E13F22"/>
    <w:rsid w:val="00EB0164"/>
    <w:rsid w:val="00ED0F62"/>
    <w:rsid w:val="00ED17B0"/>
    <w:rsid w:val="00ED7671"/>
    <w:rsid w:val="00F15B45"/>
    <w:rsid w:val="00F22C39"/>
    <w:rsid w:val="00FA15D5"/>
    <w:rsid w:val="00FD6215"/>
    <w:rsid w:val="00FE736F"/>
    <w:rsid w:val="0112049F"/>
    <w:rsid w:val="01E86ADF"/>
    <w:rsid w:val="02471F32"/>
    <w:rsid w:val="02D62DAF"/>
    <w:rsid w:val="032D41CE"/>
    <w:rsid w:val="034F5360"/>
    <w:rsid w:val="03B4713C"/>
    <w:rsid w:val="045B727D"/>
    <w:rsid w:val="05574559"/>
    <w:rsid w:val="064D1A4F"/>
    <w:rsid w:val="06FF140F"/>
    <w:rsid w:val="08020A1A"/>
    <w:rsid w:val="09616EA2"/>
    <w:rsid w:val="097A79AF"/>
    <w:rsid w:val="09C63592"/>
    <w:rsid w:val="0A8A08B3"/>
    <w:rsid w:val="0AC26DEC"/>
    <w:rsid w:val="0BF45F0C"/>
    <w:rsid w:val="0C0E2924"/>
    <w:rsid w:val="0C57649D"/>
    <w:rsid w:val="0D287F2B"/>
    <w:rsid w:val="0D4C4241"/>
    <w:rsid w:val="0D610903"/>
    <w:rsid w:val="0DAF18F2"/>
    <w:rsid w:val="10273980"/>
    <w:rsid w:val="108219C2"/>
    <w:rsid w:val="108B5ACB"/>
    <w:rsid w:val="1110240E"/>
    <w:rsid w:val="11370FA2"/>
    <w:rsid w:val="11A1366E"/>
    <w:rsid w:val="11EE3B56"/>
    <w:rsid w:val="123A37D5"/>
    <w:rsid w:val="12671076"/>
    <w:rsid w:val="12DA704D"/>
    <w:rsid w:val="14670DE6"/>
    <w:rsid w:val="14914362"/>
    <w:rsid w:val="16C50018"/>
    <w:rsid w:val="16ED1FFF"/>
    <w:rsid w:val="181053A5"/>
    <w:rsid w:val="18841694"/>
    <w:rsid w:val="1A29370E"/>
    <w:rsid w:val="1AF26115"/>
    <w:rsid w:val="1BE235E4"/>
    <w:rsid w:val="1C6C7552"/>
    <w:rsid w:val="1C84646C"/>
    <w:rsid w:val="1D62714A"/>
    <w:rsid w:val="1D6A3220"/>
    <w:rsid w:val="1E140045"/>
    <w:rsid w:val="1FCD3036"/>
    <w:rsid w:val="20EA40BF"/>
    <w:rsid w:val="21A1160E"/>
    <w:rsid w:val="238F24A8"/>
    <w:rsid w:val="23F37A05"/>
    <w:rsid w:val="246D3A6B"/>
    <w:rsid w:val="24817691"/>
    <w:rsid w:val="24B1474B"/>
    <w:rsid w:val="256E2769"/>
    <w:rsid w:val="25DE41C1"/>
    <w:rsid w:val="272A38A8"/>
    <w:rsid w:val="28886DB8"/>
    <w:rsid w:val="288C6B78"/>
    <w:rsid w:val="29AC4420"/>
    <w:rsid w:val="2ABB275D"/>
    <w:rsid w:val="2AF04A37"/>
    <w:rsid w:val="2BF0428A"/>
    <w:rsid w:val="2CDB7450"/>
    <w:rsid w:val="2CF63DA1"/>
    <w:rsid w:val="2D3B0381"/>
    <w:rsid w:val="2D804B65"/>
    <w:rsid w:val="2FFC2363"/>
    <w:rsid w:val="31131BF3"/>
    <w:rsid w:val="314800EE"/>
    <w:rsid w:val="327E23D6"/>
    <w:rsid w:val="33D76529"/>
    <w:rsid w:val="33F77A52"/>
    <w:rsid w:val="34914A65"/>
    <w:rsid w:val="36DD1450"/>
    <w:rsid w:val="37B811B1"/>
    <w:rsid w:val="38F37997"/>
    <w:rsid w:val="39544057"/>
    <w:rsid w:val="39B13010"/>
    <w:rsid w:val="3A783CDD"/>
    <w:rsid w:val="3C342E3A"/>
    <w:rsid w:val="3E6C4DAB"/>
    <w:rsid w:val="41880D6C"/>
    <w:rsid w:val="41E87CC6"/>
    <w:rsid w:val="42CC3460"/>
    <w:rsid w:val="435D2F7B"/>
    <w:rsid w:val="44A05C3C"/>
    <w:rsid w:val="44C461B5"/>
    <w:rsid w:val="465052DF"/>
    <w:rsid w:val="46660FDC"/>
    <w:rsid w:val="47011C21"/>
    <w:rsid w:val="48446D17"/>
    <w:rsid w:val="48945FE5"/>
    <w:rsid w:val="49B57DF5"/>
    <w:rsid w:val="49D3753E"/>
    <w:rsid w:val="4ADB03B6"/>
    <w:rsid w:val="4B014AF0"/>
    <w:rsid w:val="4BF16B09"/>
    <w:rsid w:val="4DA6597F"/>
    <w:rsid w:val="4E9571BC"/>
    <w:rsid w:val="4EB57A7E"/>
    <w:rsid w:val="501A2BC1"/>
    <w:rsid w:val="504F78CE"/>
    <w:rsid w:val="50554871"/>
    <w:rsid w:val="507A55CF"/>
    <w:rsid w:val="50A84121"/>
    <w:rsid w:val="532F3E38"/>
    <w:rsid w:val="53E45CD9"/>
    <w:rsid w:val="55422A42"/>
    <w:rsid w:val="55EF48D9"/>
    <w:rsid w:val="56212E46"/>
    <w:rsid w:val="56290ECA"/>
    <w:rsid w:val="56453B17"/>
    <w:rsid w:val="56E52FB2"/>
    <w:rsid w:val="56FC6DD2"/>
    <w:rsid w:val="57F6787C"/>
    <w:rsid w:val="58C00CA7"/>
    <w:rsid w:val="59A066B4"/>
    <w:rsid w:val="5A6B59F2"/>
    <w:rsid w:val="5CC63670"/>
    <w:rsid w:val="5D31608C"/>
    <w:rsid w:val="5DDB20A9"/>
    <w:rsid w:val="5DED1225"/>
    <w:rsid w:val="5EA12B9A"/>
    <w:rsid w:val="5F972E7D"/>
    <w:rsid w:val="61160F0A"/>
    <w:rsid w:val="6125709D"/>
    <w:rsid w:val="617848A5"/>
    <w:rsid w:val="627C58DE"/>
    <w:rsid w:val="6306465F"/>
    <w:rsid w:val="63263694"/>
    <w:rsid w:val="63354D36"/>
    <w:rsid w:val="64EE2C0D"/>
    <w:rsid w:val="659325D0"/>
    <w:rsid w:val="65AA3A0D"/>
    <w:rsid w:val="660233BE"/>
    <w:rsid w:val="686D34B0"/>
    <w:rsid w:val="69192091"/>
    <w:rsid w:val="69195B4D"/>
    <w:rsid w:val="693D36AD"/>
    <w:rsid w:val="6B327BA0"/>
    <w:rsid w:val="6B8504A3"/>
    <w:rsid w:val="6B885EA2"/>
    <w:rsid w:val="6D186A1C"/>
    <w:rsid w:val="6D4C475B"/>
    <w:rsid w:val="6D543100"/>
    <w:rsid w:val="6DE03A86"/>
    <w:rsid w:val="6E5272ED"/>
    <w:rsid w:val="6FA52CA9"/>
    <w:rsid w:val="719329E2"/>
    <w:rsid w:val="72842BB6"/>
    <w:rsid w:val="730E3127"/>
    <w:rsid w:val="73A249E4"/>
    <w:rsid w:val="757F5514"/>
    <w:rsid w:val="77A73786"/>
    <w:rsid w:val="77DD3A5A"/>
    <w:rsid w:val="7AB96E14"/>
    <w:rsid w:val="7B0C184B"/>
    <w:rsid w:val="7C7B2584"/>
    <w:rsid w:val="7EDE1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2"/>
    <w:qFormat/>
    <w:uiPriority w:val="99"/>
    <w:rPr>
      <w:rFonts w:ascii="Times New Roman" w:hAnsi="Times New Roman" w:eastAsia="宋体" w:cs="Times New Roman"/>
      <w:sz w:val="18"/>
      <w:szCs w:val="18"/>
    </w:rPr>
  </w:style>
  <w:style w:type="character" w:customStyle="1" w:styleId="10">
    <w:name w:val="页脚 字符"/>
    <w:basedOn w:val="7"/>
    <w:link w:val="5"/>
    <w:qFormat/>
    <w:uiPriority w:val="99"/>
    <w:rPr>
      <w:rFonts w:ascii="Times New Roman" w:hAnsi="Times New Roman" w:eastAsia="宋体" w:cs="Times New Roman"/>
      <w:sz w:val="18"/>
      <w:szCs w:val="18"/>
    </w:rPr>
  </w:style>
  <w:style w:type="character" w:customStyle="1" w:styleId="11">
    <w:name w:val="批注框文本 字符"/>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Char Char"/>
    <w:qFormat/>
    <w:uiPriority w:val="0"/>
    <w:rPr>
      <w:rFonts w:eastAsia="宋体"/>
      <w:kern w:val="2"/>
      <w:sz w:val="18"/>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733</Words>
  <Characters>4181</Characters>
  <Lines>34</Lines>
  <Paragraphs>9</Paragraphs>
  <TotalTime>3</TotalTime>
  <ScaleCrop>false</ScaleCrop>
  <LinksUpToDate>false</LinksUpToDate>
  <CharactersWithSpaces>4905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2020-12-22T06:43:57Z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