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北京德宝豪特能源科技有限公司</w:t>
      </w:r>
      <w:bookmarkEnd w:id="0"/>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hint="eastAsia" w:ascii="楷体" w:hAnsi="楷体" w:eastAsia="楷体_GB2312"/>
          <w:b/>
          <w:color w:val="000000" w:themeColor="text1"/>
          <w:sz w:val="32"/>
          <w:szCs w:val="32"/>
          <w:lang w:val="en-US" w:eastAsia="zh-CN"/>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r>
        <w:rPr>
          <w:rFonts w:hint="eastAsia" w:ascii="楷体" w:hAnsi="楷体" w:eastAsia="楷体"/>
          <w:b/>
          <w:color w:val="000000"/>
          <w:sz w:val="32"/>
          <w:szCs w:val="32"/>
        </w:rPr>
        <w:t>（</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r>
        <w:rPr>
          <w:rFonts w:hint="eastAsia" w:ascii="楷体" w:hAnsi="楷体" w:eastAsia="楷体"/>
          <w:b/>
          <w:color w:val="000000"/>
          <w:sz w:val="32"/>
          <w:szCs w:val="32"/>
        </w:rPr>
        <w:t>（</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4" w:afterLines="30"/>
        <w:ind w:firstLine="957" w:firstLineChars="298"/>
        <w:rPr>
          <w:rFonts w:ascii="楷体" w:hAnsi="楷体" w:eastAsia="楷体"/>
          <w:b/>
          <w:color w:val="000000" w:themeColor="text1"/>
          <w:sz w:val="32"/>
          <w:szCs w:val="32"/>
        </w:rPr>
      </w:pP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Q:19.05.01,33.02.01,34.05.00,34.06.00</w:t>
            </w:r>
          </w:p>
          <w:p>
            <w:pPr>
              <w:spacing w:line="240" w:lineRule="exact"/>
              <w:jc w:val="center"/>
              <w:rPr>
                <w:b/>
                <w:color w:val="000000" w:themeColor="text1"/>
                <w:sz w:val="20"/>
                <w:szCs w:val="20"/>
              </w:rPr>
            </w:pPr>
            <w:r>
              <w:rPr>
                <w:b/>
                <w:color w:val="000000" w:themeColor="text1"/>
                <w:sz w:val="20"/>
                <w:szCs w:val="20"/>
              </w:rPr>
              <w:t>E:19.05.01,33.02.01,34.05.00,34.06.00</w:t>
            </w:r>
          </w:p>
          <w:p>
            <w:pPr>
              <w:spacing w:line="240" w:lineRule="exact"/>
              <w:jc w:val="center"/>
              <w:rPr>
                <w:b/>
                <w:color w:val="000000" w:themeColor="text1"/>
                <w:sz w:val="20"/>
                <w:szCs w:val="20"/>
              </w:rPr>
            </w:pPr>
            <w:r>
              <w:rPr>
                <w:b/>
                <w:color w:val="000000" w:themeColor="text1"/>
                <w:sz w:val="20"/>
                <w:szCs w:val="20"/>
              </w:rPr>
              <w:t>O:19.05.01,33.02.01,34.05.00,34.06.00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北京德宝豪特能源科技有限公司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北京市海淀区上地十街1号院4号楼10层1012</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北京市昌平区沙河镇昌平路97号5幢C门402（昌平示范园）</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曹瑞新</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18001023423</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张礼祥</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5" w:name="最高管理者"/>
            <w:bookmarkEnd w:id="5"/>
            <w:r>
              <w:rPr>
                <w:rFonts w:ascii="宋体" w:hAnsi="宋体"/>
                <w:b/>
                <w:color w:val="000000" w:themeColor="text1"/>
                <w:sz w:val="20"/>
                <w:szCs w:val="20"/>
              </w:rPr>
              <w:t>张礼祥</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曹瑞新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6" w:name="审核范围"/>
            <w:r>
              <w:rPr>
                <w:rFonts w:ascii="宋体" w:hAnsi="宋体"/>
                <w:b/>
                <w:color w:val="000000" w:themeColor="text1"/>
                <w:sz w:val="20"/>
                <w:szCs w:val="20"/>
              </w:rPr>
              <w:t>Q：型式批准范围内超声波式热量表的开发和生产(仅限北京德宝豪特能源科技有限公司昌平分公司经营)及相关技术服务;供热管理系统（管理系统软件、抄表器、集中器、采集器）的开发及相关技术服务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型式批准范围内超声波式热量表的开发和生产(仅限北京德宝豪特能源科技有限公司昌平分公司经营)及相关技术服务;供热管理系统（管理系统软件、抄表器、集中器、采集器）的开发及相关技术服务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w:t>
            </w:r>
            <w:bookmarkEnd w:id="6"/>
            <w:r>
              <w:rPr>
                <w:rFonts w:ascii="宋体" w:hAnsi="宋体"/>
                <w:b/>
                <w:color w:val="000000" w:themeColor="text1"/>
                <w:sz w:val="20"/>
                <w:szCs w:val="20"/>
              </w:rPr>
              <w:t>型式批准范围内超声波式热量表的开发和生产(仅限北京德宝豪特能源科技有限公司昌平分公司经营)及相关技术服务;供热管理系统（管理系统软件、抄表器、集中器、采集器）的开发及相关技术服务及其所涉及的</w:t>
            </w:r>
            <w:r>
              <w:rPr>
                <w:rFonts w:hint="eastAsia" w:ascii="宋体" w:hAnsi="宋体"/>
                <w:b/>
                <w:color w:val="000000" w:themeColor="text1"/>
                <w:sz w:val="20"/>
                <w:szCs w:val="20"/>
                <w:lang w:val="en-US" w:eastAsia="zh-CN"/>
              </w:rPr>
              <w:t>职业健康安全</w:t>
            </w:r>
            <w:r>
              <w:rPr>
                <w:rFonts w:ascii="宋体" w:hAnsi="宋体"/>
                <w:b/>
                <w:color w:val="000000" w:themeColor="text1"/>
                <w:sz w:val="20"/>
                <w:szCs w:val="20"/>
              </w:rPr>
              <w:t>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7" w:name="专业代码"/>
            <w:r>
              <w:rPr>
                <w:rFonts w:ascii="宋体" w:hAnsi="宋体"/>
                <w:b/>
                <w:color w:val="000000" w:themeColor="text1"/>
                <w:sz w:val="20"/>
                <w:szCs w:val="20"/>
              </w:rPr>
              <w:t>Q：19.05.01;33.02.01;34.05.00;34.06.00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E：19.05.01;33.02.01;34.05.00;34.06.00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O：19.05.01;33.02.01;34.05.00;34.06.00</w:t>
            </w:r>
            <w:bookmarkEnd w:id="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8"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4</w:t>
            </w:r>
            <w:r>
              <w:rPr>
                <w:rFonts w:ascii="宋体" w:hAnsi="宋体"/>
                <w:b/>
                <w:color w:val="000000" w:themeColor="text1"/>
                <w:sz w:val="20"/>
                <w:szCs w:val="20"/>
              </w:rPr>
              <w:t>-</w:t>
            </w:r>
            <w:r>
              <w:rPr>
                <w:rFonts w:hint="eastAsia" w:ascii="宋体" w:hAnsi="宋体"/>
                <w:b/>
                <w:color w:val="000000" w:themeColor="text1"/>
                <w:sz w:val="20"/>
                <w:szCs w:val="20"/>
                <w:lang w:val="en-US" w:eastAsia="zh-CN"/>
              </w:rPr>
              <w:t>10</w:t>
            </w:r>
            <w:r>
              <w:rPr>
                <w:rFonts w:ascii="宋体" w:hAnsi="宋体"/>
                <w:b/>
                <w:color w:val="000000" w:themeColor="text1"/>
                <w:sz w:val="20"/>
                <w:szCs w:val="20"/>
              </w:rPr>
              <w:t xml:space="preserve"> 0:00:00</w:t>
            </w:r>
            <w:bookmarkEnd w:id="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default" w:ascii="Times New Roman" w:hAnsi="Times New Roman" w:eastAsia="宋体" w:cs="Times New Roman"/>
                <w:b w:val="0"/>
                <w:bCs/>
                <w:sz w:val="21"/>
                <w:szCs w:val="21"/>
              </w:rPr>
              <w:t>管理层</w:t>
            </w:r>
          </w:p>
        </w:tc>
        <w:tc>
          <w:tcPr>
            <w:tcW w:w="6804" w:type="dxa"/>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cs="Times New Roman"/>
                <w:b/>
                <w:bCs/>
                <w:color w:val="auto"/>
                <w:sz w:val="21"/>
                <w:szCs w:val="21"/>
                <w:lang w:val="en-US" w:eastAsia="zh-CN"/>
              </w:rPr>
              <w:t>综合部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能力；意识；沟通；文件化信息；文件总则、文件和记录控制；变更的控制；应急准备和响应</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合规性评价；内部审核；不合格及纠正措施控制</w:t>
            </w:r>
            <w:r>
              <w:rPr>
                <w:rFonts w:hint="eastAsia" w:ascii="Times New Roman" w:hAnsi="Times New Roman" w:cs="Times New Roman"/>
                <w:sz w:val="21"/>
                <w:szCs w:val="21"/>
                <w:lang w:eastAsia="zh-CN"/>
              </w:rPr>
              <w:t>；</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b/>
                <w:bCs/>
                <w:sz w:val="21"/>
                <w:szCs w:val="21"/>
                <w:lang w:val="en-US" w:eastAsia="zh-CN"/>
              </w:rPr>
              <w:t>生产部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w:t>
            </w:r>
            <w:r>
              <w:rPr>
                <w:rFonts w:hint="default" w:ascii="Times New Roman" w:hAnsi="Times New Roman" w:eastAsia="宋体" w:cs="Times New Roman"/>
                <w:sz w:val="21"/>
                <w:szCs w:val="21"/>
                <w:lang w:val="en-US" w:eastAsia="zh-CN"/>
              </w:rPr>
              <w:t>产品和服务的设计和开发；</w:t>
            </w:r>
            <w:r>
              <w:rPr>
                <w:rFonts w:hint="default" w:ascii="Times New Roman" w:hAnsi="Times New Roman" w:eastAsia="宋体" w:cs="Times New Roman"/>
                <w:sz w:val="21"/>
                <w:szCs w:val="21"/>
              </w:rPr>
              <w:t>外部提供的过程、产品和服务的控制；</w:t>
            </w:r>
            <w:r>
              <w:rPr>
                <w:rFonts w:hint="eastAsia" w:ascii="Times New Roman" w:hAnsi="Times New Roman" w:cs="Times New Roman"/>
                <w:sz w:val="21"/>
                <w:szCs w:val="21"/>
                <w:lang w:val="en-US" w:eastAsia="zh-CN"/>
              </w:rPr>
              <w:t>服务过程的控制；</w:t>
            </w:r>
            <w:r>
              <w:rPr>
                <w:rFonts w:hint="default" w:ascii="Times New Roman" w:hAnsi="Times New Roman" w:eastAsia="宋体" w:cs="Times New Roman"/>
                <w:sz w:val="21"/>
                <w:szCs w:val="21"/>
              </w:rPr>
              <w:t>标识和可追溯性；产品防护；</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b/>
                <w:bCs/>
                <w:sz w:val="21"/>
                <w:szCs w:val="21"/>
                <w:lang w:val="en-US" w:eastAsia="zh-CN"/>
              </w:rPr>
            </w:pPr>
            <w:r>
              <w:rPr>
                <w:rFonts w:hint="eastAsia"/>
              </w:rPr>
              <w:t xml:space="preserve">技术部  </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w:t>
            </w:r>
            <w:r>
              <w:rPr>
                <w:rFonts w:hint="eastAsia" w:cs="Times New Roman"/>
                <w:sz w:val="21"/>
                <w:szCs w:val="21"/>
                <w:lang w:val="en-US" w:eastAsia="zh-CN"/>
              </w:rPr>
              <w:t>设计开发的控制</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b/>
                <w:bCs/>
                <w:sz w:val="21"/>
                <w:szCs w:val="21"/>
                <w:lang w:val="en-US" w:eastAsia="zh-CN"/>
              </w:rPr>
            </w:pPr>
            <w:r>
              <w:rPr>
                <w:rFonts w:hint="eastAsia"/>
              </w:rPr>
              <w:t>质检部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组织的岗位、职责权限；目标、方案；环境因素/危险源识别评价；；监视和测量资源</w:t>
            </w:r>
            <w:r>
              <w:rPr>
                <w:rFonts w:hint="eastAsia" w:cs="Times New Roman"/>
                <w:sz w:val="21"/>
                <w:szCs w:val="21"/>
                <w:lang w:eastAsia="zh-CN"/>
              </w:rPr>
              <w:t>，</w:t>
            </w:r>
            <w:r>
              <w:rPr>
                <w:rFonts w:hint="eastAsia" w:cs="Times New Roman"/>
                <w:sz w:val="21"/>
                <w:szCs w:val="21"/>
                <w:lang w:val="en-US" w:eastAsia="zh-CN"/>
              </w:rPr>
              <w:t>产品质量检验的控制及相关的环境、职业健康安全管理体系运行</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b/>
                <w:bCs/>
                <w:sz w:val="21"/>
                <w:szCs w:val="21"/>
                <w:lang w:val="en-US" w:eastAsia="zh-CN"/>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守法诚信追求精品，预防污染保护环境；</w:t>
            </w:r>
          </w:p>
          <w:p>
            <w:pPr>
              <w:rPr>
                <w:rFonts w:hint="eastAsia"/>
              </w:rPr>
            </w:pPr>
            <w:r>
              <w:rPr>
                <w:rFonts w:hint="eastAsia"/>
              </w:rPr>
              <w:t>关爱员工健康安全，持续改进追求卓越。</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b/>
                <w:color w:val="000000" w:themeColor="text1"/>
              </w:rPr>
              <w:t>4、</w:t>
            </w:r>
            <w:r>
              <w:rPr>
                <w:rFonts w:hint="eastAsia"/>
                <w:b/>
                <w:color w:val="000000" w:themeColor="text1"/>
              </w:rPr>
              <w:t>风险识别与控制策划（QMS）</w:t>
            </w: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41" w:hanging="211" w:hangingChars="100"/>
              <w:rPr>
                <w:rFonts w:hint="eastAsia" w:ascii="宋体" w:hAnsi="宋体"/>
                <w:b/>
                <w:szCs w:val="21"/>
              </w:rPr>
            </w:pPr>
            <w:r>
              <w:rPr>
                <w:rFonts w:hint="eastAsia" w:ascii="宋体" w:hAnsi="宋体"/>
                <w:b/>
                <w:szCs w:val="21"/>
              </w:rPr>
              <w:t>质量管理体系过程有：</w:t>
            </w:r>
          </w:p>
          <w:p>
            <w:pPr>
              <w:tabs>
                <w:tab w:val="left" w:pos="7380"/>
              </w:tabs>
              <w:rPr>
                <w:szCs w:val="21"/>
              </w:rPr>
            </w:pPr>
            <w:r>
              <w:rPr>
                <w:rFonts w:hint="eastAsia" w:ascii="宋体" w:hAnsi="宋体"/>
                <w:szCs w:val="21"/>
              </w:rPr>
              <w:t>超声波式热量表，供热管理系统（管理系统软件、抄表器、集中器、采集器）</w:t>
            </w:r>
            <w:r>
              <w:rPr>
                <w:rFonts w:hint="eastAsia"/>
                <w:szCs w:val="21"/>
              </w:rPr>
              <w:t>开发、技术服务实现流程图</w:t>
            </w:r>
          </w:p>
          <w:p>
            <w:pPr>
              <w:tabs>
                <w:tab w:val="left" w:pos="7380"/>
              </w:tabs>
              <w:rPr>
                <w:szCs w:val="21"/>
              </w:rPr>
            </w:pPr>
            <w:r>
              <w:rPr>
                <w:rFonts w:hint="eastAsia"/>
                <w:szCs w:val="21"/>
              </w:rPr>
              <w:t>立项--需求分析--设计（图纸设计：结构设计、电路设计、软件设计）—样机加工--测试---主管部门型式检验、批准—交付—售后服务（系统升级、技术指导等）</w:t>
            </w:r>
          </w:p>
          <w:p>
            <w:pPr>
              <w:tabs>
                <w:tab w:val="left" w:pos="7380"/>
              </w:tabs>
              <w:rPr>
                <w:szCs w:val="21"/>
              </w:rPr>
            </w:pPr>
            <w:r>
              <w:rPr>
                <w:rFonts w:hint="eastAsia"/>
                <w:szCs w:val="21"/>
              </w:rPr>
              <w:t xml:space="preserve">管理系统软件：立项--需求分析--概要设计--详细设计—客户确认--测试—验收--交付使用—售后服务（系统升级、技术指导等）。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生产</w:t>
            </w:r>
            <w:r>
              <w:rPr>
                <w:rFonts w:hint="eastAsia" w:asciiTheme="minorEastAsia" w:hAnsiTheme="minorEastAsia" w:eastAsiaTheme="minorEastAsia" w:cstheme="minorEastAsia"/>
                <w:szCs w:val="21"/>
              </w:rPr>
              <w:t>流程：</w:t>
            </w:r>
            <w:r>
              <w:rPr>
                <w:rFonts w:hint="eastAsia"/>
                <w:bCs/>
                <w:szCs w:val="21"/>
              </w:rPr>
              <w:t>进货检验--组装（流量传感器组装---线路板检测----热量表外壳组装---外壳与流量传感器连接）--成品检验—包装</w:t>
            </w:r>
          </w:p>
          <w:p>
            <w:pPr>
              <w:pStyle w:val="3"/>
              <w:rPr>
                <w:rFonts w:hint="default" w:ascii="宋体" w:hAnsi="宋体"/>
                <w:b/>
                <w:szCs w:val="21"/>
                <w:lang w:val="en-US"/>
              </w:rPr>
            </w:pPr>
            <w:r>
              <w:rPr>
                <w:rFonts w:hint="eastAsia" w:ascii="宋体" w:hAnsi="宋体" w:eastAsia="宋体" w:cs="宋体"/>
                <w:b/>
                <w:color w:val="000000"/>
                <w:sz w:val="21"/>
                <w:szCs w:val="21"/>
                <w:lang w:val="en-US" w:eastAsia="zh-CN"/>
              </w:rPr>
              <w:t>其中关键过程：</w:t>
            </w:r>
            <w:r>
              <w:rPr>
                <w:rFonts w:hint="eastAsia" w:cs="宋体"/>
                <w:b/>
                <w:color w:val="000000"/>
                <w:sz w:val="21"/>
                <w:szCs w:val="21"/>
                <w:lang w:val="en-US" w:eastAsia="zh-CN"/>
              </w:rPr>
              <w:t>线路板检测过程</w:t>
            </w:r>
          </w:p>
          <w:p>
            <w:pPr>
              <w:tabs>
                <w:tab w:val="left" w:pos="540"/>
              </w:tabs>
              <w:spacing w:line="300" w:lineRule="exact"/>
              <w:ind w:left="241" w:hanging="21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cs="宋体"/>
                <w:b/>
                <w:color w:val="000000"/>
                <w:sz w:val="21"/>
                <w:szCs w:val="21"/>
                <w:lang w:val="en-US" w:eastAsia="zh-CN"/>
              </w:rPr>
              <w:t>线路板检测检验规范</w:t>
            </w:r>
            <w:r>
              <w:rPr>
                <w:rFonts w:hint="eastAsia"/>
                <w:b w:val="0"/>
                <w:bCs/>
                <w:sz w:val="20"/>
                <w:szCs w:val="22"/>
                <w:u w:val="single"/>
                <w:lang w:eastAsia="zh-CN"/>
              </w:rPr>
              <w:t xml:space="preserve"> </w:t>
            </w:r>
            <w:r>
              <w:rPr>
                <w:rFonts w:hint="eastAsia"/>
                <w:b w:val="0"/>
                <w:bCs/>
                <w:sz w:val="20"/>
                <w:szCs w:val="22"/>
                <w:lang w:eastAsia="zh-CN"/>
              </w:rPr>
              <w:t xml:space="preserve"> </w:t>
            </w:r>
          </w:p>
          <w:p>
            <w:pPr>
              <w:tabs>
                <w:tab w:val="left" w:pos="540"/>
              </w:tabs>
              <w:spacing w:line="300" w:lineRule="exact"/>
              <w:ind w:left="241" w:hanging="21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bCs/>
                <w:szCs w:val="21"/>
              </w:rPr>
              <w:t>-线路板检测</w:t>
            </w:r>
            <w:r>
              <w:rPr>
                <w:rFonts w:hint="eastAsia"/>
                <w:bCs/>
                <w:szCs w:val="21"/>
                <w:lang w:val="en-US" w:eastAsia="zh-CN"/>
              </w:rPr>
              <w:t>过程</w:t>
            </w:r>
            <w:r>
              <w:rPr>
                <w:rFonts w:ascii="宋体" w:hAnsi="宋体"/>
                <w:b/>
                <w:szCs w:val="21"/>
                <w:u w:val="single"/>
              </w:rPr>
              <w:t xml:space="preserve"> </w:t>
            </w:r>
            <w:r>
              <w:rPr>
                <w:rFonts w:hint="eastAsia"/>
                <w:b w:val="0"/>
                <w:bCs/>
                <w:sz w:val="20"/>
                <w:szCs w:val="22"/>
                <w:u w:val="single"/>
                <w:lang w:eastAsia="zh-CN"/>
              </w:rPr>
              <w:t xml:space="preserve"> </w:t>
            </w:r>
            <w:r>
              <w:rPr>
                <w:rFonts w:ascii="宋体" w:hAnsi="宋体"/>
                <w:b/>
                <w:szCs w:val="21"/>
                <w:u w:val="single"/>
              </w:rPr>
              <w:t xml:space="preserve">     </w:t>
            </w:r>
          </w:p>
          <w:p>
            <w:pPr>
              <w:rPr>
                <w:rFonts w:hint="eastAsia"/>
              </w:rPr>
            </w:pPr>
            <w:r>
              <w:rPr>
                <w:rFonts w:hint="eastAsia" w:ascii="宋体" w:hAnsi="宋体"/>
                <w:b/>
                <w:szCs w:val="21"/>
              </w:rPr>
              <w:t>删减条款是</w:t>
            </w:r>
            <w:r>
              <w:rPr>
                <w:rFonts w:ascii="宋体" w:hAnsi="宋体"/>
                <w:b/>
                <w:szCs w:val="21"/>
              </w:rPr>
              <w:t xml:space="preserve"> </w:t>
            </w:r>
            <w:r>
              <w:rPr>
                <w:rFonts w:hint="eastAsia" w:ascii="宋体" w:hAnsi="宋体"/>
                <w:b/>
                <w:szCs w:val="21"/>
                <w:lang w:val="en-US" w:eastAsia="zh-CN"/>
              </w:rPr>
              <w:t>无</w:t>
            </w:r>
            <w:r>
              <w:rPr>
                <w:rFonts w:ascii="宋体" w:hAnsi="宋体"/>
                <w:b/>
                <w:szCs w:val="21"/>
              </w:rPr>
              <w:t xml:space="preserve">      </w:t>
            </w:r>
            <w:r>
              <w:rPr>
                <w:rFonts w:hint="eastAsia" w:ascii="宋体" w:hAnsi="宋体"/>
                <w:b/>
                <w:szCs w:val="21"/>
              </w:rPr>
              <w:t>，删减理由：</w:t>
            </w:r>
          </w:p>
          <w:p>
            <w:pPr>
              <w:tabs>
                <w:tab w:val="left" w:pos="540"/>
              </w:tabs>
              <w:spacing w:line="300" w:lineRule="exact"/>
              <w:ind w:left="201" w:hanging="200" w:hangingChars="100"/>
              <w:rPr>
                <w:rFonts w:ascii="宋体" w:hAnsi="宋体"/>
                <w:b/>
                <w:color w:val="000000" w:themeColor="text1"/>
                <w:sz w:val="20"/>
                <w:szCs w:val="20"/>
              </w:rPr>
            </w:pPr>
            <w:r>
              <w:rPr>
                <w:rFonts w:hint="eastAsia"/>
                <w:b w:val="0"/>
                <w:bCs/>
                <w:sz w:val="20"/>
                <w:szCs w:val="22"/>
                <w:lang w:eastAsia="zh-CN"/>
              </w:rPr>
              <w:t xml:space="preserve"> </w:t>
            </w:r>
            <w:r>
              <w:rPr>
                <w:rFonts w:ascii="宋体" w:hAnsi="宋体"/>
                <w:b/>
                <w:szCs w:val="21"/>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编制了《环境因素的识别与评价控制程序》符合标准要求.</w:t>
            </w:r>
          </w:p>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提供的“环境因素识别评价表”“重要环境因素清单”， 评价考虑了三种时态现在、过去、将来、三种状态、异常、正常、紧急考虑了法律法规，并进行了评价，</w:t>
            </w:r>
          </w:p>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根据企业的生产服务过程，用打分法考虑了法规符合性、发生频次、影响范围等, 通过定性判断法，共识别出重大环境因素3项：固废排放、火灾、噪声，评价符合程序要求及公司的实际情况。</w:t>
            </w:r>
          </w:p>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对重要环境因素的控制措施包括制定管理制度、监督检查、应急预案、培训等。提供《重要环境因素识别清单》，其中生产涉及的重要环境因素：固废排放、火灾、噪声评价基本合理</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120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sz w:val="2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bCs/>
                <w:szCs w:val="21"/>
              </w:rPr>
            </w:pP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240" w:lineRule="exact"/>
              <w:ind w:firstLine="201" w:firstLineChars="100"/>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210" w:firstLineChars="100"/>
              <w:rPr>
                <w:rFonts w:hint="eastAsia"/>
                <w:sz w:val="21"/>
                <w:szCs w:val="21"/>
                <w:lang w:eastAsia="zh-CN"/>
              </w:rPr>
            </w:pPr>
            <w:r>
              <w:rPr>
                <w:rFonts w:hint="eastAsia"/>
                <w:sz w:val="21"/>
                <w:szCs w:val="21"/>
              </w:rPr>
              <w:t>该公司员工共</w:t>
            </w:r>
            <w:r>
              <w:rPr>
                <w:rFonts w:hint="eastAsia"/>
                <w:sz w:val="21"/>
                <w:szCs w:val="21"/>
                <w:lang w:val="en-US" w:eastAsia="zh-CN"/>
              </w:rPr>
              <w:t>20</w:t>
            </w:r>
            <w:r>
              <w:rPr>
                <w:rFonts w:hint="eastAsia"/>
                <w:sz w:val="21"/>
                <w:szCs w:val="21"/>
              </w:rPr>
              <w:t>人，管理人员</w:t>
            </w:r>
            <w:r>
              <w:rPr>
                <w:rFonts w:hint="eastAsia"/>
                <w:sz w:val="21"/>
                <w:szCs w:val="21"/>
                <w:lang w:val="en-US" w:eastAsia="zh-CN"/>
              </w:rPr>
              <w:t>3</w:t>
            </w:r>
            <w:r>
              <w:rPr>
                <w:rFonts w:hint="eastAsia"/>
                <w:sz w:val="21"/>
                <w:szCs w:val="21"/>
              </w:rPr>
              <w:t>人。有专业的</w:t>
            </w:r>
            <w:r>
              <w:rPr>
                <w:rFonts w:hint="eastAsia"/>
                <w:sz w:val="21"/>
                <w:szCs w:val="21"/>
                <w:lang w:eastAsia="zh-CN"/>
              </w:rPr>
              <w:t>生产</w:t>
            </w:r>
            <w:r>
              <w:rPr>
                <w:rFonts w:hint="eastAsia"/>
                <w:sz w:val="21"/>
                <w:szCs w:val="21"/>
              </w:rPr>
              <w:t>人员</w:t>
            </w:r>
            <w:r>
              <w:rPr>
                <w:rFonts w:hint="eastAsia"/>
                <w:sz w:val="21"/>
                <w:szCs w:val="21"/>
                <w:lang w:eastAsia="zh-CN"/>
              </w:rPr>
              <w:t>、技术人员</w:t>
            </w:r>
            <w:r>
              <w:rPr>
                <w:rFonts w:hint="eastAsia"/>
                <w:sz w:val="21"/>
                <w:szCs w:val="21"/>
              </w:rPr>
              <w:t>，能</w:t>
            </w:r>
            <w:r>
              <w:rPr>
                <w:rFonts w:hint="eastAsia"/>
                <w:sz w:val="21"/>
                <w:szCs w:val="21"/>
                <w:lang w:eastAsia="zh-CN"/>
              </w:rPr>
              <w:t>有效的</w:t>
            </w:r>
            <w:r>
              <w:rPr>
                <w:rFonts w:hint="eastAsia" w:ascii="宋体" w:hAnsi="宋体"/>
                <w:szCs w:val="21"/>
              </w:rPr>
              <w:t>柴油发电机、发电机组的组装及销售</w:t>
            </w:r>
            <w:r>
              <w:rPr>
                <w:rFonts w:hint="eastAsia"/>
                <w:sz w:val="21"/>
                <w:szCs w:val="21"/>
                <w:lang w:eastAsia="zh-CN"/>
              </w:rPr>
              <w:t>环境及职业健康安全要求</w:t>
            </w:r>
          </w:p>
          <w:p>
            <w:pPr>
              <w:spacing w:line="300" w:lineRule="exact"/>
              <w:rPr>
                <w:b/>
                <w:color w:val="000000" w:themeColor="text1"/>
                <w:sz w:val="20"/>
                <w:szCs w:val="20"/>
              </w:rPr>
            </w:pP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生产设备</w:t>
            </w:r>
            <w:r>
              <w:rPr>
                <w:rFonts w:hint="eastAsia" w:asciiTheme="minorEastAsia" w:hAnsiTheme="minorEastAsia" w:eastAsiaTheme="minorEastAsia" w:cstheme="minorEastAsia"/>
                <w:szCs w:val="21"/>
              </w:rPr>
              <w:t>15米自制装配流水线、防静电工作台、VR-50二液型液体吐出控制机、周转车、挂表架、线路板插盘、放静电料盒、工装、电脑、打印机等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10"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10"/>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过程运行环境</w:t>
            </w:r>
          </w:p>
          <w:p>
            <w:pPr>
              <w:rPr>
                <w:color w:val="auto"/>
              </w:rPr>
            </w:pPr>
            <w:r>
              <w:rPr>
                <w:rFonts w:hint="eastAsia"/>
                <w:color w:val="auto"/>
              </w:rPr>
              <w:t>现场观察</w:t>
            </w:r>
            <w:r>
              <w:rPr>
                <w:rFonts w:hint="eastAsia"/>
                <w:color w:val="auto"/>
                <w:lang w:eastAsia="zh-CN"/>
              </w:rPr>
              <w:t>检测现场、</w:t>
            </w:r>
            <w:r>
              <w:rPr>
                <w:rFonts w:hint="eastAsia"/>
                <w:color w:val="auto"/>
              </w:rPr>
              <w:t>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color w:val="auto"/>
              </w:rPr>
            </w:pPr>
            <w:r>
              <w:rPr>
                <w:rFonts w:hint="eastAsia"/>
                <w:color w:val="auto"/>
              </w:rPr>
              <w:t>监视和测量资源</w:t>
            </w:r>
          </w:p>
          <w:p>
            <w:pPr>
              <w:pStyle w:val="11"/>
              <w:rPr>
                <w:rFonts w:hint="default"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检测设备</w:t>
            </w:r>
            <w:r>
              <w:rPr>
                <w:rFonts w:hint="eastAsia" w:cs="Times New Roman"/>
                <w:bCs/>
                <w:color w:val="auto"/>
                <w:spacing w:val="10"/>
                <w:kern w:val="2"/>
                <w:sz w:val="21"/>
                <w:szCs w:val="22"/>
                <w:lang w:val="en-US" w:eastAsia="zh-CN" w:bidi="ar-SA"/>
              </w:rPr>
              <w:t>：标准铂电阻温度计、热能表检定装置 、高精度温度显示仪 、绝缘电阻测试仪，有检验报告，见附件</w:t>
            </w:r>
          </w:p>
          <w:p>
            <w:pPr>
              <w:pStyle w:val="11"/>
              <w:rPr>
                <w:rFonts w:ascii="宋体" w:hAnsi="宋体"/>
                <w:b/>
                <w:color w:val="000000" w:themeColor="text1"/>
                <w:sz w:val="20"/>
                <w:szCs w:val="20"/>
              </w:rPr>
            </w:pPr>
            <w:r>
              <w:rPr>
                <w:rFonts w:hint="eastAsia"/>
                <w:color w:val="auto"/>
              </w:rPr>
              <w:t>有</w:t>
            </w:r>
            <w:r>
              <w:rPr>
                <w:rFonts w:hint="eastAsia"/>
                <w:color w:val="auto"/>
                <w:lang w:eastAsia="zh-CN"/>
              </w:rPr>
              <w:t>质量、环境及职业健康安全运行</w:t>
            </w:r>
            <w:r>
              <w:rPr>
                <w:rFonts w:hint="eastAsia"/>
                <w:color w:val="auto"/>
              </w:rPr>
              <w:t>检查记录，能不定期对</w:t>
            </w:r>
            <w:r>
              <w:rPr>
                <w:rFonts w:hint="eastAsia"/>
                <w:color w:val="auto"/>
                <w:lang w:eastAsia="zh-CN"/>
              </w:rPr>
              <w:t>环境及职业健康安全</w:t>
            </w:r>
            <w:r>
              <w:rPr>
                <w:rFonts w:hint="eastAsia"/>
                <w:color w:val="auto"/>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0"/>
                <w:szCs w:val="20"/>
              </w:rPr>
            </w:pPr>
            <w:r>
              <w:rPr>
                <w:rFonts w:hint="eastAsia" w:ascii="宋体" w:hAnsi="宋体"/>
                <w:b/>
                <w:color w:val="auto"/>
                <w:sz w:val="20"/>
                <w:szCs w:val="20"/>
              </w:rPr>
              <w:t>环保设施：</w:t>
            </w:r>
          </w:p>
          <w:p>
            <w:pPr>
              <w:spacing w:line="240" w:lineRule="exact"/>
              <w:rPr>
                <w:rFonts w:hint="eastAsia"/>
                <w:color w:val="auto"/>
              </w:rPr>
            </w:pPr>
          </w:p>
          <w:p>
            <w:pPr>
              <w:spacing w:line="240" w:lineRule="exact"/>
              <w:rPr>
                <w:rFonts w:ascii="宋体" w:hAnsi="宋体"/>
                <w:color w:val="auto"/>
                <w:sz w:val="20"/>
                <w:szCs w:val="20"/>
              </w:rPr>
            </w:pPr>
            <w:r>
              <w:rPr>
                <w:rFonts w:hint="eastAsia"/>
                <w:color w:val="auto"/>
              </w:rPr>
              <w:t>配备有</w:t>
            </w:r>
            <w:r>
              <w:rPr>
                <w:rFonts w:hint="eastAsia"/>
                <w:color w:val="auto"/>
                <w:lang w:val="en-US" w:eastAsia="zh-CN"/>
              </w:rPr>
              <w:t xml:space="preserve"> 垃圾桶</w:t>
            </w:r>
            <w:r>
              <w:rPr>
                <w:rFonts w:hint="eastAsia"/>
                <w:color w:val="auto"/>
                <w:lang w:eastAsia="zh-CN"/>
              </w:rPr>
              <w:t>、灭火器</w:t>
            </w:r>
            <w:r>
              <w:rPr>
                <w:rFonts w:hint="eastAsia"/>
                <w:color w:val="auto"/>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1"/>
                <w:szCs w:val="21"/>
              </w:rPr>
            </w:pPr>
            <w:r>
              <w:rPr>
                <w:rFonts w:hint="eastAsia" w:ascii="宋体" w:hAnsi="宋体"/>
                <w:b/>
                <w:color w:val="auto"/>
                <w:sz w:val="21"/>
                <w:szCs w:val="21"/>
              </w:rPr>
              <w:t>职业健康安全设施：</w:t>
            </w:r>
          </w:p>
          <w:p>
            <w:pPr>
              <w:spacing w:line="240" w:lineRule="exact"/>
              <w:rPr>
                <w:rFonts w:hint="eastAsia" w:ascii="宋体" w:hAnsi="宋体"/>
                <w:b/>
                <w:color w:val="auto"/>
                <w:sz w:val="21"/>
                <w:szCs w:val="21"/>
              </w:rPr>
            </w:pPr>
          </w:p>
          <w:p>
            <w:pPr>
              <w:spacing w:line="240" w:lineRule="exact"/>
              <w:rPr>
                <w:rFonts w:hint="eastAsia"/>
                <w:color w:val="auto"/>
              </w:rPr>
            </w:pPr>
            <w:r>
              <w:rPr>
                <w:rFonts w:hint="eastAsia"/>
                <w:color w:val="auto"/>
              </w:rPr>
              <w:t>配备有灭火器</w:t>
            </w:r>
            <w:r>
              <w:rPr>
                <w:rFonts w:hint="eastAsia"/>
                <w:color w:val="auto"/>
                <w:lang w:eastAsia="zh-CN"/>
              </w:rPr>
              <w:t>、消防栓、</w:t>
            </w:r>
            <w:r>
              <w:rPr>
                <w:rFonts w:hint="eastAsia"/>
                <w:color w:val="auto"/>
                <w:lang w:val="en-US" w:eastAsia="zh-CN"/>
              </w:rPr>
              <w:t>气体检测仪、口罩</w:t>
            </w:r>
            <w:r>
              <w:rPr>
                <w:rFonts w:hint="eastAsia"/>
                <w:color w:val="auto"/>
              </w:rPr>
              <w:t>等设施。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color w:val="auto"/>
              </w:rPr>
            </w:pPr>
            <w:r>
              <w:rPr>
                <w:color w:val="auto"/>
              </w:rPr>
              <w:t xml:space="preserve">1. </w:t>
            </w:r>
            <w:r>
              <w:rPr>
                <w:rFonts w:hint="eastAsia"/>
                <w:color w:val="auto"/>
              </w:rPr>
              <w:t>针对方针的管理职责评审</w:t>
            </w:r>
          </w:p>
          <w:p>
            <w:pPr>
              <w:spacing w:line="300" w:lineRule="exact"/>
              <w:ind w:left="1"/>
              <w:rPr>
                <w:rFonts w:hint="eastAsia"/>
                <w:color w:val="auto"/>
              </w:rPr>
            </w:pPr>
            <w:r>
              <w:rPr>
                <w:rFonts w:hint="eastAsia"/>
                <w:color w:val="auto"/>
              </w:rPr>
              <w:t>（包括针对组织宗旨，制定相关管理方针政策、确保方针为员工理解并在运营中实施，监视方针的实施并评审方针的适宜性）</w:t>
            </w:r>
          </w:p>
          <w:p>
            <w:pPr>
              <w:pStyle w:val="11"/>
              <w:rPr>
                <w:rFonts w:hint="eastAsia"/>
                <w:b/>
                <w:color w:val="auto"/>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auto"/>
                <w:szCs w:val="21"/>
              </w:rPr>
            </w:pPr>
            <w:r>
              <w:rPr>
                <w:rFonts w:hint="eastAsia" w:ascii="楷体_GB2312" w:eastAsia="楷体_GB2312"/>
                <w:b/>
                <w:color w:val="auto"/>
                <w:szCs w:val="21"/>
              </w:rPr>
              <w:t>部沟通的情况：内部沟通方式：</w:t>
            </w:r>
            <w:r>
              <w:rPr>
                <w:rFonts w:hint="eastAsia"/>
                <w:bCs/>
                <w:color w:val="auto"/>
                <w:szCs w:val="21"/>
              </w:rPr>
              <w:t>会议、公告栏、发放文件等</w:t>
            </w:r>
          </w:p>
          <w:p>
            <w:pPr>
              <w:spacing w:line="240" w:lineRule="exact"/>
              <w:rPr>
                <w:rFonts w:ascii="楷体_GB2312" w:eastAsia="楷体_GB2312"/>
                <w:b/>
                <w:color w:val="auto"/>
                <w:szCs w:val="21"/>
              </w:rPr>
            </w:pPr>
            <w:r>
              <w:rPr>
                <w:rFonts w:hint="eastAsia" w:ascii="楷体_GB2312" w:eastAsia="楷体_GB2312"/>
                <w:b/>
                <w:color w:val="auto"/>
                <w:szCs w:val="21"/>
              </w:rPr>
              <w:t xml:space="preserve">                内部沟通的效果：</w:t>
            </w:r>
            <w:r>
              <w:rPr>
                <w:rFonts w:hint="eastAsia"/>
                <w:bCs/>
                <w:color w:val="auto"/>
                <w:szCs w:val="21"/>
              </w:rPr>
              <w:t>能够得到有效沟通</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楷体_GB2312" w:eastAsia="楷体_GB2312"/>
                <w:b/>
                <w:color w:val="000000" w:themeColor="text1"/>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1"/>
              <w:rPr>
                <w:color w:val="auto"/>
              </w:rPr>
            </w:pPr>
            <w:r>
              <w:rPr>
                <w:rFonts w:hint="eastAsia" w:ascii="宋体" w:hAnsi="宋体" w:cs="宋体"/>
                <w:color w:val="auto"/>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w:t>
            </w:r>
            <w:r>
              <w:rPr>
                <w:rFonts w:hint="eastAsia"/>
                <w:color w:val="auto"/>
                <w:lang w:val="en-US" w:eastAsia="zh-CN"/>
              </w:rPr>
              <w:t>公司识别销售过程为需确认过程</w:t>
            </w:r>
            <w:r>
              <w:rPr>
                <w:rFonts w:hint="eastAsia"/>
                <w:bCs/>
                <w:color w:val="auto"/>
                <w:szCs w:val="21"/>
              </w:rPr>
              <w:t>，公司制定了“特殊过程评审、确认准则”，</w:t>
            </w:r>
            <w:r>
              <w:rPr>
                <w:rFonts w:hint="eastAsia" w:ascii="宋体" w:hAnsi="宋体" w:cs="宋体"/>
                <w:color w:val="auto"/>
                <w:szCs w:val="21"/>
              </w:rPr>
              <w:t>从审核过程看，公司的产品质量管理基本受控</w:t>
            </w:r>
            <w:r>
              <w:rPr>
                <w:rFonts w:hint="eastAsia" w:ascii="宋体" w:hAnsi="宋体" w:cs="宋体"/>
                <w:color w:val="auto"/>
                <w:szCs w:val="21"/>
                <w:lang w:eastAsia="zh-CN"/>
              </w:rPr>
              <w:t>，</w:t>
            </w:r>
            <w:r>
              <w:rPr>
                <w:rFonts w:hint="eastAsia"/>
                <w:bCs/>
                <w:color w:val="auto"/>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color w:val="auto"/>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6. </w:t>
            </w:r>
            <w:r>
              <w:rPr>
                <w:rFonts w:hint="eastAsia" w:ascii="宋体" w:hAnsi="宋体"/>
                <w:b/>
                <w:color w:val="auto"/>
                <w:sz w:val="21"/>
                <w:szCs w:val="21"/>
              </w:rPr>
              <w:t>不合格品</w:t>
            </w:r>
            <w:r>
              <w:rPr>
                <w:rFonts w:ascii="宋体" w:hAnsi="宋体"/>
                <w:b/>
                <w:color w:val="auto"/>
                <w:sz w:val="21"/>
                <w:szCs w:val="21"/>
              </w:rPr>
              <w:t>/</w:t>
            </w:r>
            <w:r>
              <w:rPr>
                <w:rFonts w:hint="eastAsia" w:ascii="宋体" w:hAnsi="宋体"/>
                <w:b/>
                <w:color w:val="auto"/>
                <w:sz w:val="21"/>
                <w:szCs w:val="21"/>
              </w:rPr>
              <w:t>项的识别、控制</w:t>
            </w:r>
            <w:r>
              <w:rPr>
                <w:rFonts w:ascii="宋体" w:hAnsi="宋体"/>
                <w:b/>
                <w:color w:val="auto"/>
                <w:sz w:val="21"/>
                <w:szCs w:val="21"/>
              </w:rPr>
              <w:t>;</w:t>
            </w:r>
          </w:p>
          <w:p>
            <w:pPr>
              <w:spacing w:line="240" w:lineRule="exact"/>
              <w:ind w:firstLine="420" w:firstLineChars="200"/>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7. EMS</w:t>
            </w:r>
            <w:r>
              <w:rPr>
                <w:rFonts w:hint="eastAsia" w:ascii="宋体" w:hAnsi="宋体"/>
                <w:b/>
                <w:color w:val="auto"/>
                <w:sz w:val="21"/>
                <w:szCs w:val="21"/>
              </w:rPr>
              <w:t>组织对重要环境因素实施控制的结果</w:t>
            </w:r>
          </w:p>
          <w:p>
            <w:pPr>
              <w:spacing w:line="240" w:lineRule="exact"/>
              <w:rPr>
                <w:rFonts w:ascii="宋体" w:hAnsi="宋体"/>
                <w:b/>
                <w:color w:val="auto"/>
                <w:sz w:val="21"/>
                <w:szCs w:val="21"/>
              </w:rPr>
            </w:pPr>
            <w:r>
              <w:rPr>
                <w:rFonts w:hint="eastAsia" w:ascii="宋体" w:hAnsi="宋体"/>
                <w:b/>
                <w:color w:val="auto"/>
                <w:sz w:val="21"/>
                <w:szCs w:val="21"/>
              </w:rPr>
              <w:t>（</w:t>
            </w:r>
            <w:r>
              <w:rPr>
                <w:rFonts w:ascii="宋体" w:hAnsi="宋体"/>
                <w:b/>
                <w:color w:val="auto"/>
                <w:sz w:val="21"/>
                <w:szCs w:val="21"/>
              </w:rPr>
              <w:t>EMS</w:t>
            </w:r>
            <w:r>
              <w:rPr>
                <w:rFonts w:hint="eastAsia" w:ascii="宋体" w:hAnsi="宋体"/>
                <w:b/>
                <w:color w:val="auto"/>
                <w:sz w:val="21"/>
                <w:szCs w:val="21"/>
              </w:rPr>
              <w:t>对重要环境因素控制，重大环境因素对周边环境产生的影响及控制</w:t>
            </w:r>
            <w:r>
              <w:rPr>
                <w:rFonts w:ascii="宋体" w:hAnsi="宋体"/>
                <w:b/>
                <w:color w:val="auto"/>
                <w:sz w:val="21"/>
                <w:szCs w:val="21"/>
              </w:rPr>
              <w:t>;</w:t>
            </w:r>
            <w:r>
              <w:rPr>
                <w:rFonts w:hint="eastAsia" w:ascii="宋体" w:hAnsi="宋体"/>
                <w:b/>
                <w:color w:val="auto"/>
                <w:sz w:val="21"/>
                <w:szCs w:val="21"/>
              </w:rPr>
              <w:t>对相关方施加影响）</w:t>
            </w:r>
          </w:p>
          <w:p>
            <w:pPr>
              <w:spacing w:line="240" w:lineRule="exact"/>
              <w:rPr>
                <w:rFonts w:hint="eastAsia"/>
                <w:bCs/>
                <w:color w:val="auto"/>
                <w:szCs w:val="21"/>
              </w:rPr>
            </w:pPr>
          </w:p>
          <w:p>
            <w:pPr>
              <w:spacing w:line="240" w:lineRule="exact"/>
              <w:rPr>
                <w:b/>
                <w:color w:val="000000" w:themeColor="text1"/>
                <w:sz w:val="20"/>
                <w:szCs w:val="20"/>
              </w:rPr>
            </w:pPr>
            <w:r>
              <w:rPr>
                <w:rFonts w:hint="eastAsia"/>
                <w:bCs/>
                <w:color w:val="auto"/>
                <w:szCs w:val="21"/>
              </w:rPr>
              <w:t>对重要环境因素（</w:t>
            </w:r>
            <w:r>
              <w:rPr>
                <w:rFonts w:hint="eastAsia"/>
                <w:color w:val="auto"/>
                <w:sz w:val="21"/>
                <w:szCs w:val="21"/>
              </w:rPr>
              <w:t>固废排放、火灾</w:t>
            </w:r>
            <w:r>
              <w:rPr>
                <w:rFonts w:hint="eastAsia"/>
                <w:color w:val="auto"/>
                <w:sz w:val="21"/>
                <w:szCs w:val="21"/>
                <w:lang w:eastAsia="zh-CN"/>
              </w:rPr>
              <w:t>、噪声</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hint="eastAsia"/>
                <w:color w:val="auto"/>
              </w:rPr>
            </w:pPr>
            <w:r>
              <w:rPr>
                <w:color w:val="auto"/>
              </w:rPr>
              <w:t>OHSMS</w:t>
            </w:r>
            <w:r>
              <w:rPr>
                <w:rFonts w:hint="eastAsia"/>
                <w:color w:val="auto"/>
              </w:rPr>
              <w:t>组织对不可接受风险实施控制的结果</w:t>
            </w:r>
          </w:p>
          <w:p>
            <w:pPr>
              <w:pStyle w:val="11"/>
              <w:numPr>
                <w:ilvl w:val="0"/>
                <w:numId w:val="0"/>
              </w:numPr>
              <w:ind w:left="0" w:leftChars="0" w:firstLine="0" w:firstLineChars="0"/>
              <w:rPr>
                <w:b/>
                <w:color w:val="000000" w:themeColor="text1"/>
                <w:sz w:val="20"/>
                <w:szCs w:val="20"/>
              </w:rPr>
            </w:pPr>
            <w:r>
              <w:rPr>
                <w:rFonts w:hint="eastAsia"/>
                <w:bCs/>
                <w:color w:val="auto"/>
                <w:szCs w:val="21"/>
              </w:rPr>
              <w:t>对不可接受风险（</w:t>
            </w:r>
            <w:r>
              <w:rPr>
                <w:rFonts w:hint="eastAsia"/>
                <w:color w:val="auto"/>
              </w:rPr>
              <w:t>火灾、触电、意外伤害</w:t>
            </w:r>
            <w:r>
              <w:rPr>
                <w:rFonts w:hint="eastAsia"/>
                <w:color w:val="auto"/>
                <w:lang w:eastAsia="zh-CN"/>
              </w:rPr>
              <w:t>、</w:t>
            </w:r>
            <w:r>
              <w:rPr>
                <w:rFonts w:hint="eastAsia"/>
                <w:color w:val="auto"/>
                <w:lang w:val="en-US" w:eastAsia="zh-CN"/>
              </w:rPr>
              <w:t>机械伤害</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color w:val="auto"/>
                <w:sz w:val="21"/>
                <w:szCs w:val="21"/>
              </w:rPr>
            </w:pPr>
            <w:r>
              <w:rPr>
                <w:rFonts w:ascii="宋体" w:hAnsi="宋体"/>
                <w:b/>
                <w:color w:val="auto"/>
                <w:sz w:val="21"/>
                <w:szCs w:val="21"/>
              </w:rPr>
              <w:t xml:space="preserve">9. </w:t>
            </w:r>
            <w:r>
              <w:rPr>
                <w:rFonts w:hint="eastAsia" w:ascii="宋体" w:hAnsi="宋体"/>
                <w:b/>
                <w:color w:val="auto"/>
                <w:sz w:val="21"/>
                <w:szCs w:val="21"/>
              </w:rPr>
              <w:t>应急准备与相应活动的演练及对预案可行性的评价</w:t>
            </w:r>
            <w:r>
              <w:rPr>
                <w:rFonts w:ascii="宋体" w:hAnsi="宋体"/>
                <w:b/>
                <w:color w:val="auto"/>
                <w:sz w:val="21"/>
                <w:szCs w:val="21"/>
              </w:rPr>
              <w:t>(</w:t>
            </w:r>
            <w:r>
              <w:rPr>
                <w:rFonts w:hint="eastAsia" w:ascii="宋体" w:hAnsi="宋体"/>
                <w:b/>
                <w:color w:val="auto"/>
                <w:sz w:val="21"/>
                <w:szCs w:val="21"/>
              </w:rPr>
              <w:t>当有规定时</w:t>
            </w:r>
            <w:r>
              <w:rPr>
                <w:rFonts w:ascii="宋体" w:hAnsi="宋体"/>
                <w:b/>
                <w:color w:val="auto"/>
                <w:sz w:val="21"/>
                <w:szCs w:val="21"/>
              </w:rPr>
              <w:t xml:space="preserve">) </w:t>
            </w:r>
          </w:p>
          <w:p>
            <w:pPr>
              <w:spacing w:line="240" w:lineRule="exact"/>
              <w:rPr>
                <w:rFonts w:hint="eastAsia"/>
                <w:bCs/>
                <w:color w:val="auto"/>
                <w:szCs w:val="21"/>
              </w:rPr>
            </w:pPr>
          </w:p>
          <w:p>
            <w:pPr>
              <w:spacing w:line="240" w:lineRule="exact"/>
              <w:rPr>
                <w:b/>
                <w:color w:val="000000" w:themeColor="text1"/>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2020年11</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0" w:hanging="100" w:hangingChars="50"/>
              <w:rPr>
                <w:b/>
                <w:color w:val="auto"/>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rFonts w:ascii="宋体" w:hAnsi="宋体"/>
                <w:b/>
                <w:color w:val="auto"/>
                <w:sz w:val="21"/>
                <w:szCs w:val="21"/>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asciiTheme="minorEastAsia" w:hAnsiTheme="minorEastAsia" w:eastAsiaTheme="minorEastAsia" w:cstheme="minorEastAsia"/>
                <w:szCs w:val="21"/>
              </w:rPr>
              <w:t>2020年10月11日－2020年10月12日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rPr>
                <w:b/>
                <w:color w:val="000000" w:themeColor="text1"/>
                <w:sz w:val="20"/>
                <w:szCs w:val="20"/>
              </w:rPr>
            </w:pPr>
            <w:r>
              <w:rPr>
                <w:rFonts w:hint="eastAsia" w:ascii="宋体" w:hAnsi="宋体" w:cs="宋体"/>
                <w:color w:val="auto"/>
                <w:szCs w:val="21"/>
              </w:rPr>
              <w:t>管理评审频次为一年一次、本次管理评审于</w:t>
            </w:r>
            <w:r>
              <w:rPr>
                <w:rFonts w:hint="eastAsia" w:asciiTheme="minorEastAsia" w:hAnsiTheme="minorEastAsia" w:eastAsiaTheme="minorEastAsia" w:cstheme="minorEastAsia"/>
                <w:szCs w:val="21"/>
              </w:rPr>
              <w:t>2020年10月18日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pStyle w:val="11"/>
              <w:numPr>
                <w:ilvl w:val="0"/>
                <w:numId w:val="0"/>
              </w:numPr>
              <w:rPr>
                <w:rFonts w:hint="default" w:eastAsia="宋体"/>
                <w:lang w:val="en-US" w:eastAsia="zh-CN"/>
              </w:rPr>
            </w:pPr>
            <w:r>
              <w:rPr>
                <w:rFonts w:hint="eastAsia"/>
                <w:lang w:val="en-US" w:eastAsia="zh-CN"/>
              </w:rPr>
              <w:t>对噪音进行了监测，符合要求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Cs/>
                <w:szCs w:val="21"/>
              </w:rPr>
              <w:t>一阶段提供的问题</w:t>
            </w:r>
            <w:r>
              <w:rPr>
                <w:rFonts w:hint="eastAsia"/>
                <w:bCs/>
                <w:szCs w:val="21"/>
                <w:lang w:eastAsia="zh-CN"/>
              </w:rPr>
              <w:t>：</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5"/>
              </w:numPr>
              <w:spacing w:line="240" w:lineRule="exact"/>
              <w:ind w:left="0" w:leftChars="0" w:firstLine="0" w:firstLineChars="0"/>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ind w:leftChars="0"/>
              <w:rPr>
                <w:rFonts w:hint="default" w:eastAsia="宋体"/>
                <w:b/>
                <w:color w:val="000000" w:themeColor="text1"/>
                <w:szCs w:val="21"/>
                <w:lang w:val="en-US" w:eastAsia="zh-CN"/>
              </w:rPr>
            </w:pPr>
            <w:r>
              <w:rPr>
                <w:rFonts w:hint="eastAsia"/>
                <w:b/>
                <w:color w:val="000000" w:themeColor="text1"/>
                <w:szCs w:val="21"/>
                <w:lang w:val="en-US" w:eastAsia="zh-CN"/>
              </w:rPr>
              <w:t>上次不符合整改有效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bookmarkStart w:id="12" w:name="_GoBack"/>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北京德宝豪特能源科技有限公司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pStyle w:val="11"/>
              <w:rPr>
                <w:color w:val="auto"/>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rFonts w:hint="eastAsia"/>
                <w:color w:val="000000"/>
                <w:szCs w:val="21"/>
              </w:rPr>
            </w:pPr>
            <w:r>
              <w:rPr>
                <w:rFonts w:hint="eastAsia" w:ascii="宋体" w:hAnsi="宋体"/>
                <w:szCs w:val="21"/>
              </w:rPr>
              <w:t>Q：型式批准范围内超声波式热量表的开发和生产(仅限北京德宝豪特能源科技有限公司昌平分公司经营)及相关技术服务;供热管理系统（管理系统软件、抄表器、集中器、采集器）的开发及相关技术服务</w:t>
            </w:r>
          </w:p>
          <w:p>
            <w:pPr>
              <w:rPr>
                <w:rFonts w:hint="eastAsia" w:ascii="宋体" w:hAnsi="宋体"/>
                <w:szCs w:val="21"/>
              </w:rPr>
            </w:pPr>
            <w:r>
              <w:rPr>
                <w:rFonts w:hint="eastAsia" w:ascii="宋体" w:hAnsi="宋体"/>
                <w:szCs w:val="21"/>
              </w:rPr>
              <w:t>E：型式批准范围内超声波式热量表的开发和生产(仅限北京德宝豪特能源科技有限公司昌平分公司经营)及相关技术服务;供热管理系统（管理系统软件、抄表器、集中器、采集器）的开发及相关技术服务及其所涉及的环境管理活动</w:t>
            </w:r>
          </w:p>
          <w:p>
            <w:pPr>
              <w:rPr>
                <w:rFonts w:hint="eastAsia" w:ascii="宋体" w:hAnsi="宋体"/>
                <w:szCs w:val="21"/>
              </w:rPr>
            </w:pPr>
            <w:r>
              <w:rPr>
                <w:rFonts w:hint="eastAsia" w:ascii="宋体" w:hAnsi="宋体"/>
                <w:szCs w:val="21"/>
              </w:rPr>
              <w:t>O：型式批准范围内超声波式热量表的开发和生产(仅限北京德宝豪特能源科技有限公司昌平分公司经营)及相关技术服务;供热管理系统（管理系统软件、抄表器、集中器、采集器）的开发及相关技术服务 及其所涉及的</w:t>
            </w:r>
            <w:r>
              <w:rPr>
                <w:rFonts w:hint="eastAsia" w:ascii="宋体" w:hAnsi="宋体"/>
                <w:szCs w:val="21"/>
                <w:lang w:val="en-US" w:eastAsia="zh-CN"/>
              </w:rPr>
              <w:t>职业健康安全</w:t>
            </w:r>
            <w:r>
              <w:rPr>
                <w:rFonts w:hint="eastAsia" w:ascii="宋体" w:hAnsi="宋体"/>
                <w:szCs w:val="21"/>
              </w:rPr>
              <w:t>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21</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D1587"/>
    <w:multiLevelType w:val="singleLevel"/>
    <w:tmpl w:val="C75D1587"/>
    <w:lvl w:ilvl="0" w:tentative="0">
      <w:start w:val="5"/>
      <w:numFmt w:val="decimal"/>
      <w:suff w:val="space"/>
      <w:lvlText w:val="%1."/>
      <w:lvlJc w:val="left"/>
    </w:lvl>
  </w:abstractNum>
  <w:abstractNum w:abstractNumId="1">
    <w:nsid w:val="3E3348D5"/>
    <w:multiLevelType w:val="singleLevel"/>
    <w:tmpl w:val="3E3348D5"/>
    <w:lvl w:ilvl="0" w:tentative="0">
      <w:start w:val="2"/>
      <w:numFmt w:val="decimal"/>
      <w:suff w:val="nothing"/>
      <w:lvlText w:val="%1、"/>
      <w:lvlJc w:val="left"/>
    </w:lvl>
  </w:abstractNum>
  <w:abstractNum w:abstractNumId="2">
    <w:nsid w:val="45A72B32"/>
    <w:multiLevelType w:val="singleLevel"/>
    <w:tmpl w:val="45A72B32"/>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2131BC"/>
    <w:rsid w:val="15B51EF8"/>
    <w:rsid w:val="17D867D5"/>
    <w:rsid w:val="189A4F53"/>
    <w:rsid w:val="1AF42C43"/>
    <w:rsid w:val="32331EC4"/>
    <w:rsid w:val="49B01DC7"/>
    <w:rsid w:val="4D024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5"/>
    <w:qFormat/>
    <w:uiPriority w:val="99"/>
    <w:rPr>
      <w:rFonts w:ascii="Times New Roman" w:hAnsi="Times New Roman" w:eastAsia="宋体" w:cs="Times New Roman"/>
      <w:sz w:val="18"/>
      <w:szCs w:val="18"/>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2020-12-22T01:53:50Z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