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color w:val="000000"/>
          <w:sz w:val="36"/>
          <w:szCs w:val="36"/>
        </w:rPr>
        <w:t>管理体系审核记录表</w:t>
      </w:r>
    </w:p>
    <w:tbl>
      <w:tblPr>
        <w:tblStyle w:val="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960"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受审核部门：质检部    主管领导：刘阿利      陪同人员：曹瑞新</w:t>
            </w:r>
          </w:p>
        </w:tc>
        <w:tc>
          <w:tcPr>
            <w:tcW w:w="1585"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cstheme="minorEastAsia"/>
                <w:szCs w:val="21"/>
              </w:rPr>
            </w:pPr>
          </w:p>
        </w:tc>
        <w:tc>
          <w:tcPr>
            <w:tcW w:w="960" w:type="dxa"/>
            <w:vMerge w:val="continue"/>
            <w:vAlign w:val="center"/>
          </w:tcPr>
          <w:p>
            <w:pPr>
              <w:rPr>
                <w:rFonts w:asciiTheme="minorEastAsia" w:hAnsiTheme="minorEastAsia" w:eastAsiaTheme="minorEastAsia" w:cstheme="minorEastAsia"/>
                <w:szCs w:val="21"/>
              </w:rPr>
            </w:pPr>
          </w:p>
        </w:tc>
        <w:tc>
          <w:tcPr>
            <w:tcW w:w="10004" w:type="dxa"/>
            <w:vAlign w:val="center"/>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w:t>
            </w:r>
            <w:r>
              <w:rPr>
                <w:rFonts w:hint="eastAsia" w:asciiTheme="minorEastAsia" w:hAnsiTheme="minorEastAsia" w:eastAsiaTheme="minorEastAsia" w:cstheme="minorEastAsia"/>
                <w:szCs w:val="21"/>
                <w:lang w:val="en-US" w:eastAsia="zh-CN"/>
              </w:rPr>
              <w:t>李京田</w:t>
            </w:r>
            <w:r>
              <w:rPr>
                <w:rFonts w:hint="eastAsia" w:asciiTheme="minorEastAsia" w:hAnsiTheme="minorEastAsia" w:eastAsiaTheme="minorEastAsia" w:cstheme="minorEastAsia"/>
                <w:szCs w:val="21"/>
              </w:rPr>
              <w:t xml:space="preserve">  审核时间：</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年12月</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日</w:t>
            </w:r>
          </w:p>
        </w:tc>
        <w:tc>
          <w:tcPr>
            <w:tcW w:w="1585"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cstheme="minorEastAsia"/>
                <w:szCs w:val="21"/>
              </w:rPr>
            </w:pPr>
          </w:p>
        </w:tc>
        <w:tc>
          <w:tcPr>
            <w:tcW w:w="960" w:type="dxa"/>
            <w:vMerge w:val="continue"/>
            <w:vAlign w:val="center"/>
          </w:tcPr>
          <w:p>
            <w:pPr>
              <w:rPr>
                <w:rFonts w:asciiTheme="minorEastAsia" w:hAnsiTheme="minorEastAsia" w:eastAsiaTheme="minorEastAsia" w:cstheme="minorEastAsia"/>
                <w:szCs w:val="21"/>
              </w:rPr>
            </w:pPr>
          </w:p>
        </w:tc>
        <w:tc>
          <w:tcPr>
            <w:tcW w:w="10004" w:type="dxa"/>
            <w:vAlign w:val="center"/>
          </w:tcPr>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审核条款：Q</w:t>
            </w:r>
            <w:r>
              <w:rPr>
                <w:rFonts w:hint="eastAsia" w:asciiTheme="minorEastAsia" w:hAnsiTheme="minorEastAsia" w:eastAsiaTheme="minorEastAsia" w:cstheme="minorEastAsia"/>
                <w:szCs w:val="21"/>
                <w:lang w:val="en-US" w:eastAsia="zh-CN"/>
              </w:rPr>
              <w:t>ES</w:t>
            </w:r>
            <w:r>
              <w:rPr>
                <w:rFonts w:hint="eastAsia" w:asciiTheme="minorEastAsia" w:hAnsiTheme="minorEastAsia" w:eastAsiaTheme="minorEastAsia" w:cstheme="minorEastAsia"/>
                <w:szCs w:val="21"/>
              </w:rPr>
              <w:t xml:space="preserve">:5.3，6.2， </w:t>
            </w:r>
            <w:r>
              <w:rPr>
                <w:rFonts w:hint="eastAsia" w:asciiTheme="minorEastAsia" w:hAnsiTheme="minorEastAsia" w:eastAsiaTheme="minorEastAsia" w:cstheme="minorEastAsia"/>
                <w:szCs w:val="21"/>
                <w:lang w:val="en-US" w:eastAsia="zh-CN"/>
              </w:rPr>
              <w:t>Q:</w:t>
            </w:r>
            <w:r>
              <w:rPr>
                <w:rFonts w:hint="eastAsia" w:asciiTheme="minorEastAsia" w:hAnsiTheme="minorEastAsia" w:eastAsiaTheme="minorEastAsia" w:cstheme="minorEastAsia"/>
                <w:szCs w:val="21"/>
              </w:rPr>
              <w:t>7.1.5</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 xml:space="preserve"> 8.6 </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 xml:space="preserve">8.7 </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10.2</w:t>
            </w:r>
            <w:r>
              <w:rPr>
                <w:rFonts w:hint="eastAsia" w:asciiTheme="minorEastAsia" w:hAnsiTheme="minorEastAsia" w:eastAsiaTheme="minorEastAsia" w:cstheme="minorEastAsia"/>
                <w:szCs w:val="21"/>
                <w:lang w:val="en-US" w:eastAsia="zh-CN"/>
              </w:rPr>
              <w:t xml:space="preserve">  ES:6.1.2、8.1、8.2</w:t>
            </w:r>
          </w:p>
        </w:tc>
        <w:tc>
          <w:tcPr>
            <w:tcW w:w="1585"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职责和权限</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QES</w:t>
            </w:r>
            <w:r>
              <w:rPr>
                <w:rFonts w:hint="eastAsia" w:asciiTheme="minorEastAsia" w:hAnsiTheme="minorEastAsia" w:eastAsiaTheme="minorEastAsia" w:cstheme="minorEastAsia"/>
                <w:szCs w:val="21"/>
              </w:rPr>
              <w:t>5.3</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提供岗位职责与任职要求，对岗位职责和任职条件进行了描述。</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计量检测设备 及产品检验</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职责和权限与手册描述基本一致</w:t>
            </w:r>
          </w:p>
        </w:tc>
        <w:tc>
          <w:tcPr>
            <w:tcW w:w="158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QES:</w:t>
            </w:r>
            <w:r>
              <w:rPr>
                <w:rFonts w:hint="eastAsia" w:asciiTheme="minorEastAsia" w:hAnsiTheme="minorEastAsia" w:eastAsiaTheme="minorEastAsia" w:cstheme="minorEastAsia"/>
                <w:szCs w:val="21"/>
              </w:rPr>
              <w:t>6.2</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分解到该部门的目标及完成情况如下：</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部门目标：                                                                    </w:t>
            </w:r>
          </w:p>
          <w:p>
            <w:pPr>
              <w:spacing w:line="360" w:lineRule="auto"/>
              <w:jc w:val="left"/>
              <w:rPr>
                <w:rFonts w:hint="eastAsia" w:eastAsia="方正北魏楷书简体"/>
                <w:color w:val="000000"/>
                <w:sz w:val="21"/>
                <w:szCs w:val="21"/>
              </w:rPr>
            </w:pPr>
            <w:r>
              <w:rPr>
                <w:rFonts w:hint="eastAsia" w:eastAsia="方正北魏楷书简体"/>
                <w:color w:val="000000"/>
                <w:sz w:val="21"/>
                <w:szCs w:val="21"/>
              </w:rPr>
              <w:t>1、监视测量设备有效率100%</w:t>
            </w:r>
          </w:p>
          <w:p>
            <w:pPr>
              <w:spacing w:line="360" w:lineRule="auto"/>
              <w:rPr>
                <w:rFonts w:hint="eastAsia" w:eastAsia="方正北魏楷书简体"/>
                <w:color w:val="000000"/>
                <w:sz w:val="21"/>
                <w:szCs w:val="21"/>
              </w:rPr>
            </w:pPr>
            <w:r>
              <w:rPr>
                <w:rFonts w:hint="eastAsia" w:eastAsia="方正北魏楷书简体"/>
                <w:color w:val="000000"/>
                <w:sz w:val="21"/>
                <w:szCs w:val="21"/>
              </w:rPr>
              <w:t>2、不合格品处理完成率100%</w:t>
            </w:r>
          </w:p>
          <w:p>
            <w:pPr>
              <w:rPr>
                <w:rFonts w:hint="eastAsia" w:eastAsia="方正北魏楷书简体"/>
                <w:color w:val="000000"/>
                <w:sz w:val="21"/>
                <w:szCs w:val="21"/>
              </w:rPr>
            </w:pPr>
            <w:r>
              <w:rPr>
                <w:rFonts w:hint="eastAsia" w:eastAsia="方正北魏楷书简体"/>
                <w:color w:val="000000"/>
                <w:sz w:val="21"/>
                <w:szCs w:val="21"/>
                <w:lang w:val="en-US" w:eastAsia="zh-CN"/>
              </w:rPr>
              <w:t>3、</w:t>
            </w:r>
            <w:r>
              <w:rPr>
                <w:rFonts w:hint="eastAsia" w:eastAsia="方正北魏楷书简体"/>
                <w:color w:val="000000"/>
                <w:sz w:val="21"/>
                <w:szCs w:val="21"/>
              </w:rPr>
              <w:t>固体废物100％分类</w:t>
            </w:r>
          </w:p>
          <w:p>
            <w:pPr>
              <w:rPr>
                <w:rFonts w:ascii="宋体" w:hAnsi="宋体"/>
                <w:szCs w:val="21"/>
              </w:rPr>
            </w:pPr>
            <w:r>
              <w:rPr>
                <w:rFonts w:hint="eastAsia" w:ascii="宋体" w:hAnsi="宋体"/>
                <w:szCs w:val="21"/>
              </w:rPr>
              <w:t>4、火灾事故发生率为零</w:t>
            </w:r>
          </w:p>
          <w:p>
            <w:pPr>
              <w:tabs>
                <w:tab w:val="left" w:pos="7380"/>
              </w:tabs>
              <w:rPr>
                <w:rFonts w:hint="default" w:ascii="宋体" w:hAnsi="宋体" w:cs="Times New Roman"/>
                <w:szCs w:val="21"/>
                <w:lang w:val="en-US" w:eastAsia="zh-CN"/>
              </w:rPr>
            </w:pPr>
            <w:r>
              <w:rPr>
                <w:rFonts w:hint="eastAsia" w:ascii="宋体" w:hAnsi="宋体" w:cs="Times New Roman"/>
                <w:szCs w:val="21"/>
                <w:lang w:val="en-US" w:eastAsia="zh-CN"/>
              </w:rPr>
              <w:t>提供</w:t>
            </w:r>
            <w:r>
              <w:rPr>
                <w:rFonts w:hint="eastAsia" w:ascii="宋体" w:hAnsi="宋体" w:cs="Times New Roman"/>
                <w:szCs w:val="21"/>
                <w:lang w:eastAsia="zh-CN"/>
              </w:rPr>
              <w:t>2020</w:t>
            </w:r>
            <w:r>
              <w:rPr>
                <w:rFonts w:hint="eastAsia" w:ascii="宋体" w:hAnsi="宋体" w:cs="Times New Roman"/>
                <w:szCs w:val="21"/>
              </w:rPr>
              <w:t>年</w:t>
            </w:r>
            <w:r>
              <w:rPr>
                <w:rFonts w:hint="eastAsia" w:ascii="宋体" w:hAnsi="宋体" w:cs="Times New Roman"/>
                <w:szCs w:val="21"/>
                <w:lang w:val="en-US" w:eastAsia="zh-CN"/>
              </w:rPr>
              <w:t>1</w:t>
            </w:r>
            <w:r>
              <w:rPr>
                <w:rFonts w:hint="eastAsia" w:ascii="宋体" w:hAnsi="宋体" w:cs="Times New Roman"/>
                <w:szCs w:val="21"/>
              </w:rPr>
              <w:t>月至11月目标完成情况</w:t>
            </w:r>
            <w:r>
              <w:rPr>
                <w:rFonts w:hint="eastAsia" w:ascii="宋体" w:hAnsi="宋体" w:cs="Times New Roman"/>
                <w:szCs w:val="21"/>
                <w:lang w:val="en-US" w:eastAsia="zh-CN"/>
              </w:rPr>
              <w:t>统计表，目标均完成。</w:t>
            </w:r>
          </w:p>
          <w:p>
            <w:pPr>
              <w:tabs>
                <w:tab w:val="left" w:pos="7380"/>
              </w:tabs>
              <w:rPr>
                <w:rFonts w:hint="eastAsia" w:ascii="宋体" w:hAnsi="宋体" w:eastAsia="宋体" w:cs="Times New Roman"/>
                <w:color w:val="auto"/>
                <w:kern w:val="2"/>
                <w:sz w:val="18"/>
                <w:szCs w:val="22"/>
                <w:lang w:val="en-US" w:eastAsia="zh-CN" w:bidi="ar-SA"/>
              </w:rPr>
            </w:pPr>
            <w:r>
              <w:rPr>
                <w:rFonts w:hint="eastAsia" w:ascii="宋体" w:hAnsi="宋体" w:cs="Times New Roman"/>
                <w:szCs w:val="21"/>
                <w:lang w:val="en-US" w:eastAsia="zh-CN"/>
              </w:rPr>
              <w:t>对以上的目</w:t>
            </w:r>
            <w:r>
              <w:rPr>
                <w:rFonts w:hint="eastAsia" w:ascii="宋体" w:hAnsi="宋体" w:eastAsia="宋体" w:cs="Times New Roman"/>
                <w:color w:val="auto"/>
                <w:kern w:val="2"/>
                <w:sz w:val="18"/>
                <w:szCs w:val="22"/>
                <w:lang w:val="en-US" w:eastAsia="zh-CN" w:bidi="ar-SA"/>
              </w:rPr>
              <w:t>标指标制定了管理方案：</w:t>
            </w:r>
          </w:p>
          <w:p>
            <w:pPr>
              <w:tabs>
                <w:tab w:val="left" w:pos="7380"/>
              </w:tabs>
              <w:rPr>
                <w:rFonts w:hint="eastAsia" w:ascii="宋体" w:hAnsi="宋体" w:cs="Times New Roman"/>
                <w:szCs w:val="21"/>
                <w:lang w:val="en-US" w:eastAsia="zh-CN"/>
              </w:rPr>
            </w:pPr>
            <w:r>
              <w:rPr>
                <w:rFonts w:hint="eastAsia" w:ascii="宋体" w:hAnsi="宋体" w:cs="Times New Roman"/>
                <w:szCs w:val="21"/>
                <w:lang w:val="en-US" w:eastAsia="zh-CN"/>
              </w:rPr>
              <w:t>环境和职业健康安全体系建立了管理方案，查管理方案表，共3项： 1、办公用硒鼓、墨盒等固废等原材料废弃物等分类收集保管，交由相应部门处置；</w:t>
            </w:r>
          </w:p>
          <w:p>
            <w:pPr>
              <w:tabs>
                <w:tab w:val="left" w:pos="7380"/>
              </w:tabs>
              <w:rPr>
                <w:rFonts w:hint="eastAsia" w:ascii="宋体" w:hAnsi="宋体" w:cs="Times New Roman"/>
                <w:szCs w:val="21"/>
                <w:lang w:val="en-US" w:eastAsia="zh-CN"/>
              </w:rPr>
            </w:pPr>
            <w:r>
              <w:rPr>
                <w:rFonts w:hint="eastAsia" w:ascii="宋体" w:hAnsi="宋体" w:cs="Times New Roman"/>
                <w:szCs w:val="21"/>
                <w:lang w:val="en-US" w:eastAsia="zh-CN"/>
              </w:rPr>
              <w:t>2、杜绝火灾发生，制定了管理方案: 制定3项管理方案：.制定相应的管理制度并严格执行，配备必要的防火设施（包括灭火器a、消防栓等）并保证其完好</w:t>
            </w:r>
          </w:p>
          <w:p>
            <w:pPr>
              <w:tabs>
                <w:tab w:val="left" w:pos="7380"/>
              </w:tabs>
              <w:rPr>
                <w:rFonts w:hint="eastAsia" w:ascii="宋体" w:hAnsi="宋体" w:cs="Times New Roman"/>
                <w:szCs w:val="21"/>
                <w:lang w:val="en-US" w:eastAsia="zh-CN"/>
              </w:rPr>
            </w:pPr>
            <w:r>
              <w:rPr>
                <w:rFonts w:hint="eastAsia" w:ascii="宋体" w:hAnsi="宋体" w:cs="Times New Roman"/>
                <w:szCs w:val="21"/>
                <w:lang w:val="en-US" w:eastAsia="zh-CN"/>
              </w:rPr>
              <w:t>b. 成立应急响应工作小组（见《应急预案》）</w:t>
            </w:r>
          </w:p>
          <w:p>
            <w:pPr>
              <w:tabs>
                <w:tab w:val="left" w:pos="7380"/>
              </w:tabs>
              <w:rPr>
                <w:rFonts w:hint="default" w:ascii="宋体" w:hAnsi="宋体" w:cs="Times New Roman"/>
                <w:szCs w:val="21"/>
                <w:lang w:val="en-US" w:eastAsia="zh-CN"/>
              </w:rPr>
            </w:pPr>
            <w:r>
              <w:rPr>
                <w:rFonts w:hint="eastAsia" w:ascii="宋体" w:hAnsi="宋体" w:cs="Times New Roman"/>
                <w:szCs w:val="21"/>
                <w:lang w:val="en-US" w:eastAsia="zh-CN"/>
              </w:rPr>
              <w:t>c. 淘汰过期、报废设备,对灭火器更新；每年进行一次消防演习。责任部门：综合部，检查人：</w:t>
            </w:r>
            <w:r>
              <w:rPr>
                <w:rFonts w:hint="eastAsia" w:ascii="宋体" w:hAnsi="宋体" w:cs="Times New Roman"/>
                <w:szCs w:val="21"/>
                <w:lang w:eastAsia="zh-CN"/>
              </w:rPr>
              <w:t>曹瑞新</w:t>
            </w:r>
            <w:r>
              <w:rPr>
                <w:rFonts w:hint="eastAsia" w:ascii="宋体" w:hAnsi="宋体" w:cs="Times New Roman"/>
                <w:szCs w:val="21"/>
                <w:lang w:val="en-US" w:eastAsia="zh-CN"/>
              </w:rPr>
              <w:t>，资金投入3000元，执行日期：长期</w:t>
            </w:r>
          </w:p>
          <w:p>
            <w:pPr>
              <w:tabs>
                <w:tab w:val="left" w:pos="7380"/>
              </w:tabs>
              <w:rPr>
                <w:rFonts w:hint="eastAsia" w:ascii="宋体" w:hAnsi="宋体" w:cs="Times New Roman"/>
                <w:szCs w:val="21"/>
                <w:lang w:val="en-US" w:eastAsia="zh-CN"/>
              </w:rPr>
            </w:pPr>
            <w:r>
              <w:rPr>
                <w:rFonts w:hint="eastAsia" w:ascii="宋体" w:hAnsi="宋体" w:cs="Times New Roman"/>
                <w:szCs w:val="21"/>
                <w:lang w:val="en-US" w:eastAsia="zh-CN"/>
              </w:rPr>
              <w:t>3、电线老化引发火灾、临时接电触电,管理方案：a、电线检修   b、对职工进行安全教育培训。</w:t>
            </w:r>
          </w:p>
          <w:p>
            <w:pPr>
              <w:tabs>
                <w:tab w:val="left" w:pos="7380"/>
              </w:tabs>
              <w:rPr>
                <w:rFonts w:hint="default" w:ascii="宋体" w:hAnsi="宋体" w:cs="Times New Roman"/>
                <w:szCs w:val="21"/>
                <w:lang w:val="en-US" w:eastAsia="zh-CN"/>
              </w:rPr>
            </w:pPr>
            <w:r>
              <w:rPr>
                <w:rFonts w:hint="eastAsia" w:ascii="宋体" w:hAnsi="宋体" w:cs="Times New Roman"/>
                <w:szCs w:val="21"/>
                <w:lang w:val="en-US" w:eastAsia="zh-CN"/>
              </w:rPr>
              <w:t>资金预算费300元，执行部门：各部门，责任部门：管理部，执行日期：长期</w:t>
            </w:r>
          </w:p>
          <w:p>
            <w:pPr>
              <w:rPr>
                <w:rFonts w:hint="eastAsia" w:asciiTheme="minorEastAsia" w:hAnsiTheme="minorEastAsia" w:eastAsiaTheme="minorEastAsia" w:cstheme="minorEastAsia"/>
                <w:szCs w:val="21"/>
              </w:rPr>
            </w:pPr>
            <w:r>
              <w:rPr>
                <w:rFonts w:hint="eastAsia" w:ascii="宋体" w:hAnsi="宋体" w:cs="Times New Roman"/>
                <w:szCs w:val="21"/>
                <w:lang w:val="en-US" w:eastAsia="zh-CN"/>
              </w:rPr>
              <w:t>上述目标、指标2020年第二、三季度进行考核，考核结果：全部达标，制定的指标和管理方案基本可行</w:t>
            </w:r>
          </w:p>
        </w:tc>
        <w:tc>
          <w:tcPr>
            <w:tcW w:w="158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监视和测量资源</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7.1.5</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提供了《监视和测量设备清单》</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热能表检定装置；热能表检定用恒温槽；标准铂电阻温度计；高精度温度显示仪；高精度数字测温仪；磁铁；绝缘电阻测试仪；直流电阻器；温湿度表；游标卡尺；电子秒表；数字示波器；数字多用表等计量器具.</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提供了所有计量器具的检定证书</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设备名称            规格型号     校准日期</w:t>
            </w:r>
          </w:p>
          <w:p>
            <w:pPr>
              <w:rPr>
                <w:rFonts w:hint="eastAsia"/>
              </w:rPr>
            </w:pPr>
            <w:r>
              <w:rPr>
                <w:rFonts w:hint="eastAsia"/>
              </w:rPr>
              <w:t>标准铂电阻温度计  有效期：2022.8.24</w:t>
            </w:r>
          </w:p>
          <w:p>
            <w:pPr>
              <w:rPr>
                <w:rFonts w:hint="eastAsia"/>
              </w:rPr>
            </w:pPr>
            <w:r>
              <w:rPr>
                <w:rFonts w:hint="eastAsia"/>
              </w:rPr>
              <w:t>标准铂电阻温度计  WZPB-2   2022.8.24</w:t>
            </w:r>
          </w:p>
          <w:p>
            <w:pPr>
              <w:rPr>
                <w:rFonts w:hint="eastAsia"/>
              </w:rPr>
            </w:pPr>
            <w:r>
              <w:rPr>
                <w:rFonts w:hint="eastAsia"/>
              </w:rPr>
              <w:t>高精度温度显示仪   有效期：2021.1.23</w:t>
            </w:r>
          </w:p>
          <w:p>
            <w:pPr>
              <w:rPr>
                <w:szCs w:val="21"/>
              </w:rPr>
            </w:pPr>
            <w:r>
              <w:rPr>
                <w:szCs w:val="21"/>
              </w:rPr>
              <w:t>………</w:t>
            </w:r>
            <w:r>
              <w:rPr>
                <w:rFonts w:hint="eastAsia"/>
                <w:szCs w:val="21"/>
              </w:rPr>
              <w:t>.</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检定单位北京市计量检测科学研究院.</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生产过程使用检定测试软件“德宝科技”，此系统为自主研发使用，不上市。软件主要为校正热力表。软件目前为V1版，近年无更改。系统维护、升级由技术部负责，目前软件使用正常，未出现异常情况。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经过现场查看及与负责人交流得知，公司暂无购买的其他计算机软件用于规定要求的监视和测量。</w:t>
            </w:r>
          </w:p>
        </w:tc>
        <w:tc>
          <w:tcPr>
            <w:tcW w:w="158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放行控制</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8.6</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抽进货检验记录：检验依据：图纸及合同要求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抽记录：</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供方：浙江万辉    日期：</w:t>
            </w:r>
            <w:r>
              <w:rPr>
                <w:rFonts w:hint="eastAsia" w:asciiTheme="minorEastAsia" w:hAnsiTheme="minorEastAsia" w:eastAsiaTheme="minorEastAsia" w:cstheme="minorEastAsia"/>
                <w:szCs w:val="21"/>
                <w:lang w:eastAsia="zh-CN"/>
              </w:rPr>
              <w:t>2020</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9</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4   检验员：刘阿利</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产品名称：超声波底座   型号规格：Z-01-05-0403</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产品图号：HM-00-U/005-01</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检验项目：外观：无破损、无毛边              检验结果：合格</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尺寸：定位孔距：64.22  58.15                 合格</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64.11  57.98                  合格</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检验结论</w:t>
            </w:r>
            <w:r>
              <w:rPr>
                <w:rFonts w:hint="eastAsia" w:asciiTheme="minorEastAsia" w:hAnsiTheme="minorEastAsia" w:eastAsiaTheme="minorEastAsia" w:cstheme="minorEastAsia"/>
                <w:szCs w:val="21"/>
              </w:rPr>
              <w:t>：合格</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供方：柏瑞安  日期：</w:t>
            </w:r>
            <w:r>
              <w:rPr>
                <w:rFonts w:hint="eastAsia" w:asciiTheme="minorEastAsia" w:hAnsiTheme="minorEastAsia" w:eastAsiaTheme="minorEastAsia" w:cstheme="minorEastAsia"/>
                <w:szCs w:val="21"/>
                <w:lang w:eastAsia="zh-CN"/>
              </w:rPr>
              <w:t>2020</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7</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4   检验员：刘阿利</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产品名称：PCB板   型号规格：M-BUS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检验项目：外观：无破损、无毛边              检验结果：合格</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功能：翻屏显示：正常、无花屏、无乱码         合格</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检验结论</w:t>
            </w:r>
            <w:r>
              <w:rPr>
                <w:rFonts w:hint="eastAsia" w:asciiTheme="minorEastAsia" w:hAnsiTheme="minorEastAsia" w:eastAsiaTheme="minorEastAsia" w:cstheme="minorEastAsia"/>
                <w:szCs w:val="21"/>
              </w:rPr>
              <w:t>：合格</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供方：大连元茂  日期：</w:t>
            </w:r>
            <w:r>
              <w:rPr>
                <w:rFonts w:hint="eastAsia" w:asciiTheme="minorEastAsia" w:hAnsiTheme="minorEastAsia" w:eastAsiaTheme="minorEastAsia" w:cstheme="minorEastAsia"/>
                <w:szCs w:val="21"/>
                <w:lang w:eastAsia="zh-CN"/>
              </w:rPr>
              <w:t>2020</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7</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4   检验员：刘阿利   数量：3600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产品名称：配对温度传感器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检验项目：外观：完好无破损             检验结果：合格</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温差： 温差检测0.07-01（k）        合格</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检验结论</w:t>
            </w:r>
            <w:r>
              <w:rPr>
                <w:rFonts w:hint="eastAsia" w:asciiTheme="minorEastAsia" w:hAnsiTheme="minorEastAsia" w:eastAsiaTheme="minorEastAsia" w:cstheme="minorEastAsia"/>
                <w:szCs w:val="21"/>
              </w:rPr>
              <w:t>：合格</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供方：威海天罡   日期：</w:t>
            </w:r>
            <w:r>
              <w:rPr>
                <w:rFonts w:hint="eastAsia" w:asciiTheme="minorEastAsia" w:hAnsiTheme="minorEastAsia" w:eastAsiaTheme="minorEastAsia" w:cstheme="minorEastAsia"/>
                <w:szCs w:val="21"/>
                <w:lang w:eastAsia="zh-CN"/>
              </w:rPr>
              <w:t>2020</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7</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25   检验员：刘阿利   数量：280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产品名称：基表    型号规格：Z-01-01-0401 DN32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检验项目：外观：无毛边、无破损、换能器孔内无划痕             检验结果：合格</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尺寸： 总长：180.04mm        合格</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换能器安装孔深：10.02mm      合格</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台阶内径：21.08mm            合格</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连接：  环规检测            合格</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检验结论</w:t>
            </w:r>
            <w:r>
              <w:rPr>
                <w:rFonts w:hint="eastAsia" w:asciiTheme="minorEastAsia" w:hAnsiTheme="minorEastAsia" w:eastAsiaTheme="minorEastAsia" w:cstheme="minorEastAsia"/>
                <w:szCs w:val="21"/>
              </w:rPr>
              <w:t>：合格</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供方：宁波科奥   日期：</w:t>
            </w:r>
            <w:r>
              <w:rPr>
                <w:rFonts w:hint="eastAsia" w:asciiTheme="minorEastAsia" w:hAnsiTheme="minorEastAsia" w:eastAsiaTheme="minorEastAsia" w:cstheme="minorEastAsia"/>
                <w:szCs w:val="21"/>
                <w:lang w:eastAsia="zh-CN"/>
              </w:rPr>
              <w:t>2020</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7</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25   检验员：刘阿利   数量：280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产品名称：壳体    型号规格：84/97/10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检验项目：外观：无毛边、无破损             检验结果：合格</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检验结论</w:t>
            </w:r>
            <w:r>
              <w:rPr>
                <w:rFonts w:hint="eastAsia" w:asciiTheme="minorEastAsia" w:hAnsiTheme="minorEastAsia" w:eastAsiaTheme="minorEastAsia" w:cstheme="minorEastAsia"/>
                <w:szCs w:val="21"/>
              </w:rPr>
              <w:t>：合格</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供方：沧州杰森电子   日期：</w:t>
            </w:r>
            <w:r>
              <w:rPr>
                <w:rFonts w:hint="eastAsia" w:asciiTheme="minorEastAsia" w:hAnsiTheme="minorEastAsia" w:eastAsiaTheme="minorEastAsia" w:cstheme="minorEastAsia"/>
                <w:szCs w:val="21"/>
                <w:lang w:eastAsia="zh-CN"/>
              </w:rPr>
              <w:t>2020</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28</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26   检验员：刘阿利   数量：2000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产品名称：面膜    型号规格：Z-05-99-0138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检验项目：外观：表面平整 字迹清晰无毛刺，颜色一致，无毛边    检验结果：合格</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尺寸：长：103.01mm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宽：28.00mm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圆弧半径：16.02mm</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检验结论</w:t>
            </w:r>
            <w:r>
              <w:rPr>
                <w:rFonts w:hint="eastAsia" w:asciiTheme="minorEastAsia" w:hAnsiTheme="minorEastAsia" w:eastAsiaTheme="minorEastAsia" w:cstheme="minorEastAsia"/>
                <w:szCs w:val="21"/>
              </w:rPr>
              <w:t>：合格</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另抽其他原材料检验记录，均保存完好，符合要求。</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生产过程及成品检验：</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生产车间产品流转卡：</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产品型号：超声波式热量表   规格型号：DN25   日期：</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年7月12日</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生产批次：</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.7-1    计划数量：860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组装班：</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工序   状态    数量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组装   √      860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烧程序  √     860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结论：刘阿利 合格  </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.7.15</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检验班：</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工序       状态    数量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流量监测  √      860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温度监测  √      860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结论：潘爱琴  合格  </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.7.20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包装班：</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工序       状态    数量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测485通讯  √      860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测功耗      √      860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固化        √      860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密封        √      860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结论：王喜艳  合格  </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.8.1</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工序首检、巡检记录表：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产品名称：热量表     规格型号：ＤＮ２５</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质检员：王喜艳       日期：</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年10月26日</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检验项目        检验方法与检具      操作者自检     质检员检验</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流量计底座组合   目测    合格          潘爱琴         王喜艳  合格</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方壳底座组合     目测    合格          潘爱琴         王喜艳  合格</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焊线路板         目测    合格          潘爱琴         王喜艳  合格</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固定线路板</w:t>
            </w:r>
            <w:r>
              <w:rPr>
                <w:rFonts w:hint="eastAsia" w:asciiTheme="minorEastAsia" w:hAnsiTheme="minorEastAsia" w:eastAsiaTheme="minorEastAsia" w:cstheme="minorEastAsia"/>
                <w:szCs w:val="21"/>
              </w:rPr>
              <w:t xml:space="preserve">       目测    合格          潘爱琴         王喜艳  合格</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抽</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年10月12日</w:t>
            </w:r>
            <w:r>
              <w:rPr>
                <w:rFonts w:asciiTheme="minorEastAsia" w:hAnsiTheme="minorEastAsia" w:eastAsiaTheme="minorEastAsia" w:cstheme="minorEastAsia"/>
                <w:szCs w:val="21"/>
              </w:rPr>
              <w:t>生产过程质量日报表</w:t>
            </w:r>
            <w:r>
              <w:rPr>
                <w:rFonts w:hint="eastAsia" w:asciiTheme="minorEastAsia" w:hAnsiTheme="minorEastAsia" w:eastAsiaTheme="minorEastAsia" w:cstheme="minorEastAsia"/>
                <w:szCs w:val="21"/>
              </w:rPr>
              <w:t>：</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工段：组装</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工序                        投入量        合格量       不合格量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穿密封圈                      600            600          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穿线                          600            600          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流量传感器与底座的组装        600            600          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焊接流量线                    600            600          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焊点用热缩管绝缘，上底座盖    600            600          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线路板镀锡                    600            600          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焊接电路板                    600            600          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电路板打钉上电池              600            600          0</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工段</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检测</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工序                            投入量        合格量       不合格量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检测流量传感器，温度传感器误差   600            600          0</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工段</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包装</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工序          投入量        合格量       不合格量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测485线      600            600          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焊接干簧管    600            600          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固化          600            600          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上透明盖       600            600          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试磁性开关     600            600          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透明盖打钉     600            600          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打密封铅        600            600          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记表号         600            600          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封箱           600            600          0</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统计人</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刘阿利</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抽产品过程检验记录表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年12月5日     生产数量：325     抽检：160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装密封圈 穿线 组装 焊线 上盖 焊线 测试 固化 铅封 外观 检验结果 检验人</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      √   √   √   √   √  √   √   √   √   合格     王喜艳</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抽配对温度传感器和计算器误差检验记录：</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热量表规格：DN25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表号：380489    结束热量（Kwh）：1.0241    出示入口温度：95.803°   初始出口温度：92.673°</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结束入口温度：95.798°     结束出口温度：92.665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结束热量（Kwh）：4.9235   出示入口温度：95.796°   初始出口温度：80.594°</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结束入口温度：95.793°     结束出口温度：80.595</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结束热量（Kwh）：15.6875    出示入口温度：95.794°   初始出口温度：47.194°</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结束入口温度：95.792°     结束出口温度：47.208</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检验员：潘爱琴</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年12月</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日流量传感器误差限检验记录</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温度环境：23    湿度；43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表号：30453987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检验流量（m³/h）：3.5   初始检测水温：入口：49.770005    出口：23.25</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结束检测温度：入口：49.5499992    出口：22.7600002    开始体积：0   结束体积：82.6320038</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秤读数：82.1553192kg    误差0.57999998    误差限1    判断：合格</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检验流量（m³/h）：0.35   初始检测水温：入口：49.770005    出口：23.25</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结束检测温度：入口：49.5499992    出口：22.7600002    开始体积：0   结束体积：10.0950003</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秤读数：10.0839491kg    误差-0.23999999   误差限1    判断：合格</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检验流量（m³/h）：0.07   初始检测水温：入口：49.770005    出口：23.25</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结束检测温度：入口：49.5499992    出口：22.7600002    开始体积：0   结束体积：6.08400011</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秤读数：6.04565573kg    误差0.66000003   误差限1.5    判断：合格</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复核人：李杨    检验员：潘爱琴</w:t>
            </w:r>
          </w:p>
          <w:p>
            <w:pPr>
              <w:rPr>
                <w:rFonts w:asciiTheme="minorEastAsia" w:hAnsiTheme="minorEastAsia" w:eastAsiaTheme="minorEastAsia" w:cstheme="minorEastAsia"/>
                <w:szCs w:val="21"/>
              </w:rPr>
            </w:pPr>
          </w:p>
          <w:p>
            <w:pPr>
              <w:adjustRightInd w:val="0"/>
              <w:snapToGrid w:val="0"/>
              <w:spacing w:line="276" w:lineRule="auto"/>
              <w:rPr>
                <w:rFonts w:ascii="宋体" w:hAnsi="宋体"/>
                <w:szCs w:val="21"/>
              </w:rPr>
            </w:pPr>
            <w:r>
              <w:rPr>
                <w:rFonts w:hint="eastAsia" w:asciiTheme="minorEastAsia" w:hAnsiTheme="minorEastAsia" w:eastAsiaTheme="minorEastAsia" w:cstheme="minorEastAsia"/>
                <w:szCs w:val="21"/>
              </w:rPr>
              <w:t>抽第三方检验报告，</w:t>
            </w:r>
            <w:r>
              <w:rPr>
                <w:rFonts w:hint="eastAsia" w:ascii="宋体" w:hAnsi="宋体"/>
                <w:szCs w:val="21"/>
              </w:rPr>
              <w:t>检验单位：北京计量检测科学院。</w:t>
            </w:r>
          </w:p>
          <w:p>
            <w:pPr>
              <w:adjustRightInd w:val="0"/>
              <w:snapToGrid w:val="0"/>
              <w:spacing w:line="276" w:lineRule="auto"/>
              <w:rPr>
                <w:rFonts w:ascii="宋体" w:hAnsi="宋体"/>
                <w:szCs w:val="21"/>
              </w:rPr>
            </w:pPr>
            <w:r>
              <w:rPr>
                <w:rFonts w:hint="eastAsia" w:ascii="宋体" w:hAnsi="宋体"/>
                <w:szCs w:val="21"/>
              </w:rPr>
              <w:t>检验报告编号：</w:t>
            </w:r>
            <w:r>
              <w:rPr>
                <w:rFonts w:hint="eastAsia" w:ascii="宋体" w:hAnsi="宋体"/>
                <w:szCs w:val="21"/>
                <w:lang w:eastAsia="zh-CN"/>
              </w:rPr>
              <w:t>2020</w:t>
            </w:r>
            <w:r>
              <w:rPr>
                <w:rFonts w:hint="eastAsia" w:ascii="宋体" w:hAnsi="宋体"/>
                <w:szCs w:val="21"/>
              </w:rPr>
              <w:t>SC-014。</w:t>
            </w:r>
          </w:p>
          <w:p>
            <w:pPr>
              <w:adjustRightInd w:val="0"/>
              <w:snapToGrid w:val="0"/>
              <w:spacing w:line="276" w:lineRule="auto"/>
              <w:rPr>
                <w:rFonts w:ascii="宋体" w:hAnsi="宋体"/>
                <w:szCs w:val="21"/>
              </w:rPr>
            </w:pPr>
            <w:r>
              <w:rPr>
                <w:rFonts w:hint="eastAsia" w:ascii="宋体" w:hAnsi="宋体"/>
                <w:szCs w:val="21"/>
              </w:rPr>
              <w:t>签发日期</w:t>
            </w:r>
            <w:r>
              <w:rPr>
                <w:rFonts w:hint="eastAsia" w:ascii="宋体" w:hAnsi="宋体"/>
                <w:szCs w:val="21"/>
                <w:lang w:eastAsia="zh-CN"/>
              </w:rPr>
              <w:t>20</w:t>
            </w:r>
            <w:r>
              <w:rPr>
                <w:rFonts w:hint="eastAsia" w:ascii="宋体" w:hAnsi="宋体"/>
                <w:szCs w:val="21"/>
                <w:lang w:val="en-US" w:eastAsia="zh-CN"/>
              </w:rPr>
              <w:t>19</w:t>
            </w:r>
            <w:r>
              <w:rPr>
                <w:rFonts w:hint="eastAsia" w:ascii="宋体" w:hAnsi="宋体"/>
                <w:szCs w:val="21"/>
              </w:rPr>
              <w:t>年8月27日。</w:t>
            </w:r>
          </w:p>
          <w:p>
            <w:pPr>
              <w:adjustRightInd w:val="0"/>
              <w:snapToGrid w:val="0"/>
              <w:spacing w:line="276" w:lineRule="auto"/>
              <w:rPr>
                <w:rFonts w:ascii="宋体" w:hAnsi="宋体"/>
                <w:szCs w:val="21"/>
              </w:rPr>
            </w:pPr>
            <w:r>
              <w:rPr>
                <w:rFonts w:hint="eastAsia" w:ascii="宋体" w:hAnsi="宋体"/>
                <w:szCs w:val="21"/>
              </w:rPr>
              <w:t>检验项目：显示、强度和密封性、准确度、允许压力损失、重复性、安全要求、运输、电气环境</w:t>
            </w:r>
          </w:p>
          <w:p>
            <w:pPr>
              <w:tabs>
                <w:tab w:val="center" w:pos="4894"/>
              </w:tabs>
              <w:adjustRightInd w:val="0"/>
              <w:snapToGrid w:val="0"/>
              <w:spacing w:line="276" w:lineRule="auto"/>
              <w:rPr>
                <w:rFonts w:ascii="宋体" w:hAnsi="宋体"/>
                <w:szCs w:val="21"/>
              </w:rPr>
            </w:pPr>
            <w:r>
              <w:rPr>
                <w:rFonts w:hint="eastAsia" w:ascii="宋体" w:hAnsi="宋体"/>
                <w:szCs w:val="21"/>
              </w:rPr>
              <w:t>检验结论：合格</w:t>
            </w:r>
          </w:p>
          <w:p>
            <w:pPr>
              <w:tabs>
                <w:tab w:val="center" w:pos="4894"/>
              </w:tabs>
              <w:adjustRightInd w:val="0"/>
              <w:snapToGrid w:val="0"/>
              <w:spacing w:line="276"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产品放行受控。</w:t>
            </w:r>
          </w:p>
        </w:tc>
        <w:tc>
          <w:tcPr>
            <w:tcW w:w="158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不合格输出的控制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不合格和纠正措施</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8.7</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10.2</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查有《不合格控制程序》《纠正与预防措施控制程序》，对不合格输出进行识别和控制，防止不合格输出的非预期使用或交付。</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询问部门负责人称目前没有不合格的非预期使用情况。未发生投诉所引起的不合格。</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抽不合格品/不符合评审处置单</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不合格原因及特征：传感器信号异常</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原因分析：匹配电路板元器件质量问题</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处置意见：更换</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各部门意见</w:t>
            </w:r>
            <w:r>
              <w:rPr>
                <w:rFonts w:hint="eastAsia" w:asciiTheme="minorEastAsia" w:hAnsiTheme="minorEastAsia" w:eastAsiaTheme="minorEastAsia" w:cstheme="minorEastAsia"/>
                <w:szCs w:val="21"/>
              </w:rPr>
              <w:t>：均</w:t>
            </w:r>
            <w:r>
              <w:rPr>
                <w:rFonts w:asciiTheme="minorEastAsia" w:hAnsiTheme="minorEastAsia" w:eastAsiaTheme="minorEastAsia" w:cstheme="minorEastAsia"/>
                <w:szCs w:val="21"/>
              </w:rPr>
              <w:t>同意</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培训结果</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符合要求</w:t>
            </w:r>
            <w:r>
              <w:rPr>
                <w:rFonts w:hint="eastAsia" w:asciiTheme="minorEastAsia" w:hAnsiTheme="minorEastAsia" w:eastAsiaTheme="minorEastAsia" w:cstheme="minorEastAsia"/>
                <w:szCs w:val="21"/>
              </w:rPr>
              <w:t>。</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评价人：刘阿利    时间：</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年9月16日</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针对内审中发现的不合格，采取了纠正措施，并进行验证合格。询问部门负责人称服务过程中未发现严重不合格或同类不合格屡次发生情况，因此未采取纠正措施。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目前风险和机遇无需更新，质量管理体系无需变更。</w:t>
            </w:r>
          </w:p>
        </w:tc>
        <w:tc>
          <w:tcPr>
            <w:tcW w:w="158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2160" w:type="dxa"/>
          </w:tcPr>
          <w:p>
            <w:pPr>
              <w:rPr>
                <w:rFonts w:ascii="宋体" w:hAnsi="宋体"/>
              </w:rPr>
            </w:pPr>
            <w:r>
              <w:rPr>
                <w:rFonts w:hint="eastAsia" w:ascii="宋体" w:hAnsi="宋体"/>
                <w:szCs w:val="21"/>
              </w:rPr>
              <w:t>环境因素识别</w:t>
            </w:r>
          </w:p>
        </w:tc>
        <w:tc>
          <w:tcPr>
            <w:tcW w:w="960" w:type="dxa"/>
          </w:tcPr>
          <w:p>
            <w:pPr>
              <w:tabs>
                <w:tab w:val="left" w:pos="7380"/>
              </w:tabs>
              <w:rPr>
                <w:rFonts w:ascii="宋体" w:hAnsi="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:6.1.2</w:t>
            </w:r>
          </w:p>
        </w:tc>
        <w:tc>
          <w:tcPr>
            <w:tcW w:w="10004" w:type="dxa"/>
          </w:tcPr>
          <w:p>
            <w:pPr>
              <w:tabs>
                <w:tab w:val="left" w:pos="7380"/>
              </w:tabs>
              <w:rPr>
                <w:rFonts w:ascii="宋体" w:hAnsi="宋体"/>
                <w:szCs w:val="21"/>
              </w:rPr>
            </w:pPr>
            <w:r>
              <w:rPr>
                <w:rFonts w:hint="eastAsia" w:ascii="宋体" w:hAnsi="宋体"/>
                <w:szCs w:val="21"/>
              </w:rPr>
              <w:t>提供了</w:t>
            </w:r>
            <w:r>
              <w:rPr>
                <w:rFonts w:hint="eastAsia"/>
                <w:szCs w:val="21"/>
              </w:rPr>
              <w:t>《环境因素识别及评价表》</w:t>
            </w:r>
            <w:r>
              <w:rPr>
                <w:rFonts w:hint="eastAsia" w:ascii="宋体" w:hAnsi="宋体"/>
                <w:szCs w:val="21"/>
              </w:rPr>
              <w:t xml:space="preserve">和《重要环境因素清单》 </w:t>
            </w:r>
          </w:p>
          <w:p>
            <w:pPr>
              <w:tabs>
                <w:tab w:val="left" w:pos="7380"/>
              </w:tabs>
              <w:rPr>
                <w:rFonts w:ascii="宋体" w:hAnsi="宋体"/>
                <w:szCs w:val="21"/>
              </w:rPr>
            </w:pPr>
            <w:r>
              <w:rPr>
                <w:rFonts w:hint="eastAsia" w:ascii="宋体" w:hAnsi="宋体"/>
                <w:szCs w:val="21"/>
              </w:rPr>
              <w:t xml:space="preserve">识别环境因素时考虑了生命周期的观点、三种时态、三种状态等方面，运用了评分法评价了环境因素并确定了重要环境因素。 </w:t>
            </w:r>
          </w:p>
          <w:p>
            <w:pPr>
              <w:tabs>
                <w:tab w:val="left" w:pos="7380"/>
              </w:tabs>
              <w:rPr>
                <w:rFonts w:ascii="宋体" w:hAnsi="宋体"/>
                <w:szCs w:val="21"/>
              </w:rPr>
            </w:pPr>
            <w:r>
              <w:rPr>
                <w:rFonts w:hint="eastAsia" w:ascii="宋体" w:hAnsi="宋体"/>
                <w:szCs w:val="21"/>
              </w:rPr>
              <w:t>重要环境因素：</w:t>
            </w:r>
            <w:r>
              <w:rPr>
                <w:rFonts w:hint="eastAsia"/>
                <w:szCs w:val="21"/>
              </w:rPr>
              <w:t>固体废弃物排放，火灾、废水排放、噪声排放</w:t>
            </w:r>
          </w:p>
          <w:p>
            <w:pPr>
              <w:tabs>
                <w:tab w:val="left" w:pos="7380"/>
              </w:tabs>
              <w:rPr>
                <w:rFonts w:hint="eastAsia" w:ascii="宋体" w:hAnsi="宋体"/>
                <w:szCs w:val="21"/>
              </w:rPr>
            </w:pPr>
            <w:r>
              <w:rPr>
                <w:rFonts w:hint="eastAsia" w:ascii="宋体" w:hAnsi="宋体"/>
                <w:szCs w:val="21"/>
              </w:rPr>
              <w:t>环境因素识别、评价准确。</w:t>
            </w:r>
          </w:p>
          <w:p>
            <w:pPr>
              <w:tabs>
                <w:tab w:val="left" w:pos="7380"/>
              </w:tabs>
              <w:rPr>
                <w:rFonts w:hint="eastAsia" w:ascii="宋体" w:hAnsi="宋体"/>
                <w:szCs w:val="21"/>
              </w:rPr>
            </w:pPr>
          </w:p>
          <w:p>
            <w:pPr>
              <w:tabs>
                <w:tab w:val="left" w:pos="7380"/>
              </w:tabs>
              <w:rPr>
                <w:rFonts w:ascii="宋体" w:hAnsi="宋体"/>
                <w:szCs w:val="21"/>
              </w:rPr>
            </w:pPr>
            <w:r>
              <w:rPr>
                <w:rFonts w:hint="eastAsia" w:ascii="Times New Roman" w:hAnsi="Times New Roman" w:eastAsia="宋体" w:cs="Times New Roman"/>
                <w:szCs w:val="22"/>
                <w:lang w:val="en-US" w:eastAsia="zh-CN"/>
              </w:rPr>
              <w:t>提供的：“危险源识别与风险评价表”、“不可接受风险源清单”， 评价考虑了将来、状态、可能导致的事件，并进行了评价，用打分法考虑了法规符合性、发生频次、影响范围等, 通过是非法，本部门识别的各区域危险源有：触电、意外伤害、职业病、火灾、机械伤害等。不可接受风险识别有：火灾、意外伤害、触电。评价符合程序要求及公司的实际情况。对危险源的控制措施包括制定管理制度、监督检查、应急预案、培训等。</w:t>
            </w:r>
          </w:p>
        </w:tc>
        <w:tc>
          <w:tcPr>
            <w:tcW w:w="158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rPr>
            </w:pPr>
            <w:r>
              <w:rPr>
                <w:rFonts w:hint="eastAsia" w:ascii="宋体" w:hAnsi="宋体"/>
                <w:szCs w:val="21"/>
              </w:rPr>
              <w:t>运行策划和控制</w:t>
            </w:r>
          </w:p>
        </w:tc>
        <w:tc>
          <w:tcPr>
            <w:tcW w:w="960" w:type="dxa"/>
          </w:tcPr>
          <w:p>
            <w:pPr>
              <w:tabs>
                <w:tab w:val="left" w:pos="7380"/>
              </w:tabs>
              <w:rPr>
                <w:rFonts w:ascii="宋体" w:hAnsi="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:8.1</w:t>
            </w:r>
          </w:p>
          <w:p>
            <w:pPr>
              <w:tabs>
                <w:tab w:val="left" w:pos="7380"/>
              </w:tabs>
              <w:rPr>
                <w:rFonts w:ascii="宋体" w:hAnsi="宋体"/>
                <w:b/>
                <w:szCs w:val="21"/>
              </w:rPr>
            </w:pPr>
          </w:p>
        </w:tc>
        <w:tc>
          <w:tcPr>
            <w:tcW w:w="10004" w:type="dxa"/>
          </w:tcPr>
          <w:p>
            <w:pPr>
              <w:spacing w:line="360" w:lineRule="exact"/>
              <w:jc w:val="left"/>
            </w:pPr>
            <w:r>
              <w:rPr>
                <w:rFonts w:hint="eastAsia"/>
              </w:rPr>
              <w:t>识别的环境</w:t>
            </w:r>
            <w:r>
              <w:rPr>
                <w:rFonts w:hint="eastAsia"/>
                <w:lang w:eastAsia="zh-CN"/>
              </w:rPr>
              <w:t>、</w:t>
            </w:r>
            <w:r>
              <w:rPr>
                <w:rFonts w:hint="eastAsia"/>
                <w:lang w:val="en-US" w:eastAsia="zh-CN"/>
              </w:rPr>
              <w:t>职业健康安全</w:t>
            </w:r>
            <w:r>
              <w:rPr>
                <w:rFonts w:hint="eastAsia"/>
              </w:rPr>
              <w:t>运行控制情况如下：</w:t>
            </w:r>
          </w:p>
          <w:p>
            <w:pPr>
              <w:spacing w:line="360" w:lineRule="exact"/>
              <w:ind w:firstLine="210" w:firstLineChars="100"/>
            </w:pPr>
            <w:r>
              <w:rPr>
                <w:rFonts w:hint="eastAsia"/>
              </w:rPr>
              <w:t>1、办公生活污水控制：直接排入办公区域所属市政管网</w:t>
            </w:r>
          </w:p>
          <w:p>
            <w:pPr>
              <w:spacing w:line="360" w:lineRule="exact"/>
              <w:ind w:right="13" w:rightChars="6" w:firstLine="210" w:firstLineChars="100"/>
            </w:pPr>
            <w:r>
              <w:rPr>
                <w:rFonts w:hint="eastAsia"/>
              </w:rPr>
              <w:t>2、噪声控制（检验平台水泵运行噪声）：选用低噪声设备，合理布局，隔声减震，厂房隔音；定期检测。</w:t>
            </w:r>
          </w:p>
          <w:p>
            <w:pPr>
              <w:spacing w:line="360" w:lineRule="exact"/>
              <w:ind w:right="13" w:rightChars="6" w:firstLine="210" w:firstLineChars="100"/>
            </w:pPr>
            <w:r>
              <w:rPr>
                <w:rFonts w:hint="eastAsia"/>
              </w:rPr>
              <w:t>3、固废控制（废旧包装材料和员工产生的生活垃圾）：设置专门废弃纸品堆放场，分类回收；集中处理； 集中收集外售至废品回收站。</w:t>
            </w:r>
          </w:p>
          <w:p>
            <w:pPr>
              <w:spacing w:line="360" w:lineRule="exact"/>
              <w:ind w:right="13" w:rightChars="6" w:firstLine="210" w:firstLineChars="100"/>
            </w:pPr>
            <w:r>
              <w:rPr>
                <w:rFonts w:hint="eastAsia"/>
              </w:rPr>
              <w:t>4、节能降耗：按设备维修、保养要求及时对设备维修、保养，确保设备正常运转；合理安排生产计划，避免高耗能设备重复开关机；无生产任务时，设备断电。</w:t>
            </w:r>
          </w:p>
          <w:p>
            <w:pPr>
              <w:spacing w:line="360" w:lineRule="exact"/>
              <w:ind w:right="13" w:rightChars="6" w:firstLine="210" w:firstLineChars="100"/>
            </w:pPr>
            <w:r>
              <w:rPr>
                <w:lang w:val="en-GB"/>
              </w:rPr>
              <w:t>5</w:t>
            </w:r>
            <w:r>
              <w:rPr>
                <w:rFonts w:hint="eastAsia"/>
              </w:rPr>
              <w:t>火灾控制（电路老化明火作业）：设备、电路定期检修、不定期检查，提高安全意识，做好火灾预防措施。一旦发生按相关应急预案执行。</w:t>
            </w:r>
          </w:p>
          <w:p>
            <w:pPr>
              <w:numPr>
                <w:ilvl w:val="0"/>
                <w:numId w:val="1"/>
              </w:numPr>
              <w:spacing w:line="360" w:lineRule="exact"/>
              <w:ind w:right="13" w:rightChars="6" w:firstLine="210" w:firstLineChars="100"/>
            </w:pPr>
            <w:r>
              <w:rPr>
                <w:rFonts w:hint="eastAsia"/>
              </w:rPr>
              <w:t>废水达标排放（自治检验平台使用循环水）： 工业废水达标排放：水循环利用率达到100% ；不外排</w:t>
            </w:r>
          </w:p>
          <w:p>
            <w:pPr>
              <w:pStyle w:val="2"/>
              <w:rPr>
                <w:rFonts w:hint="default" w:eastAsia="宋体"/>
                <w:lang w:val="en-US" w:eastAsia="zh-CN"/>
              </w:rPr>
            </w:pPr>
            <w:r>
              <w:rPr>
                <w:rFonts w:hint="eastAsia"/>
                <w:lang w:val="en-US" w:eastAsia="zh-CN"/>
              </w:rPr>
              <w:t>运行符合要求</w:t>
            </w:r>
            <w:bookmarkStart w:id="0" w:name="_GoBack"/>
            <w:bookmarkEnd w:id="0"/>
          </w:p>
        </w:tc>
        <w:tc>
          <w:tcPr>
            <w:tcW w:w="158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left" w:pos="7380"/>
              </w:tabs>
              <w:rPr>
                <w:rFonts w:ascii="宋体" w:hAnsi="宋体"/>
                <w:szCs w:val="21"/>
              </w:rPr>
            </w:pPr>
            <w:r>
              <w:rPr>
                <w:rFonts w:hint="eastAsia" w:ascii="宋体" w:hAnsi="宋体"/>
                <w:szCs w:val="21"/>
              </w:rPr>
              <w:t>应急准备和响应</w:t>
            </w:r>
          </w:p>
          <w:p>
            <w:pPr>
              <w:rPr>
                <w:rFonts w:ascii="宋体" w:hAnsi="宋体"/>
              </w:rPr>
            </w:pPr>
          </w:p>
        </w:tc>
        <w:tc>
          <w:tcPr>
            <w:tcW w:w="960" w:type="dxa"/>
          </w:tcPr>
          <w:p>
            <w:pPr>
              <w:tabs>
                <w:tab w:val="left" w:pos="7380"/>
              </w:tabs>
              <w:rPr>
                <w:rFonts w:ascii="宋体" w:hAnsi="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8.2</w:t>
            </w:r>
          </w:p>
          <w:p>
            <w:pPr>
              <w:tabs>
                <w:tab w:val="left" w:pos="7380"/>
              </w:tabs>
              <w:rPr>
                <w:rFonts w:ascii="宋体" w:hAnsi="宋体"/>
                <w:b/>
                <w:szCs w:val="21"/>
              </w:rPr>
            </w:pPr>
          </w:p>
        </w:tc>
        <w:tc>
          <w:tcPr>
            <w:tcW w:w="10004" w:type="dxa"/>
          </w:tcPr>
          <w:p>
            <w:pPr>
              <w:spacing w:line="360" w:lineRule="exact"/>
              <w:ind w:right="13" w:rightChars="6" w:firstLine="210" w:firstLineChars="100"/>
              <w:rPr>
                <w:rFonts w:hint="default" w:ascii="宋体" w:hAnsi="宋体"/>
                <w:szCs w:val="21"/>
                <w:lang w:val="en-US" w:eastAsia="zh-CN"/>
              </w:rPr>
            </w:pPr>
            <w:r>
              <w:rPr>
                <w:rFonts w:hint="eastAsia" w:ascii="宋体" w:hAnsi="宋体"/>
                <w:szCs w:val="21"/>
                <w:lang w:val="en-US" w:eastAsia="zh-CN"/>
              </w:rPr>
              <w:t>参与公司组织的应急预案及演练活动，具体审核见综合部</w:t>
            </w:r>
            <w:r>
              <w:rPr>
                <w:rFonts w:hint="eastAsia" w:ascii="宋体" w:hAnsi="宋体"/>
                <w:szCs w:val="21"/>
                <w:lang w:val="en-GB" w:eastAsia="zh-CN"/>
              </w:rPr>
              <w:t>E</w:t>
            </w:r>
            <w:r>
              <w:rPr>
                <w:rFonts w:hint="eastAsia" w:ascii="宋体" w:hAnsi="宋体"/>
                <w:szCs w:val="21"/>
                <w:lang w:val="en-US" w:eastAsia="zh-CN"/>
              </w:rPr>
              <w:t>S</w:t>
            </w:r>
            <w:r>
              <w:rPr>
                <w:rFonts w:hint="eastAsia" w:ascii="宋体" w:hAnsi="宋体"/>
                <w:szCs w:val="21"/>
                <w:lang w:val="en-GB" w:eastAsia="zh-CN"/>
              </w:rPr>
              <w:t>8.2</w:t>
            </w:r>
            <w:r>
              <w:rPr>
                <w:rFonts w:hint="eastAsia" w:ascii="宋体" w:hAnsi="宋体"/>
                <w:szCs w:val="21"/>
                <w:lang w:val="en-US" w:eastAsia="zh-CN"/>
              </w:rPr>
              <w:t>审核记录</w:t>
            </w:r>
          </w:p>
          <w:p>
            <w:pPr>
              <w:pStyle w:val="6"/>
              <w:rPr>
                <w:color w:val="auto"/>
                <w:sz w:val="21"/>
                <w:szCs w:val="21"/>
              </w:rPr>
            </w:pPr>
          </w:p>
        </w:tc>
        <w:tc>
          <w:tcPr>
            <w:tcW w:w="1585" w:type="dxa"/>
          </w:tcPr>
          <w:p>
            <w:pPr>
              <w:rPr>
                <w:rFonts w:asciiTheme="minorEastAsia" w:hAnsiTheme="minorEastAsia" w:eastAsiaTheme="minorEastAsia" w:cstheme="minorEastAsia"/>
                <w:szCs w:val="21"/>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方正北魏楷书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F4082"/>
    <w:multiLevelType w:val="singleLevel"/>
    <w:tmpl w:val="562F4082"/>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27812"/>
    <w:rsid w:val="2E227812"/>
    <w:rsid w:val="347D1B00"/>
    <w:rsid w:val="55C87297"/>
    <w:rsid w:val="6A277EB8"/>
    <w:rsid w:val="6EBA4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line="251" w:lineRule="exact"/>
      <w:ind w:left="20"/>
    </w:pPr>
    <w:rPr>
      <w:rFonts w:ascii="宋体" w:hAnsi="宋体" w:eastAsia="宋体" w:cs="宋体"/>
      <w:sz w:val="21"/>
      <w:szCs w:val="21"/>
      <w:lang w:val="zh-CN" w:eastAsia="zh-CN" w:bidi="zh-CN"/>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2020-12-20T14:34:00Z</dcterms:created>
  <dc:creator>叶子</dc:creator>
  <cp:lastModifiedBy>叶子</cp:lastModifiedBy>
  <dcterms:modified xsi:type="dcterms:W3CDTF">2020-12-22T06:43:50Z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