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468"/>
        <w:gridCol w:w="1018"/>
        <w:gridCol w:w="577"/>
        <w:gridCol w:w="397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Cs w:val="22"/>
                <w:lang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Cs w:val="22"/>
                <w:lang w:eastAsia="zh-CN"/>
              </w:rPr>
              <w:t>管理层</w:t>
            </w:r>
          </w:p>
        </w:tc>
        <w:tc>
          <w:tcPr>
            <w:tcW w:w="46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lang w:eastAsia="zh-CN"/>
              </w:rPr>
              <w:t>综合管理部</w:t>
            </w:r>
          </w:p>
        </w:tc>
        <w:tc>
          <w:tcPr>
            <w:tcW w:w="10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lang w:eastAsia="zh-CN"/>
              </w:rPr>
              <w:t>市场策划部</w:t>
            </w:r>
          </w:p>
        </w:tc>
        <w:tc>
          <w:tcPr>
            <w:tcW w:w="57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lang w:eastAsia="zh-CN"/>
              </w:rPr>
              <w:t>技术工程部</w:t>
            </w:r>
          </w:p>
        </w:tc>
        <w:tc>
          <w:tcPr>
            <w:tcW w:w="39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1（8.4.1））</w:t>
            </w: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2A0659"/>
    <w:rsid w:val="42C97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2019-10-11T05:38:46Z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