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before="163" w:beforeLines="50" w:after="163" w:afterLines="50"/>
        <w:rPr>
          <w:rFonts w:hint="eastAsia" w:ascii="宋体" w:hAnsi="宋体"/>
        </w:rPr>
      </w:pPr>
      <w:r>
        <w:rPr>
          <w:rFonts w:hint="eastAsia" w:ascii="宋体" w:hAnsi="宋体"/>
        </w:rPr>
        <w:t>审核现场及区域: 办公室   审核员：张</w:t>
      </w:r>
      <w:r>
        <w:rPr>
          <w:rFonts w:hint="eastAsia" w:ascii="宋体" w:hAnsi="宋体"/>
          <w:szCs w:val="22"/>
        </w:rPr>
        <w:t xml:space="preserve">心 </w:t>
      </w:r>
      <w:r>
        <w:rPr>
          <w:rFonts w:hint="eastAsia" w:ascii="宋体" w:hAnsi="宋体"/>
          <w:szCs w:val="22"/>
          <w:lang w:eastAsia="zh-CN"/>
        </w:rPr>
        <w:t>熊珍</w:t>
      </w:r>
      <w:r>
        <w:rPr>
          <w:rFonts w:hint="eastAsia" w:ascii="宋体" w:hAnsi="宋体"/>
        </w:rPr>
        <w:t xml:space="preserve">  审核时间:  201</w:t>
      </w:r>
      <w:r>
        <w:rPr>
          <w:rFonts w:hint="eastAsia" w:ascii="宋体" w:hAnsi="宋体" w:eastAsia="宋体"/>
          <w:lang w:val="en-US" w:eastAsia="zh-CN"/>
        </w:rPr>
        <w:t>9</w:t>
      </w:r>
      <w:r>
        <w:rPr>
          <w:rFonts w:hint="eastAsia" w:ascii="宋体" w:hAnsi="宋体"/>
        </w:rPr>
        <w:t xml:space="preserve">年 </w:t>
      </w: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 xml:space="preserve">月 </w:t>
      </w:r>
      <w:r>
        <w:rPr>
          <w:rFonts w:hint="eastAsia" w:ascii="宋体" w:hAnsi="宋体"/>
          <w:lang w:val="en-US" w:eastAsia="zh-CN"/>
        </w:rPr>
        <w:t>29</w:t>
      </w:r>
      <w:r>
        <w:rPr>
          <w:rFonts w:hint="eastAsia" w:ascii="宋体" w:hAnsi="宋体"/>
        </w:rPr>
        <w:t>日</w:t>
      </w:r>
    </w:p>
    <w:tbl>
      <w:tblPr>
        <w:tblStyle w:val="5"/>
        <w:tblpPr w:leftFromText="180" w:rightFromText="180" w:vertAnchor="text" w:horzAnchor="margin" w:tblpX="-333" w:tblpY="80"/>
        <w:tblW w:w="15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454"/>
        <w:gridCol w:w="6635"/>
        <w:gridCol w:w="7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1188" w:hRule="atLeast"/>
        </w:trPr>
        <w:tc>
          <w:tcPr>
            <w:tcW w:w="454" w:type="dxa"/>
            <w:noWrap w:val="0"/>
            <w:vAlign w:val="center"/>
          </w:tcPr>
          <w:p>
            <w:pPr>
              <w:ind w:left="-105" w:lef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审</w:t>
            </w:r>
          </w:p>
          <w:p>
            <w:pPr>
              <w:ind w:left="-105" w:lef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核</w:t>
            </w:r>
          </w:p>
          <w:p>
            <w:pPr>
              <w:ind w:left="-105" w:lef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提</w:t>
            </w:r>
          </w:p>
          <w:p>
            <w:pPr>
              <w:ind w:left="-105" w:leftChars="-50"/>
              <w:jc w:val="center"/>
              <w:rPr>
                <w:rFonts w:ascii="仿宋_GB2312" w:hAnsi="Times" w:eastAsia="仿宋_GB2312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示</w:t>
            </w:r>
          </w:p>
        </w:tc>
        <w:tc>
          <w:tcPr>
            <w:tcW w:w="6635" w:type="dxa"/>
            <w:tcBorders>
              <w:right w:val="nil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О涉及的管理体系要求、主管的过程要求、参与/协同实施的要求</w:t>
            </w:r>
          </w:p>
          <w:p>
            <w:pPr>
              <w:tabs>
                <w:tab w:val="left" w:pos="6375"/>
              </w:tabs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О过程模式/流程、环境因素/影响、危险源/风险评估及控制方案</w:t>
            </w:r>
          </w:p>
          <w:p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О职责和权限</w:t>
            </w:r>
          </w:p>
          <w:p>
            <w:pPr>
              <w:tabs>
                <w:tab w:val="left" w:pos="5974"/>
              </w:tabs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О目标分解及实施</w:t>
            </w:r>
          </w:p>
          <w:p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О资源配置：人力、设备设施、工作环境</w:t>
            </w:r>
          </w:p>
          <w:p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О信息、数据及沟通</w:t>
            </w:r>
          </w:p>
          <w:p>
            <w:pPr>
              <w:tabs>
                <w:tab w:val="left" w:pos="5337"/>
              </w:tabs>
              <w:spacing w:line="0" w:lineRule="atLeast"/>
              <w:rPr>
                <w:rFonts w:ascii="仿宋_GB2312" w:eastAsia="仿宋_GB2312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О审核范围现场确认</w:t>
            </w:r>
          </w:p>
        </w:tc>
        <w:tc>
          <w:tcPr>
            <w:tcW w:w="7960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О现场文件审查</w:t>
            </w:r>
          </w:p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完整性、充分性、适宜性、有效性及控制</w:t>
            </w:r>
          </w:p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О记录表式、填写、控制</w:t>
            </w:r>
          </w:p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О监视和测量</w:t>
            </w:r>
          </w:p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О不合格处置</w:t>
            </w:r>
          </w:p>
          <w:p>
            <w:pPr>
              <w:spacing w:line="0" w:lineRule="atLeast"/>
              <w:rPr>
                <w:rFonts w:ascii="仿宋_GB2312" w:eastAsia="仿宋_GB2312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О分析和持续改进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5049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line id="Line 217" o:spid="_x0000_s1026" o:spt="20" style="position:absolute;left:0pt;margin-left:342pt;margin-top:7.5pt;height:0pt;width:0.05pt;z-index:251658240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评估：</w:t>
            </w:r>
            <w:r>
              <w:rPr>
                <w:rFonts w:hint="eastAsia" w:ascii="宋体" w:hAnsi="宋体"/>
                <w:sz w:val="21"/>
                <w:szCs w:val="21"/>
              </w:rPr>
              <w:t>1.符合准则要求; 2.基本符合准则要求（存在轻微问题，可接受），口头通知受审核方;3.未达到准则要求</w:t>
            </w:r>
          </w:p>
          <w:p>
            <w:pPr>
              <w:spacing w:line="0" w:lineRule="atLeast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注：</w:t>
            </w:r>
            <w:r>
              <w:rPr>
                <w:rFonts w:hint="eastAsia" w:ascii="宋体" w:hAnsi="宋体"/>
                <w:sz w:val="21"/>
                <w:szCs w:val="21"/>
              </w:rPr>
              <w:t>应记录符合的与不符合的审核证据，应提供完整、准确、清晰的审核记录。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审核记录表中的评估栏中如发现有关不符合项：一般不符合项以“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△”标注，严重不符合以“▲”标注。</w:t>
            </w:r>
          </w:p>
          <w:p>
            <w:pPr>
              <w:spacing w:line="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实习审核员承担部分现场审核记录工作时，同组的级别审核员应在记录首页签字确认。</w:t>
            </w:r>
          </w:p>
        </w:tc>
      </w:tr>
    </w:tbl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tbl>
      <w:tblPr>
        <w:tblStyle w:val="5"/>
        <w:tblW w:w="1511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5"/>
        <w:gridCol w:w="9746"/>
        <w:gridCol w:w="1287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17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查  表</w:t>
            </w:r>
          </w:p>
        </w:tc>
        <w:tc>
          <w:tcPr>
            <w:tcW w:w="9746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 核   记   录</w:t>
            </w:r>
          </w:p>
        </w:tc>
        <w:tc>
          <w:tcPr>
            <w:tcW w:w="1287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条款号</w:t>
            </w:r>
          </w:p>
        </w:tc>
        <w:tc>
          <w:tcPr>
            <w:tcW w:w="90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746" w:type="dxa"/>
            <w:noWrap w:val="0"/>
            <w:vAlign w:val="top"/>
          </w:tcPr>
          <w:p>
            <w:pPr>
              <w:ind w:firstLine="420" w:firstLineChars="200"/>
              <w:rPr>
                <w:rFonts w:hint="eastAsia"/>
                <w:sz w:val="21"/>
                <w:szCs w:val="21"/>
                <w:lang w:eastAsia="zh-CN"/>
              </w:rPr>
            </w:pPr>
            <w:bookmarkStart w:id="0" w:name="组织名称"/>
            <w:r>
              <w:rPr>
                <w:color w:val="000000"/>
                <w:szCs w:val="21"/>
              </w:rPr>
              <w:t>重庆迪赛因建设工程设计有限公司</w:t>
            </w:r>
            <w:bookmarkEnd w:id="0"/>
            <w:r>
              <w:rPr>
                <w:rFonts w:hint="eastAsia"/>
                <w:sz w:val="21"/>
                <w:szCs w:val="21"/>
                <w:lang w:eastAsia="zh-CN"/>
              </w:rPr>
              <w:t>是一家专业从事</w:t>
            </w:r>
            <w:bookmarkStart w:id="1" w:name="审核范围"/>
            <w:r>
              <w:rPr>
                <w:rFonts w:hint="eastAsia" w:ascii="宋体" w:hAnsi="宋体"/>
                <w:szCs w:val="21"/>
              </w:rPr>
              <w:t>资质范围内的市政工程、建筑工程、风景园林工程设计</w:t>
            </w:r>
            <w:bookmarkEnd w:id="1"/>
            <w:r>
              <w:rPr>
                <w:rFonts w:hint="eastAsia" w:ascii="宋体" w:hAnsi="宋体"/>
                <w:szCs w:val="21"/>
                <w:lang w:eastAsia="zh-CN"/>
              </w:rPr>
              <w:t>的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公司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该公司目前成立了三个部门：综合管理部、市场策划部、技术工程部。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抽查：组织机构图、职能分配表、职责描述，基本保持一致。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经</w:t>
            </w:r>
            <w:r>
              <w:rPr>
                <w:rFonts w:hint="eastAsia"/>
                <w:color w:val="000000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申请书</w:t>
            </w:r>
            <w:r>
              <w:rPr>
                <w:rFonts w:hint="eastAsia"/>
                <w:color w:val="000000"/>
                <w:szCs w:val="21"/>
              </w:rPr>
              <w:t>场所</w:t>
            </w:r>
            <w:bookmarkStart w:id="2" w:name="生产地址"/>
            <w:r>
              <w:rPr>
                <w:rFonts w:hint="eastAsia"/>
                <w:color w:val="000000"/>
                <w:szCs w:val="21"/>
                <w:lang w:eastAsia="zh-CN"/>
              </w:rPr>
              <w:t>描述为</w:t>
            </w:r>
            <w:r>
              <w:t>重庆市渝中区长江一路鹅岭轻轨站地产大厦1号楼31楼</w:t>
            </w:r>
            <w:bookmarkEnd w:id="2"/>
            <w:r>
              <w:rPr>
                <w:rFonts w:hint="eastAsia"/>
                <w:color w:val="000000"/>
                <w:szCs w:val="21"/>
                <w:lang w:eastAsia="zh-CN"/>
              </w:rPr>
              <w:t>。经现场核实以上地址实际应为：</w:t>
            </w:r>
            <w:r>
              <w:rPr>
                <w:rFonts w:hint="eastAsia"/>
                <w:szCs w:val="21"/>
              </w:rPr>
              <w:t>重庆市渝中区长江一路61号地产大厦1号楼31层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，与任务书描述不一致，但实际为同一地址。</w:t>
            </w:r>
            <w:r>
              <w:rPr>
                <w:rFonts w:hint="eastAsia"/>
                <w:color w:val="000000"/>
                <w:szCs w:val="21"/>
              </w:rPr>
              <w:t>经确认，认证</w:t>
            </w:r>
            <w:r>
              <w:rPr>
                <w:rFonts w:hint="eastAsia"/>
                <w:color w:val="000000"/>
                <w:szCs w:val="21"/>
                <w:lang w:eastAsia="zh-CN"/>
              </w:rPr>
              <w:t>申请</w:t>
            </w:r>
            <w:r>
              <w:rPr>
                <w:rFonts w:hint="eastAsia"/>
                <w:color w:val="000000"/>
                <w:szCs w:val="21"/>
              </w:rPr>
              <w:t>范围为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sz w:val="20"/>
              </w:rPr>
              <w:t>资质范围内的市政工程、建筑工程、风景园林工程设计</w:t>
            </w:r>
            <w:r>
              <w:rPr>
                <w:rFonts w:hint="eastAsia"/>
                <w:color w:val="000000"/>
                <w:szCs w:val="21"/>
              </w:rPr>
              <w:t xml:space="preserve"> 。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询问，主要设备为</w:t>
            </w:r>
            <w:r>
              <w:rPr>
                <w:rFonts w:hint="eastAsia" w:ascii="宋体" w:hAnsi="宋体" w:cs="宋体"/>
                <w:sz w:val="21"/>
                <w:szCs w:val="21"/>
              </w:rPr>
              <w:t>电脑、打印机、设计开发软件、空调、办公桌等办公设施</w:t>
            </w: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设备</w:t>
            </w:r>
            <w:r>
              <w:rPr>
                <w:rFonts w:hint="eastAsia"/>
                <w:color w:val="000000"/>
                <w:szCs w:val="21"/>
              </w:rPr>
              <w:t>，可以满足</w:t>
            </w:r>
            <w:r>
              <w:rPr>
                <w:rFonts w:hint="eastAsia" w:ascii="宋体" w:hAnsi="宋体"/>
                <w:szCs w:val="21"/>
              </w:rPr>
              <w:t>市政工程、建筑工程、风景园林工程设计</w:t>
            </w:r>
            <w:r>
              <w:rPr>
                <w:rFonts w:hint="eastAsia"/>
                <w:color w:val="000000"/>
                <w:szCs w:val="21"/>
              </w:rPr>
              <w:t>需要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关键过程：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设计</w:t>
            </w:r>
            <w:r>
              <w:rPr>
                <w:rFonts w:hint="eastAsia"/>
                <w:color w:val="000000"/>
                <w:szCs w:val="21"/>
              </w:rPr>
              <w:t>过程。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体系运行时间：</w:t>
            </w:r>
            <w:r>
              <w:rPr>
                <w:rFonts w:hint="eastAsia"/>
                <w:sz w:val="21"/>
                <w:szCs w:val="21"/>
                <w:lang w:eastAsia="zh-CN"/>
              </w:rPr>
              <w:t>2019年6月1日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组织实际与管理体系文件化信息描述基本一致。有管理层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综合管理部、市场策划部、技术工程部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产品流程见《工艺流程》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查，管理体系文件名称</w:t>
            </w:r>
            <w:r>
              <w:rPr>
                <w:rFonts w:hint="eastAsia"/>
                <w:sz w:val="21"/>
                <w:szCs w:val="21"/>
                <w:lang w:eastAsia="zh-CN"/>
              </w:rPr>
              <w:t>管理</w:t>
            </w:r>
            <w:r>
              <w:rPr>
                <w:rFonts w:hint="eastAsia"/>
                <w:sz w:val="21"/>
                <w:szCs w:val="21"/>
              </w:rPr>
              <w:t>手册，程序文件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个。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产品质量监督抽查情况（QMS）</w:t>
            </w:r>
          </w:p>
        </w:tc>
        <w:tc>
          <w:tcPr>
            <w:tcW w:w="974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cs="Arial"/>
                <w:color w:val="000000"/>
                <w:sz w:val="21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/>
                <w:sz w:val="21"/>
                <w:szCs w:val="21"/>
              </w:rPr>
              <w:t>等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《建设工程勘察设计市场管理规定》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建筑工程设计文件编制深度规定》、</w:t>
            </w:r>
            <w:r>
              <w:rPr>
                <w:rFonts w:hint="eastAsia" w:ascii="宋体" w:hAnsi="宋体"/>
                <w:sz w:val="21"/>
                <w:szCs w:val="21"/>
              </w:rPr>
              <w:t>《房屋建筑制图统一标准》GB/T 50001--2010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《城市</w:t>
            </w:r>
            <w:r>
              <w:rPr>
                <w:rFonts w:hint="eastAsia" w:ascii="宋体" w:hAnsi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/>
                <w:sz w:val="21"/>
                <w:szCs w:val="21"/>
              </w:rPr>
              <w:instrText xml:space="preserve"> HYPERLINK "http://www.ztcjjt.com/" \t "_blank" </w:instrText>
            </w:r>
            <w:r>
              <w:rPr>
                <w:rFonts w:hint="eastAsia" w:ascii="宋体" w:hAnsi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/>
                <w:sz w:val="21"/>
                <w:szCs w:val="21"/>
              </w:rPr>
              <w:t>道路工程</w:t>
            </w:r>
            <w:r>
              <w:rPr>
                <w:rFonts w:hint="eastAsia" w:ascii="宋体" w:hAnsi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/>
                <w:sz w:val="21"/>
                <w:szCs w:val="21"/>
              </w:rPr>
              <w:t>设计规范》CJJ37-2012（2016版）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《室外排水设计规范》GB 50014-2006）2016版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《景观施工图绘图规范》(施工图分册)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《风景园林图例图示标准》CJJ-67-95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《园林绿化工程竣工图编制规范》DB11/T 989-2013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等标准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年没有产品质量监督抽查情况</w:t>
            </w:r>
            <w:r>
              <w:rPr>
                <w:rFonts w:hint="eastAsia" w:ascii="宋体" w:hAnsi="宋体"/>
                <w:color w:val="0000FF"/>
                <w:sz w:val="21"/>
                <w:szCs w:val="21"/>
              </w:rPr>
              <w:t>。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生产工艺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质量目标（QMS）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746" w:type="dxa"/>
            <w:noWrap w:val="0"/>
            <w:vAlign w:val="top"/>
          </w:tcPr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设计</w:t>
            </w:r>
            <w:r>
              <w:rPr>
                <w:rFonts w:hint="eastAsia"/>
                <w:sz w:val="21"/>
                <w:szCs w:val="21"/>
              </w:rPr>
              <w:t>服务过程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合同签订-设计输入交付（甲方提供）--方案设计-初步设计-施工图设计-评审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/>
                <w:sz w:val="21"/>
                <w:szCs w:val="21"/>
                <w:lang w:val="zh-CN" w:eastAsia="zh-CN"/>
              </w:rPr>
              <w:t>设计变更（需要时）-交付客户</w:t>
            </w:r>
          </w:p>
          <w:p>
            <w:pPr>
              <w:spacing w:line="400" w:lineRule="exact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zh-CN" w:eastAsia="zh-CN"/>
              </w:rPr>
            </w:pPr>
          </w:p>
          <w:p>
            <w:pPr>
              <w:spacing w:line="0" w:lineRule="atLeas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图文印刷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a、设计成果一次交付合格率≥98%；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b、客户复检合格率100%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c、顾客满意度≥95%以上；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主要原材料</w:t>
            </w:r>
          </w:p>
        </w:tc>
        <w:tc>
          <w:tcPr>
            <w:tcW w:w="9746" w:type="dxa"/>
            <w:noWrap w:val="0"/>
            <w:vAlign w:val="top"/>
          </w:tcPr>
          <w:p>
            <w:pPr>
              <w:rPr>
                <w:rFonts w:hint="eastAsia" w:ascii="宋体" w:hAnsi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开州区大德镇白龙颈水库一级保护区隔离防护网工程（市政工程设计）、中同运（重庆）国际物流仓库项目、（建筑工程设计）、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轨道五号线（华岩新城段）沿线综合整治景观项目（风景园林工程设计）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A4、打印纸和墨盒等办公用品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特殊工种人员</w:t>
            </w:r>
          </w:p>
        </w:tc>
        <w:tc>
          <w:tcPr>
            <w:tcW w:w="974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设计人员1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人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主要检测设备及设备的检定/校准（QMS）</w:t>
            </w:r>
          </w:p>
        </w:tc>
        <w:tc>
          <w:tcPr>
            <w:tcW w:w="974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电脑、打印机、设计开发软件、空调、办公桌等办公设施</w:t>
            </w: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设备</w:t>
            </w:r>
            <w:r>
              <w:rPr>
                <w:rFonts w:hint="eastAsia" w:ascii="宋体" w:hAnsi="宋体"/>
                <w:szCs w:val="21"/>
              </w:rPr>
              <w:t>，可以满足资质范围内的市政工程、建筑工程、风景园林工程设计需要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公司</w:t>
            </w:r>
            <w:r>
              <w:rPr>
                <w:rFonts w:hint="eastAsia" w:ascii="宋体" w:hAnsi="宋体"/>
                <w:szCs w:val="21"/>
              </w:rPr>
              <w:t>主要根据客户提供的图纸、勘察资料等进行设计，不用勘察、测量，设计成果通过评审鉴定方式确认，不涉及检测设备。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顾客及相关方投诉</w:t>
            </w:r>
          </w:p>
        </w:tc>
        <w:tc>
          <w:tcPr>
            <w:tcW w:w="974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暂无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746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方针：质量为本、信誉至上，持续改进，争创一流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不符合及整改</w:t>
            </w:r>
          </w:p>
        </w:tc>
        <w:tc>
          <w:tcPr>
            <w:tcW w:w="974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建立有《内部审核控制程序》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见有《内部审核计划表》 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内审时间：</w:t>
            </w:r>
            <w:r>
              <w:rPr>
                <w:rFonts w:hint="eastAsia"/>
                <w:sz w:val="21"/>
                <w:szCs w:val="21"/>
              </w:rPr>
              <w:t>2019年8月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内审组：</w:t>
            </w:r>
            <w:r>
              <w:rPr>
                <w:rFonts w:hint="eastAsia"/>
                <w:sz w:val="21"/>
                <w:szCs w:val="21"/>
              </w:rPr>
              <w:t>组长：张国琼</w:t>
            </w:r>
            <w:r>
              <w:rPr>
                <w:rFonts w:hint="eastAsia"/>
                <w:sz w:val="21"/>
                <w:szCs w:val="21"/>
                <w:lang w:eastAsia="zh-CN"/>
              </w:rPr>
              <w:t>（管代、综合管理部）</w:t>
            </w:r>
            <w:r>
              <w:rPr>
                <w:rFonts w:hint="eastAsia"/>
                <w:sz w:val="21"/>
                <w:szCs w:val="21"/>
              </w:rPr>
              <w:t xml:space="preserve">       组员： 况坪治</w:t>
            </w:r>
            <w:r>
              <w:rPr>
                <w:rFonts w:hint="eastAsia"/>
                <w:sz w:val="21"/>
                <w:szCs w:val="21"/>
                <w:lang w:eastAsia="zh-CN"/>
              </w:rPr>
              <w:t>（技术工程部）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见有：《内审不符合项报告》1份 涉及</w:t>
            </w:r>
            <w:r>
              <w:rPr>
                <w:rFonts w:hint="eastAsia"/>
                <w:sz w:val="21"/>
                <w:szCs w:val="21"/>
              </w:rPr>
              <w:t>市场策划部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9.1.2条款，现场没能提供对满意度进行分析评价的证据，针对该不符合项，已及时采取纠正措施后，经内审员验证关闭。有《内部审报告》，有审核结论。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74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查见《管理评审计划》、《管理评审会议记录》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管理评审于2019年8月25日由总经理主持完成。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提供主要输入材料有：各部门总结，输入信息基本充分和满足要求。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输出见“管理评审报告”, 做出了管理体系基本适宜、充分和有效的评审结论。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提出改进1项：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加强顾客满意度测量、统计技术及应用的培训需求，综合管理部将此类专业技术培训纳入2019年的新增培训计划</w:t>
            </w:r>
            <w:bookmarkStart w:id="3" w:name="_GoBack"/>
            <w:bookmarkEnd w:id="3"/>
          </w:p>
        </w:tc>
        <w:tc>
          <w:tcPr>
            <w:tcW w:w="12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3F331C"/>
    <w:rsid w:val="149F1EDF"/>
    <w:rsid w:val="1B454A3E"/>
    <w:rsid w:val="1BA2255C"/>
    <w:rsid w:val="33553294"/>
    <w:rsid w:val="44D21F0A"/>
    <w:rsid w:val="478B3A8D"/>
    <w:rsid w:val="48ED0A67"/>
    <w:rsid w:val="54FD3CFB"/>
    <w:rsid w:val="62F515B0"/>
    <w:rsid w:val="653B5DA5"/>
    <w:rsid w:val="763D05E6"/>
    <w:rsid w:val="78807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00"/>
      <w:sz w:val="18"/>
      <w:szCs w:val="18"/>
      <w:u w:val="none"/>
      <w:vertAlign w:val="baseline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</cp:lastModifiedBy>
  <dcterms:modified xsi:type="dcterms:W3CDTF">2019-10-11T06:05:08Z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