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配电箱接地保护连续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1"/>
          <w:szCs w:val="21"/>
          <w:lang w:val="en-US" w:eastAsia="zh-CN"/>
        </w:rPr>
        <w:t>HXSB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/GL-09-201</w:t>
      </w:r>
      <w:r>
        <w:rPr>
          <w:rFonts w:hint="eastAsia"/>
          <w:b w:val="0"/>
          <w:bCs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接地电阻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测试仪检验规程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1.9pt;width:151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6pt;width:180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0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2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0.59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0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2.46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4.92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4.92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评定人：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908050" cy="361315"/>
            <wp:effectExtent l="0" t="0" r="6350" b="635"/>
            <wp:docPr id="1" name="图片 1" descr="0732e9ed13acd0cd4512980a5da7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32e9ed13acd0cd4512980a5da775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24F1DB4"/>
    <w:rsid w:val="03315DE3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AC20D34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2020-12-05T03:00:30Z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