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p>
      <w:pPr>
        <w:jc w:val="center"/>
        <w:rPr>
          <w:rFonts w:ascii="宋体" w:cs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0244</w:t>
      </w:r>
      <w:r>
        <w:rPr>
          <w:color w:val="auto"/>
          <w:szCs w:val="21"/>
          <w:u w:val="single"/>
        </w:rPr>
        <w:t>-20</w:t>
      </w:r>
      <w:r>
        <w:rPr>
          <w:rFonts w:hint="eastAsia"/>
          <w:color w:val="auto"/>
          <w:szCs w:val="21"/>
          <w:u w:val="single"/>
        </w:rPr>
        <w:t>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050"/>
        <w:gridCol w:w="1292"/>
        <w:gridCol w:w="1557"/>
        <w:gridCol w:w="1362"/>
        <w:gridCol w:w="1515"/>
        <w:gridCol w:w="100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企业名称</w:t>
            </w:r>
          </w:p>
        </w:tc>
        <w:tc>
          <w:tcPr>
            <w:tcW w:w="6394" w:type="dxa"/>
            <w:gridSpan w:val="5"/>
            <w:vAlign w:val="center"/>
          </w:tcPr>
          <w:p>
            <w:pPr>
              <w:spacing w:line="440" w:lineRule="exact"/>
              <w:ind w:firstLine="360" w:firstLineChars="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肇东市华东石油机械设备有限公司</w:t>
            </w:r>
          </w:p>
        </w:tc>
        <w:tc>
          <w:tcPr>
            <w:tcW w:w="1515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李弘博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测量标准置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检定/校准机构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检定/校准日期</w:t>
            </w:r>
          </w:p>
        </w:tc>
        <w:tc>
          <w:tcPr>
            <w:tcW w:w="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符合打√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钳形电流表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180358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MS2015A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MPE: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iCs/>
                <w:sz w:val="20"/>
                <w:szCs w:val="20"/>
              </w:rPr>
              <w:t>±</w:t>
            </w:r>
            <w:r>
              <w:rPr>
                <w:rFonts w:hint="eastAsia" w:ascii="宋体" w:cs="宋体"/>
                <w:i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iCs/>
                <w:sz w:val="20"/>
                <w:szCs w:val="20"/>
                <w:lang w:val="en-US" w:eastAsia="zh-CN"/>
              </w:rPr>
              <w:t>0.2</w:t>
            </w:r>
            <w:r>
              <w:rPr>
                <w:rFonts w:hint="eastAsia" w:ascii="宋体" w:cs="宋体"/>
                <w:iCs/>
                <w:sz w:val="20"/>
                <w:szCs w:val="20"/>
              </w:rPr>
              <w:t>%</w:t>
            </w:r>
            <w:r>
              <w:rPr>
                <w:rFonts w:hint="eastAsia" w:ascii="宋体" w:cs="宋体"/>
                <w:iCs/>
                <w:sz w:val="20"/>
                <w:szCs w:val="20"/>
                <w:lang w:val="en-US" w:eastAsia="zh-CN"/>
              </w:rPr>
              <w:t>+3dgt</w:t>
            </w:r>
            <w:r>
              <w:rPr>
                <w:rFonts w:hint="eastAsia" w:ascii="宋体" w:cs="宋体"/>
                <w:i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单相程控标准功率源 XL-801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ind w:firstLine="180" w:firstLineChars="100"/>
              <w:jc w:val="both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～2</w:t>
            </w:r>
            <w:r>
              <w:rPr>
                <w:rFonts w:ascii="宋体" w:hAnsi="宋体" w:eastAsia="宋体" w:cs="宋体"/>
                <w:kern w:val="0"/>
                <w:szCs w:val="21"/>
              </w:rPr>
              <w:t>00)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三等量块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的中国航发南方工业有限公司计量实验室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接地导通电阻测试仪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CJ0520A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subscript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Urel=0.5%   电阻（0.02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0.2）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Ω k=2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DCV:±0.005%  ACV：±0.03%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DCI:±0.05%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ADI：±0.1%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2020年11月20日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171804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WB2673C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交流电压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Urel=1.5×10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-3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（k=2）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 xml:space="preserve">数字高压表 </w:t>
            </w:r>
          </w:p>
          <w:p>
            <w:pPr>
              <w:ind w:firstLine="150" w:firstLineChars="100"/>
              <w:jc w:val="both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MPE:±0.5%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2020年11月20日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涂层测厚仪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171057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MC2000C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Urel=1.5%（k=2）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标准测厚片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（6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1200）um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刻度直角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150*250mm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U=0.1mm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k=2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宽座直角尺0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300mm 0级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标准钢直尺0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1m U=0.1mm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hanging="180" w:hangingChars="100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直角尺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hanging="180" w:hangingChars="100"/>
              <w:jc w:val="left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500mm 0级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噪声器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13053086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MS6700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U=0.3dB（k=2）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声校准器（94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114）dB 1级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里氏硬度计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140914861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TH110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U=0.5HL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（k=2）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标准里氏硬度块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479HLD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586HLD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红外测温仪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000002319000003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DT-880H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U=2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℃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（k=2）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标准铂电阻温度（-189.3442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419.527）℃二等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黑体辐射源HFY-300A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U=（0.5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0.7）℃ k=2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14054523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55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Urel=6×10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k=2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兆欧表检定装置ZX79D+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不确定度0.2%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中国航发南方工业有限公司计量实验室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2020年11月10日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361" w:type="dxa"/>
            <w:gridSpan w:val="9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抽查企业10台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送检至有相应资质的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中国航发南方工业有限公司计量实验室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检定、校准，量值溯源符合文件要求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3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20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158750</wp:posOffset>
                  </wp:positionV>
                  <wp:extent cx="920750" cy="337185"/>
                  <wp:effectExtent l="0" t="0" r="12700" b="5715"/>
                  <wp:wrapNone/>
                  <wp:docPr id="2" name="图片 1" descr="74fa4cfdebc53ff7fb9a33efa73c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4fa4cfdebc53ff7fb9a33efa73ce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421" t="19739" r="4930" b="15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130175</wp:posOffset>
                  </wp:positionV>
                  <wp:extent cx="1104900" cy="443865"/>
                  <wp:effectExtent l="0" t="0" r="0" b="13335"/>
                  <wp:wrapNone/>
                  <wp:docPr id="4" name="图片 4" descr="bd806a22ef0edbe8cb4447e8975df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d806a22ef0edbe8cb4447e8975df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审核日期：  2020 年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20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审核员签字：                   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部门代表签字：</w:t>
            </w:r>
          </w:p>
        </w:tc>
      </w:tr>
    </w:tbl>
    <w:p>
      <w:pPr>
        <w:spacing w:before="100" w:beforeAutospacing="1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eastAsia="zh-CN"/>
        </w:rPr>
      </w:pPr>
      <w:r>
        <w:rPr>
          <w:rFonts w:hint="eastAsia" w:asciiTheme="minorEastAsia" w:hAnsiTheme="minorEastAsia" w:cstheme="minorEastAsia"/>
          <w:sz w:val="15"/>
          <w:szCs w:val="15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D ISC-A-I-09 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1E56A5F"/>
    <w:rsid w:val="03522300"/>
    <w:rsid w:val="040826B3"/>
    <w:rsid w:val="04497FA6"/>
    <w:rsid w:val="0477551D"/>
    <w:rsid w:val="05307BEF"/>
    <w:rsid w:val="05DD41CC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1713F1"/>
    <w:rsid w:val="0A855B9D"/>
    <w:rsid w:val="0A9E2E3D"/>
    <w:rsid w:val="0B3848CF"/>
    <w:rsid w:val="0B795F19"/>
    <w:rsid w:val="0BA7638B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D23331"/>
    <w:rsid w:val="12FA27DC"/>
    <w:rsid w:val="13A020BB"/>
    <w:rsid w:val="14312CB8"/>
    <w:rsid w:val="145F3A5F"/>
    <w:rsid w:val="14900C06"/>
    <w:rsid w:val="14BC4A25"/>
    <w:rsid w:val="14F44B60"/>
    <w:rsid w:val="160F68B3"/>
    <w:rsid w:val="16623D8E"/>
    <w:rsid w:val="16A736F1"/>
    <w:rsid w:val="16DB245A"/>
    <w:rsid w:val="17DD60A6"/>
    <w:rsid w:val="199275D8"/>
    <w:rsid w:val="19C84CA1"/>
    <w:rsid w:val="1A7349E6"/>
    <w:rsid w:val="1B74067B"/>
    <w:rsid w:val="1BAE1358"/>
    <w:rsid w:val="1C175E62"/>
    <w:rsid w:val="1CED2F4F"/>
    <w:rsid w:val="1E3672B2"/>
    <w:rsid w:val="1E4777E0"/>
    <w:rsid w:val="1EA15349"/>
    <w:rsid w:val="1F8E47B0"/>
    <w:rsid w:val="1FBE4B58"/>
    <w:rsid w:val="200A4D1B"/>
    <w:rsid w:val="21475622"/>
    <w:rsid w:val="2176735C"/>
    <w:rsid w:val="21C405FE"/>
    <w:rsid w:val="21D4330B"/>
    <w:rsid w:val="21EF52B3"/>
    <w:rsid w:val="22385B95"/>
    <w:rsid w:val="224E77E5"/>
    <w:rsid w:val="22C06E70"/>
    <w:rsid w:val="22F10495"/>
    <w:rsid w:val="239145F3"/>
    <w:rsid w:val="246E311D"/>
    <w:rsid w:val="249C7E16"/>
    <w:rsid w:val="265B6DFF"/>
    <w:rsid w:val="27652BE8"/>
    <w:rsid w:val="2820476D"/>
    <w:rsid w:val="28FB5ACE"/>
    <w:rsid w:val="293C5390"/>
    <w:rsid w:val="2AD41CCE"/>
    <w:rsid w:val="2BB00388"/>
    <w:rsid w:val="2C454420"/>
    <w:rsid w:val="2C71736B"/>
    <w:rsid w:val="2C76336F"/>
    <w:rsid w:val="2D0304F4"/>
    <w:rsid w:val="2E132EA6"/>
    <w:rsid w:val="2E2F4929"/>
    <w:rsid w:val="2E5B3EA0"/>
    <w:rsid w:val="2E632513"/>
    <w:rsid w:val="2E7B5BEB"/>
    <w:rsid w:val="30C046B9"/>
    <w:rsid w:val="312302E5"/>
    <w:rsid w:val="316546E0"/>
    <w:rsid w:val="32B82631"/>
    <w:rsid w:val="32E234A3"/>
    <w:rsid w:val="32FA2076"/>
    <w:rsid w:val="34283294"/>
    <w:rsid w:val="346262B1"/>
    <w:rsid w:val="35C35931"/>
    <w:rsid w:val="35C800D0"/>
    <w:rsid w:val="37C56116"/>
    <w:rsid w:val="381F5BA7"/>
    <w:rsid w:val="3834156D"/>
    <w:rsid w:val="39F01ACB"/>
    <w:rsid w:val="3A7C2C44"/>
    <w:rsid w:val="3AB260A4"/>
    <w:rsid w:val="3CAC5E09"/>
    <w:rsid w:val="3D6E6D3D"/>
    <w:rsid w:val="3DAA638A"/>
    <w:rsid w:val="3E3F4659"/>
    <w:rsid w:val="3E445435"/>
    <w:rsid w:val="3ED2535E"/>
    <w:rsid w:val="3F04448D"/>
    <w:rsid w:val="3F5E6413"/>
    <w:rsid w:val="3F9A56D5"/>
    <w:rsid w:val="41361EEC"/>
    <w:rsid w:val="416247FC"/>
    <w:rsid w:val="4206500A"/>
    <w:rsid w:val="42B41254"/>
    <w:rsid w:val="43B473A8"/>
    <w:rsid w:val="43D666FA"/>
    <w:rsid w:val="44D9387E"/>
    <w:rsid w:val="45713F9F"/>
    <w:rsid w:val="470F4AFA"/>
    <w:rsid w:val="476B1C27"/>
    <w:rsid w:val="47BA1D9A"/>
    <w:rsid w:val="489915DA"/>
    <w:rsid w:val="4A591B91"/>
    <w:rsid w:val="4A6E2497"/>
    <w:rsid w:val="4A77221D"/>
    <w:rsid w:val="4B416954"/>
    <w:rsid w:val="4B7C002F"/>
    <w:rsid w:val="4B9A5C1D"/>
    <w:rsid w:val="4BA94934"/>
    <w:rsid w:val="4BBF781D"/>
    <w:rsid w:val="4C200BE7"/>
    <w:rsid w:val="4D0A339F"/>
    <w:rsid w:val="4ED836D1"/>
    <w:rsid w:val="4F1204A0"/>
    <w:rsid w:val="4F411043"/>
    <w:rsid w:val="50066F3F"/>
    <w:rsid w:val="50F31247"/>
    <w:rsid w:val="50F9466D"/>
    <w:rsid w:val="51554606"/>
    <w:rsid w:val="51E7598F"/>
    <w:rsid w:val="524A7E5A"/>
    <w:rsid w:val="542963B8"/>
    <w:rsid w:val="54697A53"/>
    <w:rsid w:val="54954B72"/>
    <w:rsid w:val="54964BF9"/>
    <w:rsid w:val="54B62356"/>
    <w:rsid w:val="54EC4E75"/>
    <w:rsid w:val="54F00911"/>
    <w:rsid w:val="55DF6B06"/>
    <w:rsid w:val="568E6A30"/>
    <w:rsid w:val="56AC0165"/>
    <w:rsid w:val="56E16F41"/>
    <w:rsid w:val="5890238A"/>
    <w:rsid w:val="5C2F230C"/>
    <w:rsid w:val="5C98550A"/>
    <w:rsid w:val="5D6D4F01"/>
    <w:rsid w:val="5DAF670E"/>
    <w:rsid w:val="5E254428"/>
    <w:rsid w:val="5EDE6996"/>
    <w:rsid w:val="5F537EB1"/>
    <w:rsid w:val="60A73F87"/>
    <w:rsid w:val="61584E4E"/>
    <w:rsid w:val="624F6551"/>
    <w:rsid w:val="649A2842"/>
    <w:rsid w:val="650D57B0"/>
    <w:rsid w:val="665D0789"/>
    <w:rsid w:val="667A084C"/>
    <w:rsid w:val="687F354B"/>
    <w:rsid w:val="688256F5"/>
    <w:rsid w:val="69372B4B"/>
    <w:rsid w:val="69BB5313"/>
    <w:rsid w:val="6A6C0416"/>
    <w:rsid w:val="6ACA0007"/>
    <w:rsid w:val="6B2F5952"/>
    <w:rsid w:val="6B332D1E"/>
    <w:rsid w:val="6D060969"/>
    <w:rsid w:val="6D0A51B0"/>
    <w:rsid w:val="6D1C7F56"/>
    <w:rsid w:val="6D360379"/>
    <w:rsid w:val="6DE41069"/>
    <w:rsid w:val="6E2B0A62"/>
    <w:rsid w:val="6E2B63E1"/>
    <w:rsid w:val="6E3A3C38"/>
    <w:rsid w:val="6E490805"/>
    <w:rsid w:val="6EAB17DC"/>
    <w:rsid w:val="6FBF39C1"/>
    <w:rsid w:val="6FD72DC6"/>
    <w:rsid w:val="6FEC5DB0"/>
    <w:rsid w:val="6FFD6BA8"/>
    <w:rsid w:val="70627A55"/>
    <w:rsid w:val="708F1B14"/>
    <w:rsid w:val="712979E9"/>
    <w:rsid w:val="724F016D"/>
    <w:rsid w:val="72962A6B"/>
    <w:rsid w:val="74B95996"/>
    <w:rsid w:val="762414E0"/>
    <w:rsid w:val="768D1D68"/>
    <w:rsid w:val="775F6B3C"/>
    <w:rsid w:val="777571F9"/>
    <w:rsid w:val="784B4F7F"/>
    <w:rsid w:val="79097CF8"/>
    <w:rsid w:val="794D3E6A"/>
    <w:rsid w:val="79734BBE"/>
    <w:rsid w:val="79E24574"/>
    <w:rsid w:val="79FD24A5"/>
    <w:rsid w:val="7A481864"/>
    <w:rsid w:val="7AB40CEC"/>
    <w:rsid w:val="7B18314A"/>
    <w:rsid w:val="7B7A16A4"/>
    <w:rsid w:val="7BB21708"/>
    <w:rsid w:val="7C125B5E"/>
    <w:rsid w:val="7C194E41"/>
    <w:rsid w:val="7C9F111A"/>
    <w:rsid w:val="7CBF5C87"/>
    <w:rsid w:val="7D737B9C"/>
    <w:rsid w:val="7D754E90"/>
    <w:rsid w:val="7D926361"/>
    <w:rsid w:val="7E5533AA"/>
    <w:rsid w:val="7E684733"/>
    <w:rsid w:val="7ED32791"/>
    <w:rsid w:val="7F206F4F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乐言</cp:lastModifiedBy>
  <cp:lastPrinted>2020-01-08T02:39:00Z</cp:lastPrinted>
  <dcterms:modified xsi:type="dcterms:W3CDTF">2020-12-04T07:02:42Z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